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bidi/>
        <w:spacing w:line="360" w:lineRule="auto" w:after="120"/>
        <w:jc w:val="both"/>
      </w:pPr>
      <w:r>
        <w:rPr>
          <w:rFonts w:ascii="David" w:hAnsi="David" w:cs="David"/>
          <w:b w:val="0"/>
          <w:i w:val="0"/>
          <w:sz w:val="24"/>
          <w:rtl/>
          <w:szCs w:val="24"/>
        </w:rPr>
        <w:t>מכל אלה נגזרת דרך התכנון שמכונה במסגרת "הגישה מכוונת־הפעולה" (action-oriented approach): יחידת התכנון של ההוראה איננה הנושא הדקדוקי אלא המשימה - דבר שהלומד צריך להיות מסוגל לעשות בשפה. המורה שואלת קודם "מה התלמידים יעשו?" ורק אחר כך "אילו מילים ואילו מבנים דרושים להם לשם כך", וההערכה נעשית דרך הביצוע עצמו ולא דרך מבחן ידע מנותק (Council of Europe, 2020; Piccardo, North &amp; Goodier, 2019). היחידה שבפרק 4 בנויה כך במוצהר: כל שיעור מאורגן סביב משימה אחת מרכזית - מיון מאכלים, הזמנה במסעדה, הדרכת מתכון, הצגה ביריד - והרכיב הלשוני משרת את המשימה, לא להפך.</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טיפוח מיומנויות הבעה בעל פה לצורך שליטה בעברית דבורה; השתלבות במרקם החברתי־תרבותי, בשוק העבודה ובאקדמיה; טיפוח אוטונומיה, הניעה וגישה ביקורתית של לומד עצמאי; חיבור לחברה רב־תרבותית ולעולם גלובלי; והכרת התרבות הישראלית והיהודית. אלא שבפועל הפער בין המטרות המוצהרות למציאות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pStyle w:val="Heading2"/>
        <w:bidi/>
        <w:spacing w:before="160" w:after="120" w:line="360" w:lineRule="auto"/>
        <w:jc w:val="right"/>
      </w:pPr>
      <w:r>
        <w:rPr>
          <w:rFonts w:ascii="David" w:hAnsi="David" w:cs="David"/>
          <w:b/>
          <w:i w:val="0"/>
          <w:color w:val="000000"/>
          <w:sz w:val="28"/>
          <w:rtl/>
          <w:szCs w:val="28"/>
          <w:bCs/>
        </w:rPr>
        <w:t>3.4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8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bidi/>
        <w:spacing w:line="360" w:lineRule="auto" w:after="200"/>
        <w:jc w:val="both"/>
      </w:pPr>
      <w:r>
        <w:rPr>
          <w:rFonts w:ascii="David" w:hAnsi="David" w:cs="David"/>
          <w:b w:val="0"/>
          <w:i w:val="0"/>
          <w:sz w:val="22"/>
          <w:rtl/>
          <w:szCs w:val="22"/>
        </w:rPr>
        <w:t>ביסוס מחקרי: הפתיחה בהעדפות אישיות מיישמת את העיקרון שדיבור על עולמו של התלמיד מגביר מוטיבציה ומפחית תחושת איום (מנור, 2025); ההקניה פותחת בקוגנטים שקופים בהתאם להמלצה להקדים אותם בשלבי הרכישה הראשונים (אבו־רביעה, 2023); והראיון הזוגי וההצגה ברביעייה נשענים על הממצא ששיח עמיתים הוא זירת רכישה של כישורי שפה ושיח (בלום־קולקה, 2007).</w:t>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ז,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bidi/>
        <w:spacing w:line="360" w:lineRule="auto" w:after="200"/>
        <w:jc w:val="both"/>
      </w:pPr>
      <w:r>
        <w:rPr>
          <w:rFonts w:ascii="David" w:hAnsi="David" w:cs="David"/>
          <w:b w:val="0"/>
          <w:i w:val="0"/>
          <w:sz w:val="22"/>
          <w:rtl/>
          <w:szCs w:val="22"/>
        </w:rPr>
        <w:t>ביסוס מחקרי: משחק המיון מיישם את הממצאים על תרומת משחקי תקשורת להפקה דבורה ולאווירה משוחררת (Hernández-Chérrez et al., 2021); מילות הכמות נלמדות כצורך של המשימה ולא כדף תרגול, ברוח העיקרון של תרגול נושא לשוני בתוך הקשר (גולן בן־אורי, 2015); והחזרה על אוצר המילים משיעור 1 מספקת את החשיפה החוזרת הנדרשת לרכישה (אבו־רביעה, דיתשי־ברק ודיהי, 2025).</w:t>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8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bidi/>
        <w:spacing w:line="360" w:lineRule="auto" w:after="200"/>
        <w:jc w:val="both"/>
      </w:pPr>
      <w:r>
        <w:rPr>
          <w:rFonts w:ascii="David" w:hAnsi="David" w:cs="David"/>
          <w:b w:val="0"/>
          <w:i w:val="0"/>
          <w:sz w:val="22"/>
          <w:rtl/>
          <w:szCs w:val="22"/>
        </w:rPr>
        <w:t>ביסוס מחקרי: הזמנה במסעדה מופיעה בתיאורי רמות הביניים של ה־CEFR כמשימה יומיומית מובהקת, והשיעור בנוי סביבה על פי הגישה מכוונת־הפעולה (Council of Europe, 2020; Piccardo, North &amp; Goodier, 2019); המשוב של המורה במהלך התרגול ניתן בניסוח מחדש וברמזים, כדפוס המשוב שנמצא יעיל לשיפור שטף בלי לפגוע בביטחון (Albino, 2017).</w:t>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bidi/>
        <w:spacing w:line="360" w:lineRule="auto" w:after="200"/>
        <w:jc w:val="both"/>
      </w:pPr>
      <w:r>
        <w:rPr>
          <w:rFonts w:ascii="David" w:hAnsi="David" w:cs="David"/>
          <w:b w:val="0"/>
          <w:i w:val="0"/>
          <w:sz w:val="22"/>
          <w:rtl/>
          <w:szCs w:val="22"/>
        </w:rPr>
        <w:t>ביסוס מחקרי: משימת "השף והעוזר" מיישמת את עקרון השחזור הדבור העצמאי - התלמיד מפיק את ההוראות מעצמו, בלי שהן כתובות מולו (גולן בן־אורי, 2015); הציווי נלמד במינון קטן ובתוך שימוש, בהתאם לממצאים על מוגבלות התועלת של תרגול דקדוקי מנותק (מנצור, 2004); והמבנה המשימתי כולו נשען על הגישה מבוססת־המשימות שנמצאה יעילה לפיתוח שטף (Albino, 2017).</w:t>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bidi/>
        <w:spacing w:line="360" w:lineRule="auto" w:after="200"/>
        <w:jc w:val="both"/>
      </w:pPr>
      <w:r>
        <w:rPr>
          <w:rFonts w:ascii="David" w:hAnsi="David" w:cs="David"/>
          <w:b w:val="0"/>
          <w:i w:val="0"/>
          <w:sz w:val="22"/>
          <w:rtl/>
          <w:szCs w:val="22"/>
        </w:rPr>
        <w:t>ביסוס מחקרי: היריד הוא משימת השליפה הפרודוקטיבית החופשית שאליה כיוונה היחידה כולה - הוצאת "הכלים מהמרתף" לשימוש אמיתי (אבו־רביעה, 2025א); ההערכה במחוון נותנת משקל להיקף ולעושר של אוצר המילים בדיבור, ברוח עקרון התחכום הלקסיקלי (אבו־רביעה, 2025ב); והמבנה הקבוצתי־תחרותי מנצל את התרומה המתועדת של למידה שיתופית למוטיבציה הפנימית (Namaziandost et al., 2019).</w:t>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20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80"/>
        <w:jc w:val="both"/>
      </w:pPr>
      <w:r>
        <w:rPr>
          <w:rFonts w:ascii="David" w:hAnsi="David" w:cs="David"/>
          <w:b w:val="0"/>
          <w:i w:val="0"/>
          <w:sz w:val="24"/>
          <w:rtl/>
          <w:szCs w:val="24"/>
        </w:rPr>
        <w:t>רשימת 24 כרטיסי המאכלים (מכינים כרטיס תמונה לכל פריט): תפוח, בננה, אבטיח, מלפפון, עגבנייה, גזר, לחם מלא, פיתה לבנה, לבנה, חומוס, ביצה, דג, עוף בגריל, שניצל מטוגן, צ'יפס, פיצה, במבה, שוקולד, סוכרייה, עוגה, קולה, מיץ ממותק, מים, חלב.</w:t>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W w:type="auto" w:w="0"/>
        <w:jc w:val="center"/>
        <w:tblLook w:firstColumn="1" w:firstRow="1" w:lastColumn="0" w:lastRow="0" w:noHBand="0" w:noVBand="1" w:val="04A0"/>
        <w:bidiVisual/>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200"/>
        <w:jc w:val="both"/>
      </w:pPr>
      <w:r>
        <w:rPr>
          <w:rFonts w:ascii="David" w:hAnsi="David" w:cs="David"/>
          <w:b w:val="0"/>
          <w:i w:val="0"/>
          <w:sz w:val="24"/>
          <w:rtl/>
          <w:szCs w:val="24"/>
        </w:rPr>
        <w:t>קלפי אירוע לרביעיות: (1) המנה הגיעה קרה - מה אומרים למלצר בנימוס? (2) חבר צמחוני הצטרף - עזרו לו לבחור מנה מהתפריט. (3) אין מספיק כסף לחשבון - פתרו את המצב בדיבור. (4) הלקוח אלרגי ללימון - בררו מה יש בסלט.</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W w:type="auto" w:w="0"/>
        <w:jc w:val="center"/>
        <w:tblLook w:firstColumn="1" w:firstRow="1" w:lastColumn="0" w:lastRow="0" w:noHBand="0" w:noVBand="1" w:val="04A0"/>
        <w:bidiVisual/>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