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true"/>
        <w:spacing w:lineRule="auto" w:line="360" w:after="80" w:before="0"/>
        <w:jc w:val="center"/>
      </w:pPr>
      <w:r>
        <w:rPr>
          <w:rFonts w:ascii="David" w:hAnsi="David" w:cs="David"/>
          <w:b/>
          <w:sz w:val="32"/>
          <w:szCs w:val="32"/>
          <w:rtl w:val="true"/>
        </w:rPr>
        <w:t>אפיון מחקר כמותי בחינוך</w:t>
      </w:r>
    </w:p>
    <w:p>
      <w:pPr>
        <w:bidi w:val="true"/>
        <w:spacing w:lineRule="auto" w:line="360" w:after="40" w:before="0"/>
        <w:jc w:val="center"/>
      </w:pPr>
      <w:r>
        <w:rPr>
          <w:rFonts w:ascii="David" w:hAnsi="David" w:cs="David"/>
          <w:b/>
          <w:sz w:val="24"/>
          <w:szCs w:val="24"/>
          <w:rtl w:val="true"/>
        </w:rPr>
        <w:t>עמדות מורים כלפי הכלה והקשר שלהן לשחיקה מקצועית, בתיווך תחושת המסוגלות העצמית</w:t>
      </w:r>
    </w:p>
    <w:p>
      <w:pPr>
        <w:bidi w:val="true"/>
        <w:spacing w:lineRule="auto" w:line="360" w:after="200" w:before="0"/>
        <w:jc w:val="center"/>
      </w:pPr>
      <w:r>
        <w:rPr>
          <w:rFonts w:ascii="David" w:hAnsi="David" w:cs="David"/>
          <w:b w:val="0"/>
          <w:sz w:val="22"/>
          <w:szCs w:val="22"/>
          <w:rtl w:val="true"/>
        </w:rPr>
        <w:t>עבודה מסכמת בקורס "מחקר מתקדם בחינוך (שיטות מחקר כמותיות)"  |  סמסטר ב' תשפ"ו</w:t>
      </w:r>
    </w:p>
    <w:p>
      <w:pPr>
        <w:bidi w:val="true"/>
        <w:spacing w:lineRule="auto" w:line="360" w:after="80" w:before="160"/>
        <w:jc w:val="right"/>
      </w:pPr>
      <w:r>
        <w:rPr>
          <w:rFonts w:ascii="David" w:hAnsi="David" w:cs="David"/>
          <w:b/>
          <w:sz w:val="26"/>
          <w:szCs w:val="26"/>
          <w:rtl w:val="true"/>
        </w:rPr>
        <w:t>1. הנושא הנחקר, הגדרתו והקשר לעולם החינוך</w:t>
      </w:r>
    </w:p>
    <w:p>
      <w:pPr>
        <w:bidi w:val="true"/>
        <w:spacing w:lineRule="auto" w:line="360" w:after="120" w:before="0"/>
        <w:jc w:val="both"/>
      </w:pPr>
      <w:r>
        <w:rPr>
          <w:rFonts w:ascii="David" w:hAnsi="David" w:cs="David"/>
          <w:b w:val="0"/>
          <w:sz w:val="24"/>
          <w:szCs w:val="24"/>
          <w:rtl w:val="true"/>
        </w:rPr>
        <w:t>מדיניות ההכלה הפכה בעשור האחרון לברירת המחדל במערכת החינוך בישראל. חוק החינוך המיוחד ותיקוניו העבירו מספר גדל והולך של תלמידים עם צרכים מיוחדים אל הכיתה הרגילה, והמורה שעומד מול הכיתה הוא זה שאמור להפוך את המדיניות הזו למשהו שעובד בפועל, יום אחרי יום. שם, בעיניי, נמצא הלב של העניין. לא בחוק ולא בחוזר המנכ"ל, אלא באדם שצריך ללמד כיתה הטרוגנית ושונה מאוד ממה שהכיר בתחילת דרכו.</w:t>
      </w:r>
    </w:p>
    <w:p>
      <w:pPr>
        <w:bidi w:val="true"/>
        <w:spacing w:lineRule="auto" w:line="360" w:after="120" w:before="0"/>
        <w:jc w:val="both"/>
      </w:pPr>
      <w:r>
        <w:rPr>
          <w:rFonts w:ascii="David" w:hAnsi="David" w:cs="David"/>
          <w:b w:val="0"/>
          <w:sz w:val="24"/>
          <w:szCs w:val="24"/>
          <w:rtl w:val="true"/>
        </w:rPr>
        <w:t>הנושא שבחרתי לחקור הוא הקשר בין עמדות של מורים בחינוך הרגיל כלפי הכלה של תלמידים עם צרכים מיוחדים לבין רמת השחיקה המקצועית שלהם. לצד שני אלה אבחן משתנה שלישי, תחושת המסוגלות העצמית ההוראתית, ואברר אם הוא מתווך בין השניים. ההגדרה הממוקדת של הנושא היא אפוא בחינת הקשר שבין עמדות המורה כלפי הכלה לבין שחיקתו המקצועית, בקרב מורי כיתות רגילות המלמדים תלמידים משולבים, תוך בדיקת מקומה של תחושת המסוגלות בקשר הזה.</w:t>
      </w:r>
    </w:p>
    <w:p>
      <w:pPr>
        <w:bidi w:val="true"/>
        <w:spacing w:lineRule="auto" w:line="360" w:after="120" w:before="0"/>
        <w:jc w:val="both"/>
      </w:pPr>
      <w:r>
        <w:rPr>
          <w:rFonts w:ascii="David" w:hAnsi="David" w:cs="David"/>
          <w:b w:val="0"/>
          <w:sz w:val="24"/>
          <w:szCs w:val="24"/>
          <w:rtl w:val="true"/>
        </w:rPr>
        <w:t>הזיקה לחינוך ישירה. הצלחת ההכלה תלויה במידה רבה בכך שהמורים יהיו חיוביים כלפיה. מורה שרואה בשילוב נטל ולא שליחות יתקשה ליישם אותו הלכה למעשה, גם אם על הנייר הכול מסודר (Avramidis &amp; Norwich, 2002). מהצד השני עומדת השחיקה, אחת הבעיות הכואבות של המקצוע. היא קשורה לנשירת מורים, להיעדרויות ולירידה באיכות ההוראה. אם עמדות שליליות כלפי הכלה אכן מזינות שחיקה, יש לכך משמעות מעשית ברורה: אפשר להתערב, דרך הכשרה וליווי, ולא רק לקונן על המחסור במורים.</w:t>
      </w:r>
    </w:p>
    <w:p>
      <w:pPr>
        <w:bidi w:val="true"/>
        <w:spacing w:lineRule="auto" w:line="360" w:after="120" w:before="0"/>
        <w:jc w:val="both"/>
      </w:pPr>
      <w:r>
        <w:rPr>
          <w:rFonts w:ascii="David" w:hAnsi="David" w:cs="David"/>
          <w:b w:val="0"/>
          <w:sz w:val="24"/>
          <w:szCs w:val="24"/>
          <w:rtl w:val="true"/>
        </w:rPr>
        <w:t>מדוע דווקא הנושא הזה. יש כאן עניין אישי. לימדתי כיתה שבה שולבו כמה תלמידים עם צרכים מיוחדים בלי שקיבלתי לכך הכשרה של ממש, וזכור לי היטב הפער בין הרצון לעשות טוב לבין התחושה שאני פשוט לא יודע איך. לצד זה יש כאן בדיקה של תופעה שחוזרת שוב ושוב בשיחות חדר המורים אך נבדקה פחות באופן שיטתי, בעיקר במפגש שבין העמדות לבין המחיר הרגשי. הצירוף הזה, נושא חשוב מבחינת מדיניות ושאלה שנוגעת בי אישית, הוא מה שהביא אותי לכאן.</w:t>
      </w:r>
    </w:p>
    <w:p>
      <w:pPr>
        <w:bidi w:val="true"/>
        <w:spacing w:lineRule="auto" w:line="360" w:after="80" w:before="160"/>
        <w:jc w:val="right"/>
      </w:pPr>
      <w:r>
        <w:rPr>
          <w:rFonts w:ascii="David" w:hAnsi="David" w:cs="David"/>
          <w:b/>
          <w:sz w:val="26"/>
          <w:szCs w:val="26"/>
          <w:rtl w:val="true"/>
        </w:rPr>
        <w:t>2. שאלות המחקר</w:t>
      </w:r>
    </w:p>
    <w:p>
      <w:pPr>
        <w:bidi w:val="true"/>
        <w:spacing w:lineRule="auto" w:line="360" w:after="40" w:before="0"/>
        <w:jc w:val="both"/>
      </w:pPr>
      <w:r>
        <w:rPr>
          <w:rFonts w:ascii="David" w:hAnsi="David" w:cs="David"/>
          <w:b w:val="0"/>
          <w:sz w:val="24"/>
          <w:szCs w:val="24"/>
          <w:rtl w:val="true"/>
        </w:rPr>
        <w:t>שתי שאלות עומדות במרכז המחקר:</w:t>
      </w:r>
    </w:p>
    <w:p>
      <w:pPr>
        <w:bidi w:val="true"/>
        <w:spacing w:lineRule="auto" w:line="360" w:after="40" w:before="0"/>
        <w:jc w:val="both"/>
      </w:pPr>
      <w:r>
        <w:rPr>
          <w:rFonts w:ascii="David" w:hAnsi="David" w:cs="David"/>
          <w:b/>
          <w:sz w:val="24"/>
          <w:szCs w:val="24"/>
          <w:rtl w:val="true"/>
        </w:rPr>
        <w:t xml:space="preserve">(1) </w:t>
      </w:r>
      <w:r>
        <w:rPr>
          <w:rFonts w:ascii="David" w:hAnsi="David" w:cs="David"/>
          <w:b w:val="0"/>
          <w:sz w:val="24"/>
          <w:szCs w:val="24"/>
          <w:rtl w:val="true"/>
        </w:rPr>
        <w:t>מהו הקשר בין עמדות מורים כלפי הכלה של תלמידים עם צרכים מיוחדים לבין רמת השחיקה המקצועית שלהם?</w:t>
      </w:r>
    </w:p>
    <w:p>
      <w:pPr>
        <w:bidi w:val="true"/>
        <w:spacing w:lineRule="auto" w:line="360" w:after="80" w:before="0"/>
        <w:jc w:val="both"/>
      </w:pPr>
      <w:r>
        <w:rPr>
          <w:rFonts w:ascii="David" w:hAnsi="David" w:cs="David"/>
          <w:b/>
          <w:sz w:val="24"/>
          <w:szCs w:val="24"/>
          <w:rtl w:val="true"/>
        </w:rPr>
        <w:t xml:space="preserve">(2) </w:t>
      </w:r>
      <w:r>
        <w:rPr>
          <w:rFonts w:ascii="David" w:hAnsi="David" w:cs="David"/>
          <w:b w:val="0"/>
          <w:sz w:val="24"/>
          <w:szCs w:val="24"/>
          <w:rtl w:val="true"/>
        </w:rPr>
        <w:t>האם תחושת המסוגלות העצמית ההוראתית מתווכת את הקשר בין העמדות כלפי הכלה לבין השחיקה המקצועית?</w:t>
      </w:r>
    </w:p>
    <w:p>
      <w:pPr>
        <w:bidi w:val="true"/>
        <w:spacing w:lineRule="auto" w:line="360" w:after="120" w:before="0"/>
        <w:jc w:val="both"/>
      </w:pPr>
      <w:r>
        <w:rPr>
          <w:rFonts w:ascii="David" w:hAnsi="David" w:cs="David"/>
          <w:b w:val="0"/>
          <w:sz w:val="24"/>
          <w:szCs w:val="24"/>
          <w:rtl w:val="true"/>
        </w:rPr>
        <w:t>בניסוח הקפדתי על כמה דברים. השאלות עוסקות בקשר בין משתנים ולא בתיאור תופעה בודדת, הן ניתנות לבדיקה אמפירית באמצעות נתונים מספריים, והן אינן קובעות מראש כיוון סיבתי חד-משמעי. הראשונה בוחנת את עצם הקשר, השנייה שואלת על המנגנון שמאחוריו, כלומר על התיווך.</w:t>
      </w:r>
    </w:p>
    <w:p>
      <w:pPr>
        <w:bidi w:val="true"/>
        <w:spacing w:lineRule="auto" w:line="360" w:after="80" w:before="160"/>
        <w:jc w:val="right"/>
      </w:pPr>
      <w:r>
        <w:rPr>
          <w:rFonts w:ascii="David" w:hAnsi="David" w:cs="David"/>
          <w:b/>
          <w:sz w:val="26"/>
          <w:szCs w:val="26"/>
          <w:rtl w:val="true"/>
        </w:rPr>
        <w:t>3. השערות המחקר והבסיס האקדמי שלהן</w:t>
      </w:r>
    </w:p>
    <w:p>
      <w:pPr>
        <w:bidi w:val="true"/>
        <w:spacing w:lineRule="auto" w:line="360" w:after="40" w:before="0"/>
        <w:jc w:val="both"/>
      </w:pPr>
      <w:r>
        <w:rPr>
          <w:rFonts w:ascii="David" w:hAnsi="David" w:cs="David"/>
          <w:b/>
          <w:sz w:val="24"/>
          <w:szCs w:val="24"/>
          <w:rtl w:val="true"/>
        </w:rPr>
        <w:t xml:space="preserve">השערה 1: </w:t>
      </w:r>
      <w:r>
        <w:rPr>
          <w:rFonts w:ascii="David" w:hAnsi="David" w:cs="David"/>
          <w:b w:val="0"/>
          <w:sz w:val="24"/>
          <w:szCs w:val="24"/>
          <w:rtl w:val="true"/>
        </w:rPr>
        <w:t>קיים קשר שלילי בין עמדות כלפי הכלה לבין שחיקה מקצועית. ככל שעמדות המורה כלפי הכלה חיוביות יותר, כך רמת שחיקתו המקצועית נמוכה יותר.</w:t>
      </w:r>
    </w:p>
    <w:p>
      <w:pPr>
        <w:bidi w:val="true"/>
        <w:spacing w:lineRule="auto" w:line="360" w:after="80" w:before="0"/>
        <w:jc w:val="both"/>
      </w:pPr>
      <w:r>
        <w:rPr>
          <w:rFonts w:ascii="David" w:hAnsi="David" w:cs="David"/>
          <w:b/>
          <w:sz w:val="24"/>
          <w:szCs w:val="24"/>
          <w:rtl w:val="true"/>
        </w:rPr>
        <w:t xml:space="preserve">השערה 2: </w:t>
      </w:r>
      <w:r>
        <w:rPr>
          <w:rFonts w:ascii="David" w:hAnsi="David" w:cs="David"/>
          <w:b w:val="0"/>
          <w:sz w:val="24"/>
          <w:szCs w:val="24"/>
          <w:rtl w:val="true"/>
        </w:rPr>
        <w:t>תחושת המסוגלות העצמית ההוראתית מתווכת את הקשר. עמדות חיוביות יותר מנבאות תחושת מסוגלות גבוהה יותר, וזו בתורה מנבאת שחיקה נמוכה יותר.</w:t>
      </w:r>
    </w:p>
    <w:p>
      <w:pPr>
        <w:bidi w:val="true"/>
        <w:spacing w:lineRule="auto" w:line="360" w:after="120" w:before="0"/>
        <w:jc w:val="both"/>
      </w:pPr>
      <w:r>
        <w:rPr>
          <w:rFonts w:ascii="David" w:hAnsi="David" w:cs="David"/>
          <w:b w:val="0"/>
          <w:sz w:val="24"/>
          <w:szCs w:val="24"/>
          <w:rtl w:val="true"/>
        </w:rPr>
        <w:t>ההשערות אינן נשלפות מהאוויר. הן נשענות על ספרות. Avramidis ו-Norwich (2002) מראים בסקירתם הרחבה שעמדות המורים כלפי שילוב אינן אחידות, ושהן מושפעות בין השאר מהכשרה, מניסיון קודם ומתחושת היכולת של המורה להתמודד עם הכיתה. משם נגזר הקשר בין עמדות למסוגלות. Tschannen-Moran ו-Woolfolk Hoy (2001) קושרים תחושת מסוגלות הוראתית גבוהה עם התמדה, מחויבות ומאמץ, כלומר עם ההפך מהתנתקות ומשחיקה. Maslach ועמיתיה (2001) מונים את המסוגלות הנמוכה כאחד הגורמים המזינים שחיקה, ובכך סוגרים את שלוש הצלעות של המודל. גם ממצאים מהשדה הישראלי תומכים בכיוון: גליקו ובראון-לבינסון (2022) מצאו שמשאבים אישיים ובית-ספריים קשורים להתמודדות אדפטיבית ולשביעות רצון של מורים המלמדים תלמידים משולבים. על בסיס אלה ניסחתי את ההשערות ככיווניות ולא רק כקיום קשר, משום שהתאוריה מכתיבה כיוון צפוי.</w:t>
      </w:r>
    </w:p>
    <w:p>
      <w:pPr>
        <w:bidi w:val="true"/>
        <w:spacing w:lineRule="auto" w:line="360" w:after="80" w:before="160"/>
        <w:jc w:val="right"/>
      </w:pPr>
      <w:r>
        <w:rPr>
          <w:rFonts w:ascii="David" w:hAnsi="David" w:cs="David"/>
          <w:b/>
          <w:sz w:val="26"/>
          <w:szCs w:val="26"/>
          <w:rtl w:val="true"/>
        </w:rPr>
        <w:t>4. הגדרות נומינליות של המשתנים והמושגים</w:t>
      </w:r>
    </w:p>
    <w:p>
      <w:pPr>
        <w:bidi w:val="true"/>
        <w:spacing w:lineRule="auto" w:line="360" w:after="120" w:before="0"/>
        <w:jc w:val="both"/>
      </w:pPr>
      <w:r>
        <w:rPr>
          <w:rFonts w:ascii="David" w:hAnsi="David" w:cs="David"/>
          <w:b/>
          <w:sz w:val="24"/>
          <w:szCs w:val="24"/>
          <w:rtl w:val="true"/>
        </w:rPr>
        <w:t xml:space="preserve">הכלה (שילוב). </w:t>
      </w:r>
      <w:r>
        <w:rPr>
          <w:rFonts w:ascii="David" w:hAnsi="David" w:cs="David"/>
          <w:b w:val="0"/>
          <w:sz w:val="24"/>
          <w:szCs w:val="24"/>
          <w:rtl w:val="true"/>
        </w:rPr>
        <w:t>שילובם של תלמידים עם צרכים מיוחדים במסגרת הכיתה הרגילה, מתוך גישה שרואה בכך זכות ולא חסד, ומתאימה את הסביבה הלימודית לתלמיד ולא להפך (Avramidis &amp; Norwich, 2002; גליקו ובראון-לבינסון, 2022).</w:t>
      </w:r>
    </w:p>
    <w:p>
      <w:pPr>
        <w:bidi w:val="true"/>
        <w:spacing w:lineRule="auto" w:line="360" w:after="120" w:before="0"/>
        <w:jc w:val="both"/>
      </w:pPr>
      <w:r>
        <w:rPr>
          <w:rFonts w:ascii="David" w:hAnsi="David" w:cs="David"/>
          <w:b/>
          <w:sz w:val="24"/>
          <w:szCs w:val="24"/>
          <w:rtl w:val="true"/>
        </w:rPr>
        <w:t xml:space="preserve">עמדות. </w:t>
      </w:r>
      <w:r>
        <w:rPr>
          <w:rFonts w:ascii="David" w:hAnsi="David" w:cs="David"/>
          <w:b w:val="0"/>
          <w:sz w:val="24"/>
          <w:szCs w:val="24"/>
          <w:rtl w:val="true"/>
        </w:rPr>
        <w:t>נטייה נפשית נלמדת להעריך אובייקט מסוים, כאן ההכלה, באופן חיובי או שלילי. העמדה כוללת רכיב רגשי, רכיב קוגניטיבי ורכיב התנהגותי, והיא נמדדת כאן כמידת החיוב או השלילה שהמורה מייחס לרעיון ההכלה וליישומו (Avramidis &amp; Norwich, 2002).</w:t>
      </w:r>
    </w:p>
    <w:p>
      <w:pPr>
        <w:bidi w:val="true"/>
        <w:spacing w:lineRule="auto" w:line="360" w:after="120" w:before="0"/>
        <w:jc w:val="both"/>
      </w:pPr>
      <w:r>
        <w:rPr>
          <w:rFonts w:ascii="David" w:hAnsi="David" w:cs="David"/>
          <w:b/>
          <w:sz w:val="24"/>
          <w:szCs w:val="24"/>
          <w:rtl w:val="true"/>
        </w:rPr>
        <w:t xml:space="preserve">תחושת מסוגלות עצמית הוראתית. </w:t>
      </w:r>
      <w:r>
        <w:rPr>
          <w:rFonts w:ascii="David" w:hAnsi="David" w:cs="David"/>
          <w:b w:val="0"/>
          <w:sz w:val="24"/>
          <w:szCs w:val="24"/>
          <w:rtl w:val="true"/>
        </w:rPr>
        <w:t>אמונתו של המורה ביכולתו לארגן ולבצע את הפעולות הנדרשות כדי להשפיע על למידת התלמידים ועל התנהלות הכיתה, גם כשמדובר בתלמידים מאתגרים (Tschannen-Moran &amp; Woolfolk Hoy, 2001).</w:t>
      </w:r>
    </w:p>
    <w:p>
      <w:pPr>
        <w:bidi w:val="true"/>
        <w:spacing w:lineRule="auto" w:line="360" w:after="120" w:before="0"/>
        <w:jc w:val="both"/>
      </w:pPr>
      <w:r>
        <w:rPr>
          <w:rFonts w:ascii="David" w:hAnsi="David" w:cs="David"/>
          <w:b/>
          <w:sz w:val="24"/>
          <w:szCs w:val="24"/>
          <w:rtl w:val="true"/>
        </w:rPr>
        <w:t xml:space="preserve">שחיקה מקצועית. </w:t>
      </w:r>
      <w:r>
        <w:rPr>
          <w:rFonts w:ascii="David" w:hAnsi="David" w:cs="David"/>
          <w:b w:val="0"/>
          <w:sz w:val="24"/>
          <w:szCs w:val="24"/>
          <w:rtl w:val="true"/>
        </w:rPr>
        <w:t>תסמונת של מתח כרוני בעבודה, שלוש פנים לה: תשישות רגשית, דה-פרסונליזציה (התרחקות וריחוק מהתלמידים) ותחושת הישגיות אישית נמוכה (Maslach, Schaufeli &amp; Leiter, 2001).</w:t>
      </w:r>
    </w:p>
    <w:p>
      <w:pPr>
        <w:bidi w:val="true"/>
        <w:spacing w:lineRule="auto" w:line="360" w:after="120" w:before="0"/>
        <w:jc w:val="both"/>
      </w:pPr>
      <w:r>
        <w:rPr>
          <w:rFonts w:ascii="David" w:hAnsi="David" w:cs="David"/>
          <w:b w:val="0"/>
          <w:sz w:val="24"/>
          <w:szCs w:val="24"/>
          <w:rtl w:val="true"/>
        </w:rPr>
        <w:t>ההגדרות הנומינליות האלה נשענות על מנועי חיפוש ומאגרים אקדמיים (Google Scholar ו-ScienceDirect), ומהן נגזרות בהמשך ההגדרות האופרציונליות, כלומר כלי המדידה של כל משתנה.</w:t>
      </w:r>
    </w:p>
    <w:p>
      <w:pPr>
        <w:bidi w:val="true"/>
        <w:spacing w:lineRule="auto" w:line="360" w:after="80" w:before="160"/>
        <w:jc w:val="right"/>
      </w:pPr>
      <w:r>
        <w:rPr>
          <w:rFonts w:ascii="David" w:hAnsi="David" w:cs="David"/>
          <w:b/>
          <w:sz w:val="26"/>
          <w:szCs w:val="26"/>
          <w:rtl w:val="true"/>
        </w:rPr>
        <w:t>5. המשתנים, סיווגם וכלי המדידה</w:t>
      </w:r>
    </w:p>
    <w:p>
      <w:pPr>
        <w:bidi w:val="true"/>
        <w:spacing w:lineRule="auto" w:line="360" w:after="80" w:before="0"/>
        <w:jc w:val="both"/>
      </w:pPr>
      <w:r>
        <w:rPr>
          <w:rFonts w:ascii="David" w:hAnsi="David" w:cs="David"/>
          <w:b w:val="0"/>
          <w:sz w:val="24"/>
          <w:szCs w:val="24"/>
          <w:rtl w:val="true"/>
        </w:rPr>
        <w:t>במחקר שלושה משתנים מרכזיים. המשתנה הבלתי תלוי הוא העמדות כלפי הכלה. המשתנה התלוי הוא השחיקה המקצועית. ביניהם ניצב משתנה מתווך, תחושת המסוגלות העצמית. לצדם ייאספו משתני רקע לבקרה, כמו ותק בהוראה, היקף הכשרה בחינוך מיוחד ומספר תלמידי השילוב בכיתה. הטבלה מסכמת את הסיווג ואת כלי המדידה:</w:t>
      </w:r>
    </w:p>
    <w:tbl>
      <w:tblPr>
        <w:tblStyle w:val="TableGrid"/>
        <w:tblW w:type="auto" w:w="0"/>
        <w:jc w:val="center"/>
        <w:tblLook w:firstColumn="1" w:firstRow="1" w:lastColumn="0" w:lastRow="0" w:noHBand="0" w:noVBand="1" w:val="04A0"/>
        <w:bidiVisual/>
      </w:tblPr>
      <w:tblGrid>
        <w:gridCol w:w="2296"/>
        <w:gridCol w:w="2296"/>
        <w:gridCol w:w="2296"/>
        <w:gridCol w:w="2296"/>
      </w:tblGrid>
      <w:tr>
        <w:tc>
          <w:tcPr>
            <w:tcW w:type="dxa" w:w="2296"/>
          </w:tcPr>
          <w:p>
            <w:pPr>
              <w:bidi w:val="true"/>
              <w:spacing w:lineRule="auto" w:line="240" w:after="40" w:before="0"/>
              <w:jc w:val="right"/>
            </w:pPr>
            <w:r/>
            <w:r>
              <w:rPr>
                <w:rFonts w:ascii="David" w:hAnsi="David" w:cs="David"/>
                <w:b/>
                <w:sz w:val="20"/>
                <w:szCs w:val="20"/>
                <w:rtl w:val="true"/>
              </w:rPr>
              <w:t>המשתנה</w:t>
            </w:r>
          </w:p>
        </w:tc>
        <w:tc>
          <w:tcPr>
            <w:tcW w:type="dxa" w:w="2296"/>
          </w:tcPr>
          <w:p>
            <w:pPr>
              <w:bidi w:val="true"/>
              <w:spacing w:lineRule="auto" w:line="240" w:after="40" w:before="0"/>
              <w:jc w:val="right"/>
            </w:pPr>
            <w:r/>
            <w:r>
              <w:rPr>
                <w:rFonts w:ascii="David" w:hAnsi="David" w:cs="David"/>
                <w:b/>
                <w:sz w:val="20"/>
                <w:szCs w:val="20"/>
                <w:rtl w:val="true"/>
              </w:rPr>
              <w:t>תפקיד</w:t>
            </w:r>
          </w:p>
        </w:tc>
        <w:tc>
          <w:tcPr>
            <w:tcW w:type="dxa" w:w="2296"/>
          </w:tcPr>
          <w:p>
            <w:pPr>
              <w:bidi w:val="true"/>
              <w:spacing w:lineRule="auto" w:line="240" w:after="40" w:before="0"/>
              <w:jc w:val="right"/>
            </w:pPr>
            <w:r/>
            <w:r>
              <w:rPr>
                <w:rFonts w:ascii="David" w:hAnsi="David" w:cs="David"/>
                <w:b/>
                <w:sz w:val="20"/>
                <w:szCs w:val="20"/>
                <w:rtl w:val="true"/>
              </w:rPr>
              <w:t>סיווג וסוג הסולם</w:t>
            </w:r>
          </w:p>
        </w:tc>
        <w:tc>
          <w:tcPr>
            <w:tcW w:type="dxa" w:w="2296"/>
          </w:tcPr>
          <w:p>
            <w:pPr>
              <w:bidi w:val="true"/>
              <w:spacing w:lineRule="auto" w:line="240" w:after="40" w:before="0"/>
              <w:jc w:val="right"/>
            </w:pPr>
            <w:r/>
            <w:r>
              <w:rPr>
                <w:rFonts w:ascii="David" w:hAnsi="David" w:cs="David"/>
                <w:b/>
                <w:sz w:val="20"/>
                <w:szCs w:val="20"/>
                <w:rtl w:val="true"/>
              </w:rPr>
              <w:t>כלי המדידה</w:t>
            </w:r>
          </w:p>
        </w:tc>
      </w:tr>
      <w:tr>
        <w:tc>
          <w:tcPr>
            <w:tcW w:type="dxa" w:w="2296"/>
          </w:tcPr>
          <w:p>
            <w:pPr>
              <w:bidi w:val="true"/>
              <w:spacing w:lineRule="auto" w:line="240" w:after="40" w:before="0"/>
              <w:jc w:val="right"/>
            </w:pPr>
            <w:r/>
            <w:r>
              <w:rPr>
                <w:rFonts w:ascii="David" w:hAnsi="David" w:cs="David"/>
                <w:b w:val="0"/>
                <w:sz w:val="20"/>
                <w:szCs w:val="20"/>
                <w:rtl w:val="true"/>
              </w:rPr>
              <w:t>עמדות כלפי הכלה</w:t>
            </w:r>
          </w:p>
        </w:tc>
        <w:tc>
          <w:tcPr>
            <w:tcW w:type="dxa" w:w="2296"/>
          </w:tcPr>
          <w:p>
            <w:pPr>
              <w:bidi w:val="true"/>
              <w:spacing w:lineRule="auto" w:line="240" w:after="40" w:before="0"/>
              <w:jc w:val="right"/>
            </w:pPr>
            <w:r/>
            <w:r>
              <w:rPr>
                <w:rFonts w:ascii="David" w:hAnsi="David" w:cs="David"/>
                <w:b w:val="0"/>
                <w:sz w:val="20"/>
                <w:szCs w:val="20"/>
                <w:rtl w:val="true"/>
              </w:rPr>
              <w:t>בלתי תלוי (מנבא)</w:t>
            </w:r>
          </w:p>
        </w:tc>
        <w:tc>
          <w:tcPr>
            <w:tcW w:type="dxa" w:w="2296"/>
          </w:tcPr>
          <w:p>
            <w:pPr>
              <w:bidi w:val="true"/>
              <w:spacing w:lineRule="auto" w:line="240" w:after="40" w:before="0"/>
              <w:jc w:val="right"/>
            </w:pPr>
            <w:r/>
            <w:r>
              <w:rPr>
                <w:rFonts w:ascii="David" w:hAnsi="David" w:cs="David"/>
                <w:b w:val="0"/>
                <w:sz w:val="20"/>
                <w:szCs w:val="20"/>
                <w:rtl w:val="true"/>
              </w:rPr>
              <w:t>כמותי רציף, סולם רווח</w:t>
            </w:r>
          </w:p>
        </w:tc>
        <w:tc>
          <w:tcPr>
            <w:tcW w:type="dxa" w:w="2296"/>
          </w:tcPr>
          <w:p>
            <w:pPr>
              <w:bidi w:val="true"/>
              <w:spacing w:lineRule="auto" w:line="240" w:after="40" w:before="0"/>
              <w:jc w:val="right"/>
            </w:pPr>
            <w:r/>
            <w:r>
              <w:rPr>
                <w:rFonts w:ascii="David" w:hAnsi="David" w:cs="David"/>
                <w:b w:val="0"/>
                <w:sz w:val="20"/>
                <w:szCs w:val="20"/>
                <w:rtl w:val="true"/>
              </w:rPr>
              <w:t>שאלון עמדות מדווח-עצמי מסוג ליקרט (למשל SACIE-R), המתורגם ומותאם לעברית</w:t>
            </w:r>
          </w:p>
        </w:tc>
      </w:tr>
      <w:tr>
        <w:tc>
          <w:tcPr>
            <w:tcW w:type="dxa" w:w="2296"/>
          </w:tcPr>
          <w:p>
            <w:pPr>
              <w:bidi w:val="true"/>
              <w:spacing w:lineRule="auto" w:line="240" w:after="40" w:before="0"/>
              <w:jc w:val="right"/>
            </w:pPr>
            <w:r/>
            <w:r>
              <w:rPr>
                <w:rFonts w:ascii="David" w:hAnsi="David" w:cs="David"/>
                <w:b w:val="0"/>
                <w:sz w:val="20"/>
                <w:szCs w:val="20"/>
                <w:rtl w:val="true"/>
              </w:rPr>
              <w:t>שחיקה מקצועית</w:t>
            </w:r>
          </w:p>
        </w:tc>
        <w:tc>
          <w:tcPr>
            <w:tcW w:type="dxa" w:w="2296"/>
          </w:tcPr>
          <w:p>
            <w:pPr>
              <w:bidi w:val="true"/>
              <w:spacing w:lineRule="auto" w:line="240" w:after="40" w:before="0"/>
              <w:jc w:val="right"/>
            </w:pPr>
            <w:r/>
            <w:r>
              <w:rPr>
                <w:rFonts w:ascii="David" w:hAnsi="David" w:cs="David"/>
                <w:b w:val="0"/>
                <w:sz w:val="20"/>
                <w:szCs w:val="20"/>
                <w:rtl w:val="true"/>
              </w:rPr>
              <w:t>תלוי</w:t>
            </w:r>
          </w:p>
        </w:tc>
        <w:tc>
          <w:tcPr>
            <w:tcW w:type="dxa" w:w="2296"/>
          </w:tcPr>
          <w:p>
            <w:pPr>
              <w:bidi w:val="true"/>
              <w:spacing w:lineRule="auto" w:line="240" w:after="40" w:before="0"/>
              <w:jc w:val="right"/>
            </w:pPr>
            <w:r/>
            <w:r>
              <w:rPr>
                <w:rFonts w:ascii="David" w:hAnsi="David" w:cs="David"/>
                <w:b w:val="0"/>
                <w:sz w:val="20"/>
                <w:szCs w:val="20"/>
                <w:rtl w:val="true"/>
              </w:rPr>
              <w:t>כמותי רציף, סולם רווח</w:t>
            </w:r>
          </w:p>
        </w:tc>
        <w:tc>
          <w:tcPr>
            <w:tcW w:type="dxa" w:w="2296"/>
          </w:tcPr>
          <w:p>
            <w:pPr>
              <w:bidi w:val="true"/>
              <w:spacing w:lineRule="auto" w:line="240" w:after="40" w:before="0"/>
              <w:jc w:val="right"/>
            </w:pPr>
            <w:r/>
            <w:r>
              <w:rPr>
                <w:rFonts w:ascii="David" w:hAnsi="David" w:cs="David"/>
                <w:b w:val="0"/>
                <w:sz w:val="20"/>
                <w:szCs w:val="20"/>
                <w:rtl w:val="true"/>
              </w:rPr>
              <w:t>שאלון השחיקה של מסלאך (Maslach Burnout Inventory, MBI)</w:t>
            </w:r>
          </w:p>
        </w:tc>
      </w:tr>
      <w:tr>
        <w:tc>
          <w:tcPr>
            <w:tcW w:type="dxa" w:w="2296"/>
          </w:tcPr>
          <w:p>
            <w:pPr>
              <w:bidi w:val="true"/>
              <w:spacing w:lineRule="auto" w:line="240" w:after="40" w:before="0"/>
              <w:jc w:val="right"/>
            </w:pPr>
            <w:r/>
            <w:r>
              <w:rPr>
                <w:rFonts w:ascii="David" w:hAnsi="David" w:cs="David"/>
                <w:b w:val="0"/>
                <w:sz w:val="20"/>
                <w:szCs w:val="20"/>
                <w:rtl w:val="true"/>
              </w:rPr>
              <w:t>מסוגלות עצמית הוראתית</w:t>
            </w:r>
          </w:p>
        </w:tc>
        <w:tc>
          <w:tcPr>
            <w:tcW w:type="dxa" w:w="2296"/>
          </w:tcPr>
          <w:p>
            <w:pPr>
              <w:bidi w:val="true"/>
              <w:spacing w:lineRule="auto" w:line="240" w:after="40" w:before="0"/>
              <w:jc w:val="right"/>
            </w:pPr>
            <w:r/>
            <w:r>
              <w:rPr>
                <w:rFonts w:ascii="David" w:hAnsi="David" w:cs="David"/>
                <w:b w:val="0"/>
                <w:sz w:val="20"/>
                <w:szCs w:val="20"/>
                <w:rtl w:val="true"/>
              </w:rPr>
              <w:t>מתווך</w:t>
            </w:r>
          </w:p>
        </w:tc>
        <w:tc>
          <w:tcPr>
            <w:tcW w:type="dxa" w:w="2296"/>
          </w:tcPr>
          <w:p>
            <w:pPr>
              <w:bidi w:val="true"/>
              <w:spacing w:lineRule="auto" w:line="240" w:after="40" w:before="0"/>
              <w:jc w:val="right"/>
            </w:pPr>
            <w:r/>
            <w:r>
              <w:rPr>
                <w:rFonts w:ascii="David" w:hAnsi="David" w:cs="David"/>
                <w:b w:val="0"/>
                <w:sz w:val="20"/>
                <w:szCs w:val="20"/>
                <w:rtl w:val="true"/>
              </w:rPr>
              <w:t>כמותי רציף, סולם רווח</w:t>
            </w:r>
          </w:p>
        </w:tc>
        <w:tc>
          <w:tcPr>
            <w:tcW w:type="dxa" w:w="2296"/>
          </w:tcPr>
          <w:p>
            <w:pPr>
              <w:bidi w:val="true"/>
              <w:spacing w:lineRule="auto" w:line="240" w:after="40" w:before="0"/>
              <w:jc w:val="right"/>
            </w:pPr>
            <w:r/>
            <w:r>
              <w:rPr>
                <w:rFonts w:ascii="David" w:hAnsi="David" w:cs="David"/>
                <w:b w:val="0"/>
                <w:sz w:val="20"/>
                <w:szCs w:val="20"/>
                <w:rtl w:val="true"/>
              </w:rPr>
              <w:t>שאלון TSES של Tschannen-Moran ו-Woolfolk Hoy (2001)</w:t>
            </w:r>
          </w:p>
        </w:tc>
      </w:tr>
      <w:tr>
        <w:tc>
          <w:tcPr>
            <w:tcW w:type="dxa" w:w="2296"/>
          </w:tcPr>
          <w:p>
            <w:pPr>
              <w:bidi w:val="true"/>
              <w:spacing w:lineRule="auto" w:line="240" w:after="40" w:before="0"/>
              <w:jc w:val="right"/>
            </w:pPr>
            <w:r/>
            <w:r>
              <w:rPr>
                <w:rFonts w:ascii="David" w:hAnsi="David" w:cs="David"/>
                <w:b w:val="0"/>
                <w:sz w:val="20"/>
                <w:szCs w:val="20"/>
                <w:rtl w:val="true"/>
              </w:rPr>
              <w:t>ותק, הכשרה בחינוך מיוחד, מספר משולבים</w:t>
            </w:r>
          </w:p>
        </w:tc>
        <w:tc>
          <w:tcPr>
            <w:tcW w:type="dxa" w:w="2296"/>
          </w:tcPr>
          <w:p>
            <w:pPr>
              <w:bidi w:val="true"/>
              <w:spacing w:lineRule="auto" w:line="240" w:after="40" w:before="0"/>
              <w:jc w:val="right"/>
            </w:pPr>
            <w:r/>
            <w:r>
              <w:rPr>
                <w:rFonts w:ascii="David" w:hAnsi="David" w:cs="David"/>
                <w:b w:val="0"/>
                <w:sz w:val="20"/>
                <w:szCs w:val="20"/>
                <w:rtl w:val="true"/>
              </w:rPr>
              <w:t>משתני רקע / בקרה</w:t>
            </w:r>
          </w:p>
        </w:tc>
        <w:tc>
          <w:tcPr>
            <w:tcW w:type="dxa" w:w="2296"/>
          </w:tcPr>
          <w:p>
            <w:pPr>
              <w:bidi w:val="true"/>
              <w:spacing w:lineRule="auto" w:line="240" w:after="40" w:before="0"/>
              <w:jc w:val="right"/>
            </w:pPr>
            <w:r/>
            <w:r>
              <w:rPr>
                <w:rFonts w:ascii="David" w:hAnsi="David" w:cs="David"/>
                <w:b w:val="0"/>
                <w:sz w:val="20"/>
                <w:szCs w:val="20"/>
                <w:rtl w:val="true"/>
              </w:rPr>
              <w:t>ותק ומספר משולבים: כמותי; סוג ההכשרה: איכותי קטגוריאלי</w:t>
            </w:r>
          </w:p>
        </w:tc>
        <w:tc>
          <w:tcPr>
            <w:tcW w:type="dxa" w:w="2296"/>
          </w:tcPr>
          <w:p>
            <w:pPr>
              <w:bidi w:val="true"/>
              <w:spacing w:lineRule="auto" w:line="240" w:after="40" w:before="0"/>
              <w:jc w:val="right"/>
            </w:pPr>
            <w:r/>
            <w:r>
              <w:rPr>
                <w:rFonts w:ascii="David" w:hAnsi="David" w:cs="David"/>
                <w:b w:val="0"/>
                <w:sz w:val="20"/>
                <w:szCs w:val="20"/>
                <w:rtl w:val="true"/>
              </w:rPr>
              <w:t>שאלון פרטים דמוגרפיים ומקצועיים</w:t>
            </w:r>
          </w:p>
        </w:tc>
      </w:tr>
    </w:tbl>
    <w:p>
      <w:pPr>
        <w:bidi w:val="true"/>
        <w:spacing w:lineRule="auto" w:line="360" w:after="40" w:before="0"/>
        <w:jc w:val="both"/>
      </w:pPr>
      <w:r>
        <w:rPr>
          <w:rFonts w:ascii="David" w:hAnsi="David" w:cs="David"/>
          <w:b w:val="0"/>
          <w:sz w:val="24"/>
          <w:szCs w:val="24"/>
          <w:rtl w:val="true"/>
        </w:rPr>
      </w:r>
    </w:p>
    <w:p>
      <w:pPr>
        <w:bidi w:val="true"/>
        <w:spacing w:lineRule="auto" w:line="360" w:after="120" w:before="0"/>
        <w:jc w:val="both"/>
      </w:pPr>
      <w:r>
        <w:rPr>
          <w:rFonts w:ascii="David" w:hAnsi="David" w:cs="David"/>
          <w:b w:val="0"/>
          <w:sz w:val="24"/>
          <w:szCs w:val="24"/>
          <w:rtl w:val="true"/>
        </w:rPr>
        <w:t>בחירת סוגי הכלים אינה מקרית. שלושת המשתנים המרכזיים הם תפיסות פנימיות של המורה, ולכן הכלי הטבעי למדוד אותם הוא שאלון דיווח עצמי בסולם ליקרט, שמניב ציון מספרי רציף שאפשר להריץ עליו מתאמים ורגרסיה. אילו רצינו למדוד למשל עוררות פיזיולוגית של מתח, היינו פונים לכלים אחרים כמו מדידת דופק או מוליכות עורית, אך כאן מדובר בעמדות ובאמונות, ואלה נמדדות היטב בשאלון.</w:t>
      </w:r>
    </w:p>
    <w:p>
      <w:pPr>
        <w:bidi w:val="true"/>
        <w:spacing w:lineRule="auto" w:line="360" w:after="80" w:before="160"/>
        <w:jc w:val="right"/>
      </w:pPr>
      <w:r>
        <w:rPr>
          <w:rFonts w:ascii="David" w:hAnsi="David" w:cs="David"/>
          <w:b/>
          <w:sz w:val="26"/>
          <w:szCs w:val="26"/>
          <w:rtl w:val="true"/>
        </w:rPr>
        <w:t>6. שיקולי תוקף ומהימנות</w:t>
      </w:r>
    </w:p>
    <w:p>
      <w:pPr>
        <w:bidi w:val="true"/>
        <w:spacing w:lineRule="auto" w:line="360" w:after="120" w:before="0"/>
        <w:jc w:val="both"/>
      </w:pPr>
      <w:r>
        <w:rPr>
          <w:rFonts w:ascii="David" w:hAnsi="David" w:cs="David"/>
          <w:b w:val="0"/>
          <w:sz w:val="24"/>
          <w:szCs w:val="24"/>
          <w:rtl w:val="true"/>
        </w:rPr>
        <w:t>מהימנות. לכל שאלון תיבדק מהימנות עקיבות פנימית באמצעות מקדם אלפא של קרונבך, ורצוי גם מהימנות מבחן-חוזר לתת-מדגם, כדי לוודא יציבות לאורך זמן. השאלונים שנבחרו הם כלים מוכרים בעלי היסטוריית מהימנות טובה בספרות (Tschannen-Moran &amp; Woolfolk Hoy, 2001).</w:t>
      </w:r>
    </w:p>
    <w:p>
      <w:pPr>
        <w:bidi w:val="true"/>
        <w:spacing w:lineRule="auto" w:line="360" w:after="120" w:before="0"/>
        <w:jc w:val="both"/>
      </w:pPr>
      <w:r>
        <w:rPr>
          <w:rFonts w:ascii="David" w:hAnsi="David" w:cs="David"/>
          <w:b w:val="0"/>
          <w:sz w:val="24"/>
          <w:szCs w:val="24"/>
          <w:rtl w:val="true"/>
        </w:rPr>
        <w:t>תוקף. תוקף התוכן יובטח בכך שהשאלונים נגזרים מהגדרות תאורטיות מקובלות ונבדקים על ידי שופטים מומחים. תוקף המבנה ייבחן בניתוח גורמים, כדי לראות שהפריטים אכן נחלקים למדדים שהם אמורים למדוד, למשל שלושת ממדי השחיקה של מסלאך. משתנים שמתורגמים מאנגלית יעברו תרגום והתרגום-חזרה (back-translation) כדי לשמור על נאמנות למקור. נקודת תורפה שיש להכיר בה היא השונות המשותפת של השיטה (common method bias): כשכל המשתנים נמדדים באותו שאלון דיווח עצמי, חלק מהקשר עלול לנבוע מהשיטה ולא מהתוכן. בייט-מרום וצמח (2014) מדגישים את החשיבות של הבחנה זו בין תוקף למהימנות ואת התלות של איכות ההסקה בשניהם.</w:t>
      </w:r>
    </w:p>
    <w:p>
      <w:pPr>
        <w:bidi w:val="true"/>
        <w:spacing w:lineRule="auto" w:line="360" w:after="80" w:before="160"/>
        <w:jc w:val="right"/>
      </w:pPr>
      <w:r>
        <w:rPr>
          <w:rFonts w:ascii="David" w:hAnsi="David" w:cs="David"/>
          <w:b/>
          <w:sz w:val="26"/>
          <w:szCs w:val="26"/>
          <w:rtl w:val="true"/>
        </w:rPr>
        <w:t>7. האוכלוסייה הנחקרת ושיטת הדגימה</w:t>
      </w:r>
    </w:p>
    <w:p>
      <w:pPr>
        <w:bidi w:val="true"/>
        <w:spacing w:lineRule="auto" w:line="360" w:after="120" w:before="0"/>
        <w:jc w:val="both"/>
      </w:pPr>
      <w:r>
        <w:rPr>
          <w:rFonts w:ascii="David" w:hAnsi="David" w:cs="David"/>
          <w:b w:val="0"/>
          <w:sz w:val="24"/>
          <w:szCs w:val="24"/>
          <w:rtl w:val="true"/>
        </w:rPr>
        <w:t>אוכלוסיית המחקר היא מורים בבתי ספר יסודיים בחינוך הרגיל בישראל, המלמדים בכיתות שבהן משולבים תלמידים עם צרכים מיוחדים. הגדרה זו ממקדת את המחקר: לא כלל המורים, אלא דווקא אלה שנפגשים בפועל עם ההכלה בכיתתם, שכן רק אצלם יש טעם לשאול על עמדות כלפי תלמידים משולבים.</w:t>
      </w:r>
    </w:p>
    <w:p>
      <w:pPr>
        <w:bidi w:val="true"/>
        <w:spacing w:lineRule="auto" w:line="360" w:after="120" w:before="0"/>
        <w:jc w:val="both"/>
      </w:pPr>
      <w:r>
        <w:rPr>
          <w:rFonts w:ascii="David" w:hAnsi="David" w:cs="David"/>
          <w:b w:val="0"/>
          <w:sz w:val="24"/>
          <w:szCs w:val="24"/>
          <w:rtl w:val="true"/>
        </w:rPr>
        <w:t>מכיוון שלא ניתן להגיע לכל האוכלוסייה, תיערך דגימה. אשתמש בדגימת אשכולות דו-שלבית: בשלב הראשון תיבחר מדגם של בתי ספר, מתוך ריבוד לפי מחוז ולפי מגזר, כדי לשמור על ייצוג; בשלב השני ישתתפו כלל המורים הרלוונטיים בבתי הספר שנבחרו. שיטה זו מעשית יותר מדגימה אקראית פשוטה של מורים בודדים מכל הארץ, ועדיין שומרת על אקראיות ברמת בית הספר. גודל המדגם המתוכנן הוא כ-300 מורים, מספר שמספיק לניתוח מודל תיווך ברגרסיה תוך שמירה על עוצמה סטטיסטית סבירה (בייט-מרום וצמח, 2014).</w:t>
      </w:r>
    </w:p>
    <w:p>
      <w:pPr>
        <w:bidi w:val="true"/>
        <w:spacing w:lineRule="auto" w:line="360" w:after="80" w:before="160"/>
        <w:jc w:val="right"/>
      </w:pPr>
      <w:r>
        <w:rPr>
          <w:rFonts w:ascii="David" w:hAnsi="David" w:cs="David"/>
          <w:b/>
          <w:sz w:val="26"/>
          <w:szCs w:val="26"/>
          <w:rtl w:val="true"/>
        </w:rPr>
        <w:t>8. סוג המחקר וההנמקה</w:t>
      </w:r>
    </w:p>
    <w:p>
      <w:pPr>
        <w:bidi w:val="true"/>
        <w:spacing w:lineRule="auto" w:line="360" w:after="120" w:before="0"/>
        <w:jc w:val="both"/>
      </w:pPr>
      <w:r>
        <w:rPr>
          <w:rFonts w:ascii="David" w:hAnsi="David" w:cs="David"/>
          <w:b w:val="0"/>
          <w:sz w:val="24"/>
          <w:szCs w:val="24"/>
          <w:rtl w:val="true"/>
        </w:rPr>
        <w:t>המחקר הוא מחקר מתאמי (correlational), ולא ניסוי ולא מחקר משולב. קבעתי זאת לפי אמת מידה פשוטה: האם החוקר מתערב ומניפולציה על המשתנה הבלתי תלוי, או רק מודד אותו כפי שהוא. כאן איני מחלק מורים אקראית לקבוצות ואיני משנה במכוון את עמדותיהם. אני מודד עמדות, מסוגלות ושחיקה כפי שהן קיימות בשדה, ובוחן את הקשרים ביניהן. היעדר מניפולציה והיעדר הקצאה אקראית שוללים סיווג של המחקר כניסוי. מכיוון שכל המשתנים כמותיים ונאספים בכלי אחיד, גם אין כאן שילוב של שיטה איכותנית, ולכן אין מדובר במחקר משולב. השימוש במודל תיווך אינו הופך את המחקר לניסויי; הוא עדיין מבוסס על מתאמים, ולכן המסקנות יהיו על אודות קשרים ולא על אודות סיבתיות ודאית.</w:t>
      </w:r>
    </w:p>
    <w:p>
      <w:pPr>
        <w:bidi w:val="true"/>
        <w:spacing w:lineRule="auto" w:line="360" w:after="80" w:before="160"/>
        <w:jc w:val="right"/>
      </w:pPr>
      <w:r>
        <w:rPr>
          <w:rFonts w:ascii="David" w:hAnsi="David" w:cs="David"/>
          <w:b/>
          <w:sz w:val="26"/>
          <w:szCs w:val="26"/>
          <w:rtl w:val="true"/>
        </w:rPr>
        <w:t>9. אתגרים, בעיות ושיקולים אתיים</w:t>
      </w:r>
    </w:p>
    <w:p>
      <w:pPr>
        <w:bidi w:val="true"/>
        <w:spacing w:lineRule="auto" w:line="360" w:after="120" w:before="0"/>
        <w:jc w:val="both"/>
      </w:pPr>
      <w:r>
        <w:rPr>
          <w:rFonts w:ascii="David" w:hAnsi="David" w:cs="David"/>
          <w:b w:val="0"/>
          <w:sz w:val="24"/>
          <w:szCs w:val="24"/>
          <w:rtl w:val="true"/>
        </w:rPr>
        <w:t>האתגר המתודולוגי המרכזי הוא שאלת הסיבתיות. גם אם יימצא קשר שלילי חזק בין עמדות חיוביות לשחיקה, לא נוכל לומר בוודאות מה גורם למה. ייתכן שעמדות חיוביות מפחיתות שחיקה, אך ייתכן גם ההפך, שמורה שחוק פשוט מפתח עמדות שליליות יותר. מבנה חתך-רוחבי אינו מכריע בשאלה הזו.</w:t>
      </w:r>
    </w:p>
    <w:p>
      <w:pPr>
        <w:bidi w:val="true"/>
        <w:spacing w:lineRule="auto" w:line="360" w:after="120" w:before="0"/>
        <w:jc w:val="both"/>
      </w:pPr>
      <w:r>
        <w:rPr>
          <w:rFonts w:ascii="David" w:hAnsi="David" w:cs="David"/>
          <w:b w:val="0"/>
          <w:sz w:val="24"/>
          <w:szCs w:val="24"/>
          <w:rtl w:val="true"/>
        </w:rPr>
        <w:t>אתגר שני הוא הדיווח העצמי. שלושת המשתנים נשענים על מה שהמורה מוכן לספר על עצמו, וכאן נכנסת רצייה חברתית. הנושא רגיש: מורה עלול לחשוש שהודאה בעמדות שליליות כלפי הכלה או בתחושת שחיקה תיתפס כחוסר מקצועיות. הדבר עלול להטות את התשובות לכיוון הרצוי חברתית ולצמצם את השונות האמיתית.</w:t>
      </w:r>
    </w:p>
    <w:p>
      <w:pPr>
        <w:bidi w:val="true"/>
        <w:spacing w:lineRule="auto" w:line="360" w:after="120" w:before="0"/>
        <w:jc w:val="both"/>
      </w:pPr>
      <w:r>
        <w:rPr>
          <w:rFonts w:ascii="David" w:hAnsi="David" w:cs="David"/>
          <w:b w:val="0"/>
          <w:sz w:val="24"/>
          <w:szCs w:val="24"/>
          <w:rtl w:val="true"/>
        </w:rPr>
        <w:t>מן הצד האתי, הנושא מחייב זהירות. יש להבטיח הסכמה מדעת, השתתפות מרצון ואפשרות לפרוש בכל שלב. אנונימיות מלאה חשובה במיוחד כאן, גם כדי להגן על המשתתפים וגם כדי לשחרר אותם לענות בכנות, בלי חשש שהמנהל או הפיקוח יזהו אותם. נדרשים אישור ועדת האתיקה של המוסד ואישור הגורמים במשרד החינוך, ושמירה קפדנית על חיסיון הנתונים. אתגר אתי נוסף, עדין יותר, הוא הדרך שבה יוצגו הממצאים. תיאור מורים כבעלי עמדות שליליות כלפי הכלה עלול להתגלגל להאשמה של ציבור המורים, ולכן חשוב למסגר את הממצאים כתיאור של תופעה מערכתית הקוראת לתמיכה ולהכשרה, ולא כשיפוט אישי של מי שנמצא בחזית.</w:t>
      </w:r>
    </w:p>
    <w:p>
      <w:pPr>
        <w:bidi w:val="true"/>
        <w:spacing w:lineRule="auto" w:line="360" w:after="80" w:before="160"/>
        <w:jc w:val="right"/>
      </w:pPr>
      <w:r>
        <w:rPr>
          <w:rFonts w:ascii="David" w:hAnsi="David" w:cs="David"/>
          <w:b/>
          <w:sz w:val="26"/>
          <w:szCs w:val="26"/>
          <w:rtl w:val="true"/>
        </w:rPr>
        <w:t>רשימת מקורות</w:t>
      </w:r>
    </w:p>
    <w:p>
      <w:pPr>
        <w:bidi w:val="true"/>
        <w:spacing w:lineRule="auto" w:line="360" w:after="80" w:before="0"/>
        <w:ind w:left="454" w:hanging="454"/>
        <w:jc w:val="both"/>
      </w:pPr>
      <w:r>
        <w:rPr>
          <w:rFonts w:ascii="David" w:hAnsi="David" w:cs="David"/>
          <w:b w:val="0"/>
          <w:sz w:val="24"/>
          <w:szCs w:val="24"/>
          <w:rtl w:val="true"/>
        </w:rPr>
        <w:t>בייט-מרום, ר' וצמח, מ' (2014). שיטות מחקר במדעי החברה. רעננה: האוניברסיטה הפתוחה.</w:t>
      </w:r>
    </w:p>
    <w:p>
      <w:pPr>
        <w:bidi w:val="true"/>
        <w:spacing w:lineRule="auto" w:line="360" w:after="80" w:before="0"/>
        <w:ind w:left="454" w:hanging="454"/>
        <w:jc w:val="both"/>
      </w:pPr>
      <w:r>
        <w:rPr>
          <w:rFonts w:ascii="David" w:hAnsi="David" w:cs="David"/>
          <w:b w:val="0"/>
          <w:sz w:val="24"/>
          <w:szCs w:val="24"/>
          <w:rtl w:val="true"/>
        </w:rPr>
        <w:t>גליקו, ע' ובראון-לבינסון, א' (2022). התמודדות מורים בחינוך הרגיל עם שילוב תלמידים עם צרכים מיוחדים בכיתתם: השוואה בין מורים מזרמי החינוך השונים. מפגש לעבודה חינוכית-סוציאלית, 54.</w:t>
      </w:r>
    </w:p>
    <w:p>
      <w:pPr>
        <w:bidi w:val="true"/>
        <w:spacing w:lineRule="auto" w:line="360" w:after="80" w:before="0"/>
        <w:ind w:left="454" w:hanging="454"/>
        <w:jc w:val="both"/>
      </w:pPr>
      <w:r>
        <w:rPr>
          <w:rFonts w:ascii="David" w:hAnsi="David" w:cs="David"/>
          <w:b w:val="0"/>
          <w:sz w:val="24"/>
          <w:szCs w:val="24"/>
          <w:rtl w:val="true"/>
        </w:rPr>
        <w:t>Avramidis, E., &amp; Norwich, B. (2002). Teachers' attitudes towards integration/inclusion: A review of the literature. European Journal of Special Needs Education, 17(2), 129-147.</w:t>
      </w:r>
    </w:p>
    <w:p>
      <w:pPr>
        <w:bidi w:val="true"/>
        <w:spacing w:lineRule="auto" w:line="360" w:after="80" w:before="0"/>
        <w:ind w:left="454" w:hanging="454"/>
        <w:jc w:val="both"/>
      </w:pPr>
      <w:r>
        <w:rPr>
          <w:rFonts w:ascii="David" w:hAnsi="David" w:cs="David"/>
          <w:b w:val="0"/>
          <w:sz w:val="24"/>
          <w:szCs w:val="24"/>
          <w:rtl w:val="true"/>
        </w:rPr>
        <w:t>Maslach, C., Schaufeli, W. B., &amp; Leiter, M. P. (2001). Job burnout. Annual Review of Psychology, 52, 397-422.</w:t>
      </w:r>
    </w:p>
    <w:p>
      <w:pPr>
        <w:bidi w:val="true"/>
        <w:spacing w:lineRule="auto" w:line="360" w:after="80" w:before="0"/>
        <w:ind w:left="454" w:hanging="454"/>
        <w:jc w:val="both"/>
      </w:pPr>
      <w:r>
        <w:rPr>
          <w:rFonts w:ascii="David" w:hAnsi="David" w:cs="David"/>
          <w:b w:val="0"/>
          <w:sz w:val="24"/>
          <w:szCs w:val="24"/>
          <w:rtl w:val="true"/>
        </w:rPr>
        <w:t>Tschannen-Moran, M., &amp; Woolfolk Hoy, A. (2001). Teacher efficacy: Capturing an elusive construct. Teaching and Teacher Education, 17(7), 783-805.</w:t>
      </w:r>
    </w:p>
    <w:sectPr w:rsidR="00FC693F" w:rsidRPr="0006063C" w:rsidSect="00034616">
      <w:pgSz w:w="11906" w:h="16838"/>
      <w:pgMar w:top="1247" w:right="1361" w:bottom="1247" w:left="1361"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