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rPr>
        <w:t>אנו, החתומות מטה, מצהירות כי עבודה זו, "ניהול משא ומתן של מנהלי בתי ספר במגזר הערבי מול בעלי עניין", המוגשת בקורס ניהול משא ומתן בהנחיית ד"ר רמי הוכמן, היא עבודתנו. כל רעיון, נתון או ציטוט שנלקח ממקור אחר מאוזכר בגוף העבודה ומופיע ברשימת המקורות לפי כללי APA. העבודה לא הוגשה, כולה או חלקה, בקורס אחר.</w:t>
      </w:r>
    </w:p>
    <w:p>
      <w:r>
        <w:rPr>
          <w:b w:val="0"/>
          <w:i w:val="0"/>
          <w:noProof/>
        </w:rPr>
        <w:t>הראיונות המובאים בעבודה נערכו על ידינו. שמות המרואיינים ושמות בתי הספר הוחלפו לשמירה על פרטיותם.</w:t>
      </w:r>
    </w:p>
    <w:p>
      <w:r>
        <w:rPr>
          <w:b/>
          <w:bCs/>
          <w:i w:val="0"/>
          <w:noProof/>
        </w:rPr>
        <w:t>הצהרה על שימוש בבינה מלאכותית:</w:t>
      </w:r>
      <w:r>
        <w:rPr>
          <w:b w:val="0"/>
          <w:i w:val="0"/>
          <w:noProof/>
        </w:rPr>
        <w:t xml:space="preserve"> בהכנת העבודה נעזרנו בכלי בינה מלאכותית (Claude) לאיתור מקורות, לבניית מבנה העבודה, לניסוח טיוטות ולעריכה לשונית. בדקנו את התוכן, את המקורות ואת הניתוח, ואנו אחראיות לכל האמור בעבודה.</w:t>
      </w:r>
    </w:p>
    <w:p>
      <w:r>
        <w:rPr>
          <w:b w:val="0"/>
          <w:i w:val="0"/>
          <w:noProof/>
          <w:highlight w:val="yellow"/>
        </w:rPr>
        <w:t>[אם באתר הקורס יש טופס הצהרה רשמי, יש להשתמש בנוסח שלו במקום הנוסח הזה.]</w:t>
      </w:r>
    </w:p>
    <w:p>
      <w:r>
        <w:rPr>
          <w:b w:val="0"/>
          <w:i w:val="0"/>
          <w:noProof/>
        </w:rPr>
        <w:t>תאריך: 8.10.2026</w:t>
      </w:r>
    </w:p>
    <w:tbl>
      <w:tblPr>
        <w:bidiVisual/>
        <w:tblW w:type="auto" w:w="0"/>
        <w:jc w:val="center"/>
        <w:tblLook w:firstColumn="1" w:firstRow="1" w:lastColumn="0" w:lastRow="0" w:noHBand="0" w:noVBand="1" w:val="04A0"/>
      </w:tblPr>
      <w:tblGrid>
        <w:gridCol w:w="3024"/>
        <w:gridCol w:w="3024"/>
        <w:gridCol w:w="3024"/>
      </w:tblGrid>
      <w:tr>
        <w:tc>
          <w:tcPr>
            <w:tcW w:type="dxa" w:w="3005"/>
          </w:tcPr>
          <w:p>
            <w:pPr>
              <w:spacing w:after="80"/>
              <w:jc w:val="center"/>
            </w:pPr>
            <w:r>
              <w:rPr>
                <w:b w:val="0"/>
                <w:i w:val="0"/>
                <w:noProof/>
              </w:rPr>
              <w:t>רואן לוקמאן ביאטרה</w:t>
            </w:r>
          </w:p>
        </w:tc>
        <w:tc>
          <w:tcPr>
            <w:tcW w:type="dxa" w:w="3005"/>
          </w:tcPr>
          <w:p>
            <w:pPr>
              <w:spacing w:after="80"/>
              <w:jc w:val="center"/>
            </w:pPr>
            <w:r>
              <w:rPr>
                <w:b w:val="0"/>
                <w:i w:val="0"/>
                <w:noProof/>
              </w:rPr>
              <w:t>מריאן אבו־ח'לא</w:t>
            </w:r>
          </w:p>
        </w:tc>
        <w:tc>
          <w:tcPr>
            <w:tcW w:type="dxa" w:w="3005"/>
          </w:tcPr>
          <w:p>
            <w:pPr>
              <w:spacing w:after="80"/>
              <w:jc w:val="center"/>
            </w:pPr>
            <w:r>
              <w:rPr>
                <w:b w:val="0"/>
                <w:i w:val="0"/>
                <w:noProof/>
              </w:rPr>
              <w:t>עביר בדיר</w:t>
            </w:r>
          </w:p>
        </w:tc>
      </w:tr>
      <w:tr>
        <w:tc>
          <w:tcPr>
            <w:tcW w:type="dxa" w:w="3005"/>
          </w:tcPr>
          <w:p>
            <w:pPr>
              <w:spacing w:after="80"/>
              <w:jc w:val="center"/>
            </w:pPr>
            <w:r>
              <w:rPr>
                <w:b w:val="0"/>
                <w:i w:val="0"/>
                <w:noProof/>
              </w:rPr>
              <w:t>ת"ז 300869781</w:t>
            </w:r>
          </w:p>
        </w:tc>
        <w:tc>
          <w:tcPr>
            <w:tcW w:type="dxa" w:w="3005"/>
          </w:tcPr>
          <w:p>
            <w:pPr>
              <w:spacing w:after="80"/>
              <w:jc w:val="center"/>
            </w:pPr>
            <w:r>
              <w:rPr>
                <w:b w:val="0"/>
                <w:i w:val="0"/>
                <w:noProof/>
              </w:rPr>
              <w:t>ת"ז 211584644</w:t>
            </w:r>
          </w:p>
        </w:tc>
        <w:tc>
          <w:tcPr>
            <w:tcW w:type="dxa" w:w="3005"/>
          </w:tcPr>
          <w:p>
            <w:pPr>
              <w:spacing w:after="80"/>
              <w:jc w:val="center"/>
            </w:pPr>
            <w:r>
              <w:rPr>
                <w:b w:val="0"/>
                <w:i w:val="0"/>
                <w:noProof/>
              </w:rPr>
              <w:t>ת"ז 034387365</w:t>
            </w:r>
          </w:p>
        </w:tc>
      </w:tr>
      <w:tr>
        <w:tc>
          <w:tcPr>
            <w:tcW w:type="dxa" w:w="3005"/>
          </w:tcPr>
          <w:p>
            <w:pPr>
              <w:spacing w:after="80"/>
              <w:jc w:val="center"/>
            </w:pPr>
          </w:p>
        </w:tc>
        <w:tc>
          <w:tcPr>
            <w:tcW w:type="dxa" w:w="3005"/>
          </w:tcPr>
          <w:p>
            <w:pPr>
              <w:spacing w:after="80"/>
              <w:jc w:val="center"/>
            </w:pPr>
          </w:p>
        </w:tc>
        <w:tc>
          <w:tcPr>
            <w:tcW w:type="dxa" w:w="3005"/>
          </w:tcPr>
          <w:p>
            <w:pPr>
              <w:spacing w:after="80"/>
              <w:jc w:val="center"/>
            </w:pPr>
          </w:p>
        </w:tc>
      </w:tr>
      <w:tr>
        <w:tc>
          <w:tcPr>
            <w:tcW w:type="dxa" w:w="3005"/>
          </w:tcPr>
          <w:p>
            <w:pPr>
              <w:spacing w:after="80"/>
              <w:jc w:val="center"/>
            </w:pPr>
            <w:r>
              <w:rPr>
                <w:b w:val="0"/>
                <w:i w:val="0"/>
                <w:noProof/>
              </w:rPr>
              <w:t>חתימה: ______________</w:t>
            </w:r>
          </w:p>
        </w:tc>
        <w:tc>
          <w:tcPr>
            <w:tcW w:type="dxa" w:w="3005"/>
          </w:tcPr>
          <w:p>
            <w:pPr>
              <w:spacing w:after="80"/>
              <w:jc w:val="center"/>
            </w:pPr>
            <w:r>
              <w:rPr>
                <w:b w:val="0"/>
                <w:i w:val="0"/>
                <w:noProof/>
              </w:rPr>
              <w:t>חתימה: ______________</w:t>
            </w:r>
          </w:p>
        </w:tc>
        <w:tc>
          <w:tcPr>
            <w:tcW w:type="dxa" w:w="3005"/>
          </w:tcPr>
          <w:p>
            <w:pPr>
              <w:spacing w:after="80"/>
              <w:jc w:val="center"/>
            </w:pPr>
            <w:r>
              <w:rPr>
                <w:b w:val="0"/>
                <w:i w:val="0"/>
                <w:noProof/>
              </w:rPr>
              <w:t>חתימה: ______________</w:t>
            </w:r>
          </w:p>
        </w:tc>
      </w:tr>
    </w:tbl>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r>
        <w:rPr>
          <w:b w:val="0"/>
          <w:i w:val="0"/>
          <w:noProof/>
        </w:rPr>
        <w:t>העבודה מבוססת על ארבעה ראיונות חצי־מובנים, באורך של כשעה כל אחד, עם מנהלים ומנהלות של ארבעה בתי ספר ממלכתיים במגזר הערבי, שניים במשולש ושניים בדרום. כל מרואיין תיאר שני מקרי משא ומתן מהשנתיים האחרונות (נספחים א-ה). שמות המרואיינים ובתי הספר הוחלפו לשמירה על פרטיותם.</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361"/>
            <w:shd w:val="clear" w:color="auto" w:fill="D9D9D9"/>
          </w:tcPr>
          <w:p>
            <w:pPr>
              <w:spacing w:line="240" w:lineRule="auto" w:after="0"/>
              <w:jc w:val="right"/>
            </w:pPr>
            <w:r>
              <w:rPr>
                <w:b/>
                <w:bCs/>
                <w:i w:val="0"/>
                <w:noProof/>
                <w:sz w:val="20"/>
                <w:szCs w:val="20"/>
              </w:rPr>
              <w:t>מרואיין</w:t>
            </w:r>
          </w:p>
        </w:tc>
        <w:tc>
          <w:tcPr>
            <w:tcW w:type="dxa" w:w="3402"/>
            <w:shd w:val="clear" w:color="auto" w:fill="D9D9D9"/>
          </w:tcPr>
          <w:p>
            <w:pPr>
              <w:spacing w:line="240" w:lineRule="auto" w:after="0"/>
              <w:jc w:val="right"/>
            </w:pPr>
            <w:r>
              <w:rPr>
                <w:b/>
                <w:bCs/>
                <w:i w:val="0"/>
                <w:noProof/>
                <w:sz w:val="20"/>
                <w:szCs w:val="20"/>
              </w:rPr>
              <w:t>בית הספר</w:t>
            </w:r>
          </w:p>
        </w:tc>
        <w:tc>
          <w:tcPr>
            <w:tcW w:type="dxa" w:w="1928"/>
            <w:shd w:val="clear" w:color="auto" w:fill="D9D9D9"/>
          </w:tcPr>
          <w:p>
            <w:pPr>
              <w:spacing w:line="240" w:lineRule="auto" w:after="0"/>
              <w:jc w:val="right"/>
            </w:pPr>
            <w:r>
              <w:rPr>
                <w:b/>
                <w:bCs/>
                <w:i w:val="0"/>
                <w:noProof/>
                <w:sz w:val="20"/>
                <w:szCs w:val="20"/>
              </w:rPr>
              <w:t>ותק</w:t>
            </w:r>
          </w:p>
        </w:tc>
        <w:tc>
          <w:tcPr>
            <w:tcW w:type="dxa" w:w="2381"/>
            <w:shd w:val="clear" w:color="auto" w:fill="D9D9D9"/>
          </w:tcPr>
          <w:p>
            <w:pPr>
              <w:spacing w:line="240" w:lineRule="auto" w:after="0"/>
              <w:jc w:val="right"/>
            </w:pPr>
            <w:r>
              <w:rPr>
                <w:b/>
                <w:bCs/>
                <w:i w:val="0"/>
                <w:noProof/>
                <w:sz w:val="20"/>
                <w:szCs w:val="20"/>
              </w:rPr>
              <w:t>בעלי העניין העיקריים</w:t>
            </w:r>
          </w:p>
        </w:tc>
      </w:tr>
      <w:tr>
        <w:tc>
          <w:tcPr>
            <w:tcW w:type="dxa" w:w="1361"/>
          </w:tcPr>
          <w:p>
            <w:pPr>
              <w:spacing w:line="240" w:lineRule="auto" w:after="0"/>
              <w:jc w:val="right"/>
            </w:pPr>
            <w:r>
              <w:rPr>
                <w:b w:val="0"/>
                <w:i w:val="0"/>
                <w:noProof/>
                <w:sz w:val="20"/>
                <w:szCs w:val="20"/>
              </w:rPr>
              <w:t>סמיר</w:t>
            </w:r>
          </w:p>
        </w:tc>
        <w:tc>
          <w:tcPr>
            <w:tcW w:type="dxa" w:w="3402"/>
          </w:tcPr>
          <w:p>
            <w:pPr>
              <w:spacing w:line="240" w:lineRule="auto" w:after="0"/>
              <w:jc w:val="right"/>
            </w:pPr>
            <w:r>
              <w:rPr>
                <w:b w:val="0"/>
                <w:i w:val="0"/>
                <w:noProof/>
                <w:sz w:val="20"/>
                <w:szCs w:val="20"/>
              </w:rPr>
              <w:t>יסודי, טייבה, כ־400 תלמידים</w:t>
            </w:r>
          </w:p>
        </w:tc>
        <w:tc>
          <w:tcPr>
            <w:tcW w:type="dxa" w:w="1928"/>
          </w:tcPr>
          <w:p>
            <w:pPr>
              <w:spacing w:line="240" w:lineRule="auto" w:after="0"/>
              <w:jc w:val="right"/>
            </w:pPr>
            <w:r>
              <w:rPr>
                <w:b w:val="0"/>
                <w:i w:val="0"/>
                <w:noProof/>
                <w:sz w:val="20"/>
                <w:szCs w:val="20"/>
              </w:rPr>
              <w:t>24 שנים, 7 כמנהל</w:t>
            </w:r>
          </w:p>
        </w:tc>
        <w:tc>
          <w:tcPr>
            <w:tcW w:type="dxa" w:w="2381"/>
          </w:tcPr>
          <w:p>
            <w:pPr>
              <w:spacing w:line="240" w:lineRule="auto" w:after="0"/>
              <w:jc w:val="right"/>
            </w:pPr>
            <w:r>
              <w:rPr>
                <w:b w:val="0"/>
                <w:i w:val="0"/>
                <w:noProof/>
                <w:sz w:val="20"/>
                <w:szCs w:val="20"/>
              </w:rPr>
              <w:t>העירייה, ועד ההורים, המפקחת</w:t>
            </w:r>
          </w:p>
        </w:tc>
      </w:tr>
      <w:tr>
        <w:tc>
          <w:tcPr>
            <w:tcW w:type="dxa" w:w="1361"/>
          </w:tcPr>
          <w:p>
            <w:pPr>
              <w:spacing w:line="240" w:lineRule="auto" w:after="0"/>
              <w:jc w:val="right"/>
            </w:pPr>
            <w:r>
              <w:rPr>
                <w:b w:val="0"/>
                <w:i w:val="0"/>
                <w:noProof/>
                <w:sz w:val="20"/>
                <w:szCs w:val="20"/>
              </w:rPr>
              <w:t>רנא</w:t>
            </w:r>
          </w:p>
        </w:tc>
        <w:tc>
          <w:tcPr>
            <w:tcW w:type="dxa" w:w="3402"/>
          </w:tcPr>
          <w:p>
            <w:pPr>
              <w:spacing w:line="240" w:lineRule="auto" w:after="0"/>
              <w:jc w:val="right"/>
            </w:pPr>
            <w:r>
              <w:rPr>
                <w:b w:val="0"/>
                <w:i w:val="0"/>
                <w:noProof/>
                <w:sz w:val="20"/>
                <w:szCs w:val="20"/>
              </w:rPr>
              <w:t>חטיבת ביניים, עיר ערבית בדרום, כ־300 תלמידים</w:t>
            </w:r>
          </w:p>
        </w:tc>
        <w:tc>
          <w:tcPr>
            <w:tcW w:type="dxa" w:w="1928"/>
          </w:tcPr>
          <w:p>
            <w:pPr>
              <w:spacing w:line="240" w:lineRule="auto" w:after="0"/>
              <w:jc w:val="right"/>
            </w:pPr>
            <w:r>
              <w:rPr>
                <w:b w:val="0"/>
                <w:i w:val="0"/>
                <w:noProof/>
                <w:sz w:val="20"/>
                <w:szCs w:val="20"/>
              </w:rPr>
              <w:t>27 שנים, 9 כמנהלת</w:t>
            </w:r>
          </w:p>
        </w:tc>
        <w:tc>
          <w:tcPr>
            <w:tcW w:type="dxa" w:w="2381"/>
          </w:tcPr>
          <w:p>
            <w:pPr>
              <w:spacing w:line="240" w:lineRule="auto" w:after="0"/>
              <w:jc w:val="right"/>
            </w:pPr>
            <w:r>
              <w:rPr>
                <w:b w:val="0"/>
                <w:i w:val="0"/>
                <w:noProof/>
                <w:sz w:val="20"/>
                <w:szCs w:val="20"/>
              </w:rPr>
              <w:t>צוות המורים, הורים, ספקים</w:t>
            </w:r>
          </w:p>
        </w:tc>
      </w:tr>
      <w:tr>
        <w:tc>
          <w:tcPr>
            <w:tcW w:type="dxa" w:w="1361"/>
          </w:tcPr>
          <w:p>
            <w:pPr>
              <w:spacing w:line="240" w:lineRule="auto" w:after="0"/>
              <w:jc w:val="right"/>
            </w:pPr>
            <w:r>
              <w:rPr>
                <w:b w:val="0"/>
                <w:i w:val="0"/>
                <w:noProof/>
                <w:sz w:val="20"/>
                <w:szCs w:val="20"/>
              </w:rPr>
              <w:t>ח'אלד</w:t>
            </w:r>
          </w:p>
        </w:tc>
        <w:tc>
          <w:tcPr>
            <w:tcW w:type="dxa" w:w="3402"/>
          </w:tcPr>
          <w:p>
            <w:pPr>
              <w:spacing w:line="240" w:lineRule="auto" w:after="0"/>
              <w:jc w:val="right"/>
            </w:pPr>
            <w:r>
              <w:rPr>
                <w:b w:val="0"/>
                <w:i w:val="0"/>
                <w:noProof/>
                <w:sz w:val="20"/>
                <w:szCs w:val="20"/>
              </w:rPr>
              <w:t>תיכון מקיף, יישוב בדואי בנגב, כ־320 תלמידים</w:t>
            </w:r>
          </w:p>
        </w:tc>
        <w:tc>
          <w:tcPr>
            <w:tcW w:type="dxa" w:w="1928"/>
          </w:tcPr>
          <w:p>
            <w:pPr>
              <w:spacing w:line="240" w:lineRule="auto" w:after="0"/>
              <w:jc w:val="right"/>
            </w:pPr>
            <w:r>
              <w:rPr>
                <w:b w:val="0"/>
                <w:i w:val="0"/>
                <w:noProof/>
                <w:sz w:val="20"/>
                <w:szCs w:val="20"/>
              </w:rPr>
              <w:t>19 שנים, 4 כמנהל</w:t>
            </w:r>
          </w:p>
        </w:tc>
        <w:tc>
          <w:tcPr>
            <w:tcW w:type="dxa" w:w="2381"/>
          </w:tcPr>
          <w:p>
            <w:pPr>
              <w:spacing w:line="240" w:lineRule="auto" w:after="0"/>
              <w:jc w:val="right"/>
            </w:pPr>
            <w:r>
              <w:rPr>
                <w:b w:val="0"/>
                <w:i w:val="0"/>
                <w:noProof/>
                <w:sz w:val="20"/>
                <w:szCs w:val="20"/>
              </w:rPr>
              <w:t>המועצה, חברת ההסעות, משפחות</w:t>
            </w:r>
          </w:p>
        </w:tc>
      </w:tr>
      <w:tr>
        <w:tc>
          <w:tcPr>
            <w:tcW w:type="dxa" w:w="1361"/>
          </w:tcPr>
          <w:p>
            <w:pPr>
              <w:spacing w:line="240" w:lineRule="auto" w:after="0"/>
              <w:jc w:val="right"/>
            </w:pPr>
            <w:r>
              <w:rPr>
                <w:b w:val="0"/>
                <w:i w:val="0"/>
                <w:noProof/>
                <w:sz w:val="20"/>
                <w:szCs w:val="20"/>
              </w:rPr>
              <w:t>אמאני</w:t>
            </w:r>
          </w:p>
        </w:tc>
        <w:tc>
          <w:tcPr>
            <w:tcW w:type="dxa" w:w="3402"/>
          </w:tcPr>
          <w:p>
            <w:pPr>
              <w:spacing w:line="240" w:lineRule="auto" w:after="0"/>
              <w:jc w:val="right"/>
            </w:pPr>
            <w:r>
              <w:rPr>
                <w:b w:val="0"/>
                <w:i w:val="0"/>
                <w:noProof/>
                <w:sz w:val="20"/>
                <w:szCs w:val="20"/>
              </w:rPr>
              <w:t>חטיבת ביניים, באקה אל־גרבייה, כ־300 תלמידים</w:t>
            </w:r>
          </w:p>
        </w:tc>
        <w:tc>
          <w:tcPr>
            <w:tcW w:type="dxa" w:w="1928"/>
          </w:tcPr>
          <w:p>
            <w:pPr>
              <w:spacing w:line="240" w:lineRule="auto" w:after="0"/>
              <w:jc w:val="right"/>
            </w:pPr>
            <w:r>
              <w:rPr>
                <w:b w:val="0"/>
                <w:i w:val="0"/>
                <w:noProof/>
                <w:sz w:val="20"/>
                <w:szCs w:val="20"/>
              </w:rPr>
              <w:t>22 שנים, 6 כמנהלת</w:t>
            </w:r>
          </w:p>
        </w:tc>
        <w:tc>
          <w:tcPr>
            <w:tcW w:type="dxa" w:w="2381"/>
          </w:tcPr>
          <w:p>
            <w:pPr>
              <w:spacing w:line="240" w:lineRule="auto" w:after="0"/>
              <w:jc w:val="right"/>
            </w:pPr>
            <w:r>
              <w:rPr>
                <w:b w:val="0"/>
                <w:i w:val="0"/>
                <w:noProof/>
                <w:sz w:val="20"/>
                <w:szCs w:val="20"/>
              </w:rPr>
              <w:t>העירייה, הקב"ט, ועד ההורים</w:t>
            </w:r>
          </w:p>
        </w:tc>
      </w:tr>
    </w:tbl>
    <w:p/>
    <w:p>
      <w:r>
        <w:rPr>
          <w:b w:val="0"/>
          <w:i w:val="0"/>
          <w:noProof/>
        </w:rPr>
        <w:t>בכל ארבעת בתי הספר המבנה דומה: מנהל, סגנים, רכזים ויועצת, וגם חלוקת הסמכויות דומה. המנהל מאשר לבד מערכת, שיבוץ ותשלומי הורים, כל מה שכרוך בכסף, במבנה ובהסעות עובר ברשות המקומית, ותקנים עוברים בפיקוח. קונפליקט הוא תהליך שבו מתגלה חוסר הלימה בין צדדים שתלויים זה בזה (Rahim, 2002), ובית הספר נמצא במרכז רשת של תלויות כאלה מול הרשות, משרד החינוך, ההורים, המורים והספקים.</w:t>
      </w:r>
    </w:p>
    <w:p>
      <w:r>
        <w:rPr>
          <w:b/>
          <w:bCs/>
          <w:i w:val="0"/>
          <w:noProof/>
        </w:rPr>
        <w:t>אתגרי ניהול:</w:t>
      </w:r>
      <w:r>
        <w:rPr>
          <w:b w:val="0"/>
          <w:i w:val="0"/>
          <w:noProof/>
        </w:rPr>
        <w:t xml:space="preserve"> ארבעה אתגרים עלו בראיונות. הראשון הוא תשתיות והסעות: צפיפות וכיתות בקרוונים אצל סמיר, והסעות מהפזורה אצל ח'אלד, שהוא מגדיר כבעיית שוויון. זה תואם את הפערים בחינוך הבדואי בנגב, שבו שיעור הלומדים בגילי 16-17 והתקציב לתלמיד נמוכים מאלה שבחינוך העברי (ויסבלאי, 2017). השני הוא מחסור במורים, בעיקר באנגלית, במתמטיקה ובמדעים (אבו סעד, 2021), שעלול להחריף בעקבות החוק שמגביל העסקת בוגרי מוסדות אקדמיים של הרשות הפלסטינית (הארץ, 2026). השלישי הוא המלחמה, שהעלתה לסדר היום מיגון, חרדה ועבודה מרחוק, ובמוסדות חינוך רבים ביישובים הבדואים חסרים מרחבים מוגנים (עדאלה, 2023). הרביעי, שעלה אצל אמאני, הוא האלימות והירי בחברה הערבית, שפוגעים בנוכחות ובתחושת הביטחון.</w:t>
      </w:r>
    </w:p>
    <w:p>
      <w:r>
        <w:rPr>
          <w:noProof/>
        </w:rPr>
        <w:br w:type="page"/>
      </w:r>
    </w:p>
    <w:p>
      <w:pPr>
        <w:pStyle w:val="Heading1"/>
      </w:pPr>
      <w:r>
        <w:rPr>
          <w:noProof/>
        </w:rPr>
        <w:t>סקירת ספרות</w:t>
      </w:r>
    </w:p>
    <w:p>
      <w:pPr>
        <w:pStyle w:val="Heading2"/>
      </w:pPr>
      <w:r>
        <w:rPr>
          <w:noProof/>
        </w:rPr>
        <w:t>משא ומתן חלוקתי ואינטגרטיבי</w:t>
      </w:r>
    </w:p>
    <w:p>
      <w:r>
        <w:rPr>
          <w:b w:val="0"/>
          <w:i w:val="0"/>
          <w:noProof/>
        </w:rPr>
        <w:t>משא ומתן הוא דרך אחת לפתרון קונפליקט, שהצדדים בוחרים בה כשהם מעריכים שהיא עדיפה על החלופות (גלין, 1996), ותוצאותיו תלויות גם באישיותם של הצדדים וביחסי הגומלין ביניהם (Amistad et al., 2018). במשא ומתן חלוקתי הצדדים מתחלקים בעוגה קבועה, ובמשא ומתן אינטגרטיבי הם מחפשים הסכמים שמגדילים את הערך הכולל, בדרך כלל על ידי החלפת ויתורים בנושאים שכל צד מייחס להם חשיבות שונה (Lewicki et al., 1999). Benetti ועמיתיו (Benetti et al., 2021) מצאו שגם שיתוף פעולה נראה שונה בתרבויות שונות: אצל האיטלקים הוא עובר דרך רגש וקשר אישי, ואצל האמריקאים דרך קריטריונים טכניים. שני כלי ניתוח משמשים לאורך העבודה: BATNA, החלופה הטובה ביותר להסכם (פישר ואחרים, 2013), ו־ZOPA, טווח ההסכמה שבין הקווים האדומים של הצדדים (Lewicki et al., 1999).</w:t>
      </w:r>
    </w:p>
    <w:p>
      <w:pPr>
        <w:pStyle w:val="Heading2"/>
      </w:pPr>
      <w:r>
        <w:rPr>
          <w:noProof/>
        </w:rPr>
        <w:t>משא ומתן על פי עקרונות</w:t>
      </w:r>
    </w:p>
    <w:p>
      <w:r>
        <w:rPr>
          <w:b w:val="0"/>
          <w:i w:val="0"/>
          <w:noProof/>
        </w:rPr>
        <w:t>פישר, יורי ופאטון (2013) מציעים ארבעה עקרונות: להפריד בין האנשים לבעיה, להתמקד באינטרסים ולא בעמדות, ליצור אפשרויות לרווח הדדי ולהשתמש בקריטריונים אובייקטיביים. עמדה היא מה שצד דורש, ואינטרס הוא הסיבה שבגללה הוא דורש זאת. Elgoibar ועמיתיו (Elgoibar et al., 2021) מצאו בקרב 614 מנהלי משאבי אנוש באירופה שאמון בנציגי הצד השני מגדיל את השפעתם, בעיקר בנושאים אינטגרטיביים, ואלברשטין (2018) מתארת מגמה דומה במערכת המשפט, שבה הסכמה מועדפת על הכרעה כפויה.</w:t>
      </w:r>
    </w:p>
    <w:p>
      <w:pPr>
        <w:pStyle w:val="Heading2"/>
      </w:pPr>
      <w:r>
        <w:rPr>
          <w:noProof/>
        </w:rPr>
        <w:t>מודל העניין הכפול</w:t>
      </w:r>
    </w:p>
    <w:p>
      <w:r>
        <w:rPr>
          <w:b w:val="0"/>
          <w:i w:val="0"/>
          <w:noProof/>
        </w:rPr>
        <w:t>מודל העניין הכפול מסביר את הסגנון בקונפליקט לפי שני ממדים, דאגה לעצמי ודאגה לאחר, ומזהה חמישה סגנונות: אינטגרטיבי, מוותר, תחרותי, נמנע ופשרני (Rahim, 1983). Miller (2014) מצא פער בין הסגנון שאנשים מצהירים עליו לבין מה שהם עושים בפועל. Yeung ו־Ho (Yeung &amp; Ho, 2020) מצאו שעובדים שמתמקדים במגבלות נוטים יותר להימנעות ולסגנון תחרותי, ו־Yin ועמיתיו (Yin et al., 2022) מצאו שסגנון שיתופי של ראש צוות משפר את האקלים הרגשי בצוות.</w:t>
      </w:r>
    </w:p>
    <w:p>
      <w:pPr>
        <w:pStyle w:val="Heading2"/>
      </w:pPr>
      <w:r>
        <w:rPr>
          <w:noProof/>
        </w:rPr>
        <w:t>תורת המשחקים</w:t>
      </w:r>
    </w:p>
    <w:p>
      <w:r>
        <w:rPr>
          <w:b w:val="0"/>
          <w:i w:val="0"/>
          <w:noProof/>
        </w:rPr>
        <w:t>תורת המשחקים מנתחת משא ומתן כמשחק שבו כל שחקן מנסה לחזות את תגובת הצד השני. דילמת האסיר מראה שהתנהגות רציונלית של כל צד בנפרד יכולה להוביל לתוצאה גרועה לשניהם, ובני אדם פועלים גם משיקולי הוגנות ודוחים הצעה שנתפסת כמעליבה גם כשהדחייה עולה להם (רייכרד, 2019). בארגון רוב המשחקים חוזרים, ולכן מוניטין ואמון משפיעים על כל סבב הבא.</w:t>
      </w:r>
    </w:p>
    <w:p>
      <w:pPr>
        <w:pStyle w:val="Heading2"/>
      </w:pPr>
      <w:r>
        <w:rPr>
          <w:noProof/>
        </w:rPr>
        <w:t>הטיות קוגניטיביות</w:t>
      </w:r>
    </w:p>
    <w:p>
      <w:r>
        <w:rPr>
          <w:b w:val="0"/>
          <w:i w:val="0"/>
          <w:noProof/>
        </w:rPr>
        <w:t>הטיית העיגון גורמת להצעה הראשונה להשפיע על כל ההצעות שאחריה (Lipp et al., 2023), אבל כשלצד אחד חסר מידע, דווקא הצד שמגיב שני מרוויח (Maaravi &amp; Levy, 2017). הטיית העוגה הקבועה וייחוס כוונות רעות לצד השני דוחפים לגישה חלוקתית גם כשקיים פתרון אינטגרטיבי (Lewicki et al., 1999).</w:t>
      </w:r>
    </w:p>
    <w:p>
      <w:pPr>
        <w:pStyle w:val="Heading2"/>
      </w:pPr>
      <w:r>
        <w:rPr>
          <w:noProof/>
        </w:rPr>
        <w:t>תרבות ארגונית ומשא ומתן</w:t>
      </w:r>
    </w:p>
    <w:p>
      <w:r>
        <w:rPr>
          <w:b w:val="0"/>
          <w:i w:val="0"/>
          <w:noProof/>
        </w:rPr>
        <w:t>תרבות ארגונית היא מערכת ערכים ונורמות, והנורמה מתרגמת ערך כללי להוראת התנהגות (שפירא, 1983). מש וכהן (2021) מצאו בישראל שתרבות חזקה נקשרת דווקא לסגנון תחרותי, כי היא מדכאת הבעה פתוחה של אינטרסים, ו־Yamini ועמיתיו (Yamini et al., 2025) הראו שערכים קולקטיביסטיים נקשרים לפתרון בעיות משותף כשהדאגה היא לשני הצדדים.</w:t>
      </w:r>
    </w:p>
    <w:p>
      <w:r>
        <w:rPr>
          <w:noProof/>
        </w:rPr>
        <w:br w:type="page"/>
      </w:r>
    </w:p>
    <w:p>
      <w:pPr>
        <w:pStyle w:val="Heading1"/>
      </w:pPr>
      <w:r>
        <w:rPr>
          <w:noProof/>
        </w:rPr>
        <w:t>ניתוח דוגמאות משא ומתן לפי תיאוריות</w:t>
      </w:r>
    </w:p>
    <w:p>
      <w:r>
        <w:rPr>
          <w:b w:val="0"/>
          <w:i w:val="0"/>
          <w:noProof/>
        </w:rPr>
        <w:t>עשר הדוגמאות נלקחו מהראיונות, שתיים לכל תיאוריה. דוגמה 9 בוחנת שוב את מקרה ההסעות מזווית אחרת. הקווים האדומים מובאים כפי שהמרואיינים תיארו אותם.</w:t>
      </w:r>
    </w:p>
    <w:p>
      <w:pPr>
        <w:pStyle w:val="Heading2"/>
      </w:pPr>
      <w:r>
        <w:rPr>
          <w:noProof/>
        </w:rPr>
        <w:t>תיאוריה 1: משא ומתן חלוקתי ואינטגרטיבי</w:t>
      </w:r>
    </w:p>
    <w:p>
      <w:pPr>
        <w:pStyle w:val="Heading3"/>
      </w:pPr>
      <w:r>
        <w:rPr>
          <w:noProof/>
        </w:rPr>
        <w:t>דוגמה 1: רנא מול ספק תוכנית התגבור</w:t>
      </w:r>
    </w:p>
    <w:p>
      <w:r>
        <w:rPr>
          <w:b w:val="0"/>
          <w:i w:val="0"/>
          <w:noProof/>
        </w:rPr>
        <w:t>הספק דרש להעלות את המחיר ב־30%, ורנא, שלא הייתה מרוצה מביטולים ומתחלופת מדריכים, דרשה אותו מחיר ויותר קבוצות.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הספק</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מנצל את המחסור במורים</w:t>
            </w:r>
          </w:p>
        </w:tc>
        <w:tc>
          <w:tcPr>
            <w:tcW w:type="dxa" w:w="3798"/>
          </w:tcPr>
          <w:p>
            <w:pPr>
              <w:spacing w:line="240" w:lineRule="auto" w:after="0"/>
              <w:jc w:val="right"/>
            </w:pPr>
            <w:r>
              <w:rPr>
                <w:b w:val="0"/>
                <w:i w:val="0"/>
                <w:noProof/>
                <w:sz w:val="20"/>
                <w:szCs w:val="20"/>
              </w:rPr>
              <w:t>לקוחה שלא תעז לעזוב</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אותו מחיר, 10 קבוצות, קנס על ביטול</w:t>
            </w:r>
          </w:p>
        </w:tc>
        <w:tc>
          <w:tcPr>
            <w:tcW w:type="dxa" w:w="3798"/>
          </w:tcPr>
          <w:p>
            <w:pPr>
              <w:spacing w:line="240" w:lineRule="auto" w:after="0"/>
              <w:jc w:val="right"/>
            </w:pPr>
            <w:r>
              <w:rPr>
                <w:b w:val="0"/>
                <w:i w:val="0"/>
                <w:noProof/>
                <w:sz w:val="20"/>
                <w:szCs w:val="20"/>
              </w:rPr>
              <w:t>+30%, 8 קבוצות, בלי קנס</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צמצום פערים, תקציב קבוע</w:t>
            </w:r>
          </w:p>
        </w:tc>
        <w:tc>
          <w:tcPr>
            <w:tcW w:type="dxa" w:w="3798"/>
          </w:tcPr>
          <w:p>
            <w:pPr>
              <w:spacing w:line="240" w:lineRule="auto" w:after="0"/>
              <w:jc w:val="right"/>
            </w:pPr>
            <w:r>
              <w:rPr>
                <w:b w:val="0"/>
                <w:i w:val="0"/>
                <w:noProof/>
                <w:sz w:val="20"/>
                <w:szCs w:val="20"/>
              </w:rPr>
              <w:t>כיסוי עליית שכר, מניעת תקדים</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שתי הצעות מתחרות</w:t>
            </w:r>
          </w:p>
        </w:tc>
        <w:tc>
          <w:tcPr>
            <w:tcW w:type="dxa" w:w="3798"/>
          </w:tcPr>
          <w:p>
            <w:pPr>
              <w:spacing w:line="240" w:lineRule="auto" w:after="0"/>
              <w:jc w:val="right"/>
            </w:pPr>
            <w:r>
              <w:rPr>
                <w:b w:val="0"/>
                <w:i w:val="0"/>
                <w:noProof/>
                <w:sz w:val="20"/>
                <w:szCs w:val="20"/>
              </w:rPr>
              <w:t>אובדן לקוח בקיץ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עד +10%</w:t>
            </w:r>
          </w:p>
        </w:tc>
        <w:tc>
          <w:tcPr>
            <w:tcW w:type="dxa" w:w="3798"/>
          </w:tcPr>
          <w:p>
            <w:pPr>
              <w:spacing w:line="240" w:lineRule="auto" w:after="0"/>
              <w:jc w:val="right"/>
            </w:pPr>
            <w:r>
              <w:rPr>
                <w:b w:val="0"/>
                <w:i w:val="0"/>
                <w:noProof/>
                <w:sz w:val="20"/>
                <w:szCs w:val="20"/>
              </w:rPr>
              <w:t>לפחות +8%</w:t>
            </w:r>
          </w:p>
        </w:tc>
      </w:tr>
    </w:tbl>
    <w:p/>
    <w:p>
      <w:r>
        <w:rPr>
          <w:b/>
          <w:bCs/>
          <w:i w:val="0"/>
          <w:noProof/>
        </w:rPr>
        <w:t>ניתוח:</w:t>
      </w:r>
      <w:r>
        <w:rPr>
          <w:b w:val="0"/>
          <w:i w:val="0"/>
          <w:noProof/>
        </w:rPr>
        <w:t xml:space="preserve"> ההסכם, 9% ו"זיכוי" של שיעור על כל ביטול, נסגר בתוך הטווח. הבסיס חלוקתי: רנא הגיעה עם BATNA מוכחת ועם מחירון עירוני כעוגן (Lipp et al., 2023). אבל סעיף הזיכוי אינטגרטיבי, כי הוא נתן לה הרתעה ולספק הגנה מתקדים של קנס: "מבחינת התוצאה זה מה שרציתי, ומבחינת המילים זה מה שהם היו צריכים".</w:t>
      </w:r>
    </w:p>
    <w:p>
      <w:pPr>
        <w:pStyle w:val="Heading3"/>
      </w:pPr>
      <w:r>
        <w:rPr>
          <w:noProof/>
        </w:rPr>
        <w:t>דוגמה 2: סמיר מול העירייה על אגף כיתות</w:t>
      </w:r>
    </w:p>
    <w:p>
      <w:r>
        <w:rPr>
          <w:b w:val="0"/>
          <w:i w:val="0"/>
          <w:noProof/>
        </w:rPr>
        <w:t>ארבעה בתי ספר התחרו על תקציב בנייה. סמיר דרש שש כיתות, מחלקת החינוך הציעה שתיים, והגזבר סירב לכל הוצאה עירונית.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סמיר</w:t>
            </w:r>
          </w:p>
        </w:tc>
        <w:tc>
          <w:tcPr>
            <w:tcW w:type="dxa" w:w="3798"/>
            <w:shd w:val="clear" w:color="auto" w:fill="D9D9D9"/>
          </w:tcPr>
          <w:p>
            <w:pPr>
              <w:spacing w:line="240" w:lineRule="auto" w:after="0"/>
              <w:jc w:val="right"/>
            </w:pPr>
            <w:r>
              <w:rPr>
                <w:b/>
                <w:bCs/>
                <w:i w:val="0"/>
                <w:noProof/>
                <w:sz w:val="20"/>
                <w:szCs w:val="20"/>
              </w:rPr>
              <w:t>העירייה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מחלקת לפי פוליטיקה</w:t>
            </w:r>
          </w:p>
        </w:tc>
        <w:tc>
          <w:tcPr>
            <w:tcW w:type="dxa" w:w="3798"/>
          </w:tcPr>
          <w:p>
            <w:pPr>
              <w:spacing w:line="240" w:lineRule="auto" w:after="0"/>
              <w:jc w:val="right"/>
            </w:pPr>
            <w:r>
              <w:rPr>
                <w:b w:val="0"/>
                <w:i w:val="0"/>
                <w:noProof/>
                <w:sz w:val="20"/>
                <w:szCs w:val="20"/>
              </w:rPr>
              <w:t>מנהל "צעקן"</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6 כיתות, חדר מדעים</w:t>
            </w:r>
          </w:p>
        </w:tc>
        <w:tc>
          <w:tcPr>
            <w:tcW w:type="dxa" w:w="3798"/>
          </w:tcPr>
          <w:p>
            <w:pPr>
              <w:spacing w:line="240" w:lineRule="auto" w:after="0"/>
              <w:jc w:val="right"/>
            </w:pPr>
            <w:r>
              <w:rPr>
                <w:b w:val="0"/>
                <w:i w:val="0"/>
                <w:noProof/>
                <w:sz w:val="20"/>
                <w:szCs w:val="20"/>
              </w:rPr>
              <w:t>2 כיתות, בלי כסף עירוני</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בטיחות, פדגוגיה, אמון ההורים</w:t>
            </w:r>
          </w:p>
        </w:tc>
        <w:tc>
          <w:tcPr>
            <w:tcW w:type="dxa" w:w="3798"/>
          </w:tcPr>
          <w:p>
            <w:pPr>
              <w:spacing w:line="240" w:lineRule="auto" w:after="0"/>
              <w:jc w:val="right"/>
            </w:pPr>
            <w:r>
              <w:rPr>
                <w:b w:val="0"/>
                <w:i w:val="0"/>
                <w:noProof/>
                <w:sz w:val="20"/>
                <w:szCs w:val="20"/>
              </w:rPr>
              <w:t>שקט, עמידה בתקציב, אפס הוצאה</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פנייה למחוז, ועד ההורים</w:t>
            </w:r>
          </w:p>
        </w:tc>
        <w:tc>
          <w:tcPr>
            <w:tcW w:type="dxa" w:w="3798"/>
          </w:tcPr>
          <w:p>
            <w:pPr>
              <w:spacing w:line="240" w:lineRule="auto" w:after="0"/>
              <w:jc w:val="right"/>
            </w:pPr>
            <w:r>
              <w:rPr>
                <w:b w:val="0"/>
                <w:i w:val="0"/>
                <w:noProof/>
                <w:sz w:val="20"/>
                <w:szCs w:val="20"/>
              </w:rPr>
              <w:t>לבנות בבית ספר אחר</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3 כיתות</w:t>
            </w:r>
          </w:p>
        </w:tc>
        <w:tc>
          <w:tcPr>
            <w:tcW w:type="dxa" w:w="3798"/>
          </w:tcPr>
          <w:p>
            <w:pPr>
              <w:spacing w:line="240" w:lineRule="auto" w:after="0"/>
              <w:jc w:val="right"/>
            </w:pPr>
            <w:r>
              <w:rPr>
                <w:b w:val="0"/>
                <w:i w:val="0"/>
                <w:noProof/>
                <w:sz w:val="20"/>
                <w:szCs w:val="20"/>
              </w:rPr>
              <w:t>בלי כסף עירוני</w:t>
            </w:r>
          </w:p>
        </w:tc>
      </w:tr>
    </w:tbl>
    <w:p/>
    <w:p>
      <w:r>
        <w:rPr>
          <w:b/>
          <w:bCs/>
          <w:i w:val="0"/>
          <w:noProof/>
        </w:rPr>
        <w:t>ניתוח:</w:t>
      </w:r>
      <w:r>
        <w:rPr>
          <w:b w:val="0"/>
          <w:i w:val="0"/>
          <w:noProof/>
        </w:rPr>
        <w:t xml:space="preserve"> הפתיחה הייתה חלוקתית, שש מול שתיים (גלין, 1996). המפנה הגיע כשסמיר הבין שלכל גורם בעירייה אינטרס אחר, והגדיל את העוגה בתקציב ביטחון של משרד החינוך לפתרון הזמני. ההסכם: ארבע כיתות. הלקח שלו: חדר המדעים נחתך ראשון כי היה חלק מחבילה, ודרישה חשובה צריכה לעמוד לבד.</w:t>
      </w:r>
    </w:p>
    <w:p>
      <w:pPr>
        <w:pStyle w:val="Heading2"/>
      </w:pPr>
      <w:r>
        <w:rPr>
          <w:noProof/>
        </w:rPr>
        <w:t>תיאוריה 2: משא ומתן על פי עקרונות</w:t>
      </w:r>
    </w:p>
    <w:p>
      <w:pPr>
        <w:pStyle w:val="Heading3"/>
      </w:pPr>
      <w:r>
        <w:rPr>
          <w:noProof/>
        </w:rPr>
        <w:t>דוגמה 3: סמיר מול ועד ההורים על תוכנית העשרה</w:t>
      </w:r>
    </w:p>
    <w:p>
      <w:r>
        <w:rPr>
          <w:b w:val="0"/>
          <w:i w:val="0"/>
          <w:noProof/>
        </w:rPr>
        <w:t>סמיר הציע חוגים ב־280 ש"ח לחודש, והוועד דרש 150 ש"ח, מחיר המתנ"ס, וחשד שיש לו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סמיר</w:t>
            </w:r>
          </w:p>
        </w:tc>
        <w:tc>
          <w:tcPr>
            <w:tcW w:type="dxa" w:w="3798"/>
            <w:shd w:val="clear" w:color="auto" w:fill="D9D9D9"/>
          </w:tcPr>
          <w:p>
            <w:pPr>
              <w:spacing w:line="240" w:lineRule="auto" w:after="0"/>
              <w:jc w:val="right"/>
            </w:pPr>
            <w:r>
              <w:rPr>
                <w:b/>
                <w:bCs/>
                <w:i w:val="0"/>
                <w:noProof/>
                <w:sz w:val="20"/>
                <w:szCs w:val="20"/>
              </w:rPr>
              <w:t>ועד ההורים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מתנגדים כדי להתנגד</w:t>
            </w:r>
          </w:p>
        </w:tc>
        <w:tc>
          <w:tcPr>
            <w:tcW w:type="dxa" w:w="3798"/>
          </w:tcPr>
          <w:p>
            <w:pPr>
              <w:spacing w:line="240" w:lineRule="auto" w:after="0"/>
              <w:jc w:val="right"/>
            </w:pPr>
            <w:r>
              <w:rPr>
                <w:b w:val="0"/>
                <w:i w:val="0"/>
                <w:noProof/>
                <w:sz w:val="20"/>
                <w:szCs w:val="20"/>
              </w:rPr>
              <w:t>מנהל שמחליט לבד</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280 ש"ח, החברה שבחר</w:t>
            </w:r>
          </w:p>
        </w:tc>
        <w:tc>
          <w:tcPr>
            <w:tcW w:type="dxa" w:w="3798"/>
          </w:tcPr>
          <w:p>
            <w:pPr>
              <w:spacing w:line="240" w:lineRule="auto" w:after="0"/>
              <w:jc w:val="right"/>
            </w:pPr>
            <w:r>
              <w:rPr>
                <w:b w:val="0"/>
                <w:i w:val="0"/>
                <w:noProof/>
                <w:sz w:val="20"/>
                <w:szCs w:val="20"/>
              </w:rPr>
              <w:t>150 ש"ח, הוועד בוחר</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חיזוק האנגלית, מסגרת להורים עובדים</w:t>
            </w:r>
          </w:p>
        </w:tc>
        <w:tc>
          <w:tcPr>
            <w:tcW w:type="dxa" w:w="3798"/>
          </w:tcPr>
          <w:p>
            <w:pPr>
              <w:spacing w:line="240" w:lineRule="auto" w:after="0"/>
              <w:jc w:val="right"/>
            </w:pPr>
            <w:r>
              <w:rPr>
                <w:b w:val="0"/>
                <w:i w:val="0"/>
                <w:noProof/>
                <w:sz w:val="20"/>
                <w:szCs w:val="20"/>
              </w:rPr>
              <w:t>שוויון בין הילדים, כבוד הוועד</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תוכנית חינמית של המשרד</w:t>
            </w:r>
          </w:p>
        </w:tc>
        <w:tc>
          <w:tcPr>
            <w:tcW w:type="dxa" w:w="3798"/>
          </w:tcPr>
          <w:p>
            <w:pPr>
              <w:spacing w:line="240" w:lineRule="auto" w:after="0"/>
              <w:jc w:val="right"/>
            </w:pPr>
            <w:r>
              <w:rPr>
                <w:b w:val="0"/>
                <w:i w:val="0"/>
                <w:noProof/>
                <w:sz w:val="20"/>
                <w:szCs w:val="20"/>
              </w:rPr>
              <w:t>להורות לא להירשם</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200 ש"ח</w:t>
            </w:r>
          </w:p>
        </w:tc>
        <w:tc>
          <w:tcPr>
            <w:tcW w:type="dxa" w:w="3798"/>
          </w:tcPr>
          <w:p>
            <w:pPr>
              <w:spacing w:line="240" w:lineRule="auto" w:after="0"/>
              <w:jc w:val="right"/>
            </w:pPr>
            <w:r>
              <w:rPr>
                <w:b w:val="0"/>
                <w:i w:val="0"/>
                <w:noProof/>
                <w:sz w:val="20"/>
                <w:szCs w:val="20"/>
              </w:rPr>
              <w:t>אף ילד לא נשאר בחוץ</w:t>
            </w:r>
          </w:p>
        </w:tc>
      </w:tr>
    </w:tbl>
    <w:p/>
    <w:p>
      <w:r>
        <w:rPr>
          <w:b/>
          <w:bCs/>
          <w:i w:val="0"/>
          <w:noProof/>
        </w:rPr>
        <w:t>ניתוח:</w:t>
      </w:r>
      <w:r>
        <w:rPr>
          <w:b w:val="0"/>
          <w:i w:val="0"/>
          <w:noProof/>
        </w:rPr>
        <w:t xml:space="preserve"> ארבעת העקרונות באים לידי ביטוי (פישר ואחרים, 2013). סמיר הפריד בין האנשים לבעיה כשהודה שטעה בסדר הפעולות, זיהה שהוויכוח על המחיר הוא "ויכוח על שוויון ועל כבוד", יצר אופציה חדשה, מלגות במימון מחלקת הרווחה, והשתמש בקריטריונים: השוואת מחירים ונתוני רווחה. ההסכם: 210 ש"ח ושמונה עשרה מלגות.</w:t>
      </w:r>
    </w:p>
    <w:p>
      <w:pPr>
        <w:pStyle w:val="Heading3"/>
      </w:pPr>
      <w:r>
        <w:rPr>
          <w:noProof/>
        </w:rPr>
        <w:t>דוגמה 4: רנא מול הצוות על ההוראה בזמן המלחמה</w:t>
      </w:r>
    </w:p>
    <w:p>
      <w:r>
        <w:rPr>
          <w:b w:val="0"/>
          <w:i w:val="0"/>
          <w:noProof/>
        </w:rPr>
        <w:t>רנא דרשה הגעה מלאה של כל המורים, והנציגות דרשה הוראה מהבית ושיעור בזום שייספר כשיעור מלא.</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נציגות המורים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מחפשים להקטין עבודה</w:t>
            </w:r>
          </w:p>
        </w:tc>
        <w:tc>
          <w:tcPr>
            <w:tcW w:type="dxa" w:w="3798"/>
          </w:tcPr>
          <w:p>
            <w:pPr>
              <w:spacing w:line="240" w:lineRule="auto" w:after="0"/>
              <w:jc w:val="right"/>
            </w:pPr>
            <w:r>
              <w:rPr>
                <w:b w:val="0"/>
                <w:i w:val="0"/>
                <w:noProof/>
                <w:sz w:val="20"/>
                <w:szCs w:val="20"/>
              </w:rPr>
              <w:t>מחוברת לעירייה ולא לצוות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הגעה מלאה, מלוא השעות</w:t>
            </w:r>
          </w:p>
        </w:tc>
        <w:tc>
          <w:tcPr>
            <w:tcW w:type="dxa" w:w="3798"/>
          </w:tcPr>
          <w:p>
            <w:pPr>
              <w:spacing w:line="240" w:lineRule="auto" w:after="0"/>
              <w:jc w:val="right"/>
            </w:pPr>
            <w:r>
              <w:rPr>
                <w:b w:val="0"/>
                <w:i w:val="0"/>
                <w:noProof/>
                <w:sz w:val="20"/>
                <w:szCs w:val="20"/>
              </w:rPr>
              <w:t>הוראה מהבית, בלי זמינות</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מסגרת לילדים בלי תנאים בבית</w:t>
            </w:r>
          </w:p>
        </w:tc>
        <w:tc>
          <w:tcPr>
            <w:tcW w:type="dxa" w:w="3798"/>
          </w:tcPr>
          <w:p>
            <w:pPr>
              <w:spacing w:line="240" w:lineRule="auto" w:after="0"/>
              <w:jc w:val="right"/>
            </w:pPr>
            <w:r>
              <w:rPr>
                <w:b w:val="0"/>
                <w:i w:val="0"/>
                <w:noProof/>
                <w:sz w:val="20"/>
                <w:szCs w:val="20"/>
              </w:rPr>
              <w:t>ביטחון, ילדים קטנים בבית</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לחייב הגעה (חלשה)</w:t>
            </w:r>
          </w:p>
        </w:tc>
        <w:tc>
          <w:tcPr>
            <w:tcW w:type="dxa" w:w="3798"/>
          </w:tcPr>
          <w:p>
            <w:pPr>
              <w:spacing w:line="240" w:lineRule="auto" w:after="0"/>
              <w:jc w:val="right"/>
            </w:pPr>
            <w:r>
              <w:rPr>
                <w:b w:val="0"/>
                <w:i w:val="0"/>
                <w:noProof/>
                <w:sz w:val="20"/>
                <w:szCs w:val="20"/>
              </w:rPr>
              <w:t>גיבוי ארגון המורים</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בית ספר פתוח כל יום</w:t>
            </w:r>
          </w:p>
        </w:tc>
        <w:tc>
          <w:tcPr>
            <w:tcW w:type="dxa" w:w="3798"/>
          </w:tcPr>
          <w:p>
            <w:pPr>
              <w:spacing w:line="240" w:lineRule="auto" w:after="0"/>
              <w:jc w:val="right"/>
            </w:pPr>
            <w:r>
              <w:rPr>
                <w:b w:val="0"/>
                <w:i w:val="0"/>
                <w:noProof/>
                <w:sz w:val="20"/>
                <w:szCs w:val="20"/>
              </w:rPr>
              <w:t>בלי חובת הגעה באזעקות</w:t>
            </w:r>
          </w:p>
        </w:tc>
      </w:tr>
    </w:tbl>
    <w:p/>
    <w:p>
      <w:r>
        <w:rPr>
          <w:b/>
          <w:bCs/>
          <w:i w:val="0"/>
          <w:noProof/>
        </w:rPr>
        <w:t>ניתוח:</w:t>
      </w:r>
      <w:r>
        <w:rPr>
          <w:b w:val="0"/>
          <w:i w:val="0"/>
          <w:noProof/>
        </w:rPr>
        <w:t xml:space="preserve"> המפנה היה קריטריון אובייקטיבי שרנא בנתה, מיפוי התלמידים לפי תנאי הלמידה בבית, שהפך את השאלה מ"כמה מורים אני דורשת" ל"כמה מורים הילדים צריכים" (פישר ואחרים, 2013). ההסכם: תורנויות, יומיים בבניין ושלושה בבית. בלשונה: "הכוח הפורמלי שלי הוא הנכס הכי פחות שימושי שיש לי".</w:t>
      </w:r>
    </w:p>
    <w:p>
      <w:pPr>
        <w:pStyle w:val="Heading2"/>
      </w:pPr>
      <w:r>
        <w:rPr>
          <w:noProof/>
        </w:rPr>
        <w:t>תיאוריה 3: מודל העניין הכפול</w:t>
      </w:r>
    </w:p>
    <w:p>
      <w:pPr>
        <w:pStyle w:val="Heading3"/>
      </w:pPr>
      <w:r>
        <w:rPr>
          <w:noProof/>
        </w:rPr>
        <w:t>דוגמה 5: ח'אלד מול המועצה וחברת ההסעות</w:t>
      </w:r>
    </w:p>
    <w:p>
      <w:r>
        <w:rPr>
          <w:b w:val="0"/>
          <w:i w:val="0"/>
          <w:noProof/>
        </w:rPr>
        <w:t>החברה שזכתה במכרז הפעילה אוטובוסים ישנים, ובחורף ההסעה לשלושה כפרים לא הגיעה ימים שלמים.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המועצה והחברה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מסתתרים מאחורי החוזה</w:t>
            </w:r>
          </w:p>
        </w:tc>
        <w:tc>
          <w:tcPr>
            <w:tcW w:type="dxa" w:w="3798"/>
          </w:tcPr>
          <w:p>
            <w:pPr>
              <w:spacing w:line="240" w:lineRule="auto" w:after="0"/>
              <w:jc w:val="right"/>
            </w:pPr>
            <w:r>
              <w:rPr>
                <w:b w:val="0"/>
                <w:i w:val="0"/>
                <w:noProof/>
                <w:sz w:val="20"/>
                <w:szCs w:val="20"/>
              </w:rPr>
              <w:t>"מביא בעיות, לא פתרונות"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רכב גיבוי, דיווח, קנסות</w:t>
            </w:r>
          </w:p>
        </w:tc>
        <w:tc>
          <w:tcPr>
            <w:tcW w:type="dxa" w:w="3798"/>
          </w:tcPr>
          <w:p>
            <w:pPr>
              <w:spacing w:line="240" w:lineRule="auto" w:after="0"/>
              <w:jc w:val="right"/>
            </w:pPr>
            <w:r>
              <w:rPr>
                <w:b w:val="0"/>
                <w:i w:val="0"/>
                <w:noProof/>
                <w:sz w:val="20"/>
                <w:szCs w:val="20"/>
              </w:rPr>
              <w:t>החוזה חתום, אין תקציב</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מניעת נשירה, שוויון</w:t>
            </w:r>
          </w:p>
        </w:tc>
        <w:tc>
          <w:tcPr>
            <w:tcW w:type="dxa" w:w="3798"/>
          </w:tcPr>
          <w:p>
            <w:pPr>
              <w:spacing w:line="240" w:lineRule="auto" w:after="0"/>
              <w:jc w:val="right"/>
            </w:pPr>
            <w:r>
              <w:rPr>
                <w:b w:val="0"/>
                <w:i w:val="0"/>
                <w:noProof/>
                <w:sz w:val="20"/>
                <w:szCs w:val="20"/>
              </w:rPr>
              <w:t>שקט תקציבי, לא להודות בטעות</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דוח יומי לפיקוח</w:t>
            </w:r>
          </w:p>
        </w:tc>
        <w:tc>
          <w:tcPr>
            <w:tcW w:type="dxa" w:w="3798"/>
          </w:tcPr>
          <w:p>
            <w:pPr>
              <w:spacing w:line="240" w:lineRule="auto" w:after="0"/>
              <w:jc w:val="right"/>
            </w:pPr>
            <w:r>
              <w:rPr>
                <w:b w:val="0"/>
                <w:i w:val="0"/>
                <w:noProof/>
                <w:sz w:val="20"/>
                <w:szCs w:val="20"/>
              </w:rPr>
              <w:t>לחכות לקיץ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אף כפר לא יותר מיום</w:t>
            </w:r>
          </w:p>
        </w:tc>
        <w:tc>
          <w:tcPr>
            <w:tcW w:type="dxa" w:w="3798"/>
          </w:tcPr>
          <w:p>
            <w:pPr>
              <w:spacing w:line="240" w:lineRule="auto" w:after="0"/>
              <w:jc w:val="right"/>
            </w:pPr>
            <w:r>
              <w:rPr>
                <w:b w:val="0"/>
                <w:i w:val="0"/>
                <w:noProof/>
                <w:sz w:val="20"/>
                <w:szCs w:val="20"/>
              </w:rPr>
              <w:t>אין תוספת קבועה מהמועצה</w:t>
            </w:r>
          </w:p>
        </w:tc>
      </w:tr>
    </w:tbl>
    <w:p/>
    <w:p>
      <w:r>
        <w:rPr>
          <w:b/>
          <w:bCs/>
          <w:i w:val="0"/>
          <w:noProof/>
        </w:rPr>
        <w:t>ניתוח:</w:t>
      </w:r>
      <w:r>
        <w:rPr>
          <w:b w:val="0"/>
          <w:i w:val="0"/>
          <w:noProof/>
        </w:rPr>
        <w:t xml:space="preserve"> המועצה נקטה סגנון נמנע והחברה סגנון תחרותי (Rahim, 1983). ח'אלד עבר מכעס לסגנון אינטגרטיבי אחרי שלקח את מנהל המחלקה לנסיעה בשש בבוקר לכפר, ושינה את ה־BATNA של המועצה בדוח יומי לפיקוח. ההסכם: רכב גיבוי במימון המחוז ונקודות איסוף בתוך הכפרים, ובחורף שאחרי שלושה ימים ללא הסעה במקום עשרים ושבעה.</w:t>
      </w:r>
    </w:p>
    <w:p>
      <w:pPr>
        <w:pStyle w:val="Heading3"/>
      </w:pPr>
      <w:r>
        <w:rPr>
          <w:noProof/>
        </w:rPr>
        <w:t>דוגמה 6: ח'אלד מול משפחה של תלמידה שמתארסת</w:t>
      </w:r>
    </w:p>
    <w:p>
      <w:r>
        <w:rPr>
          <w:b w:val="0"/>
          <w:i w:val="0"/>
          <w:noProof/>
        </w:rPr>
        <w:t>האב הודיע שבתו, תלמידה מצטיינת בי"א, עוזבת כי היא מתארסת, ומשפחת החתן לא רוצה שתלמד בכיתה עם בנים.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האב והדוד</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אב שמקריב את בתו</w:t>
            </w:r>
          </w:p>
        </w:tc>
        <w:tc>
          <w:tcPr>
            <w:tcW w:type="dxa" w:w="3798"/>
          </w:tcPr>
          <w:p>
            <w:pPr>
              <w:spacing w:line="240" w:lineRule="auto" w:after="0"/>
              <w:jc w:val="right"/>
            </w:pPr>
            <w:r>
              <w:rPr>
                <w:b w:val="0"/>
                <w:i w:val="0"/>
                <w:noProof/>
                <w:sz w:val="20"/>
                <w:szCs w:val="20"/>
              </w:rPr>
              <w:t>מנהל שמתערב בעניין משפחתי</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סיום י"ב, דחיית החתונה</w:t>
            </w:r>
          </w:p>
        </w:tc>
        <w:tc>
          <w:tcPr>
            <w:tcW w:type="dxa" w:w="3798"/>
          </w:tcPr>
          <w:p>
            <w:pPr>
              <w:spacing w:line="240" w:lineRule="auto" w:after="0"/>
              <w:jc w:val="right"/>
            </w:pPr>
            <w:r>
              <w:rPr>
                <w:b w:val="0"/>
                <w:i w:val="0"/>
                <w:noProof/>
                <w:sz w:val="20"/>
                <w:szCs w:val="20"/>
              </w:rPr>
              <w:t>עזיבה מיידית (הדוד: סוף י"א)</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עתיד התלמידה, מסר לבנות אחרות</w:t>
            </w:r>
          </w:p>
        </w:tc>
        <w:tc>
          <w:tcPr>
            <w:tcW w:type="dxa" w:w="3798"/>
          </w:tcPr>
          <w:p>
            <w:pPr>
              <w:spacing w:line="240" w:lineRule="auto" w:after="0"/>
              <w:jc w:val="right"/>
            </w:pPr>
            <w:r>
              <w:rPr>
                <w:b w:val="0"/>
                <w:i w:val="0"/>
                <w:noProof/>
                <w:sz w:val="20"/>
                <w:szCs w:val="20"/>
              </w:rPr>
              <w:t>כבוד המשפחה, ההסכם עם משפחת החתן</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ביקור סדיר (מסלים)</w:t>
            </w:r>
          </w:p>
        </w:tc>
        <w:tc>
          <w:tcPr>
            <w:tcW w:type="dxa" w:w="3798"/>
          </w:tcPr>
          <w:p>
            <w:pPr>
              <w:spacing w:line="240" w:lineRule="auto" w:after="0"/>
              <w:jc w:val="right"/>
            </w:pPr>
            <w:r>
              <w:rPr>
                <w:b w:val="0"/>
                <w:i w:val="0"/>
                <w:noProof/>
                <w:sz w:val="20"/>
                <w:szCs w:val="20"/>
              </w:rPr>
              <w:t>לא לשלוח אותה</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לפחות סיום י"א</w:t>
            </w:r>
          </w:p>
        </w:tc>
        <w:tc>
          <w:tcPr>
            <w:tcW w:type="dxa" w:w="3798"/>
          </w:tcPr>
          <w:p>
            <w:pPr>
              <w:spacing w:line="240" w:lineRule="auto" w:after="0"/>
              <w:jc w:val="right"/>
            </w:pPr>
            <w:r>
              <w:rPr>
                <w:b w:val="0"/>
                <w:i w:val="0"/>
                <w:noProof/>
                <w:sz w:val="20"/>
                <w:szCs w:val="20"/>
              </w:rPr>
              <w:t>חתונה במועד, בלי כיתה מעורבת</w:t>
            </w:r>
          </w:p>
        </w:tc>
      </w:tr>
    </w:tbl>
    <w:p/>
    <w:p>
      <w:r>
        <w:rPr>
          <w:b/>
          <w:bCs/>
          <w:i w:val="0"/>
          <w:noProof/>
        </w:rPr>
        <w:t>ניתוח:</w:t>
      </w:r>
      <w:r>
        <w:rPr>
          <w:b w:val="0"/>
          <w:i w:val="0"/>
          <w:noProof/>
        </w:rPr>
        <w:t xml:space="preserve"> כוחו של ח'אלד היה הקטן ביותר, והוא שילב סגנון אינטגרטיבי ופשרני (Rahim, 1983): ויתר על דחיית החתונה ושמר על התעודה. המפנה היה ההבנה שהאב "מתווך בין שני צדדים", ושהאינטרס שלו הוא כבוד (פישר ואחרים, 2013). ההסכם: י"ב בקבוצת בנות, והתלמידה סיימה עם תעודת בגרות מלאה.</w:t>
      </w:r>
    </w:p>
    <w:p>
      <w:pPr>
        <w:pStyle w:val="Heading2"/>
      </w:pPr>
      <w:r>
        <w:rPr>
          <w:noProof/>
        </w:rPr>
        <w:t>תיאוריה 4: תורת המשחקים</w:t>
      </w:r>
    </w:p>
    <w:p>
      <w:pPr>
        <w:pStyle w:val="Heading3"/>
      </w:pPr>
      <w:r>
        <w:rPr>
          <w:noProof/>
        </w:rPr>
        <w:t>דוגמה 7: רנא מול מורים בתקופת מחסור</w:t>
      </w:r>
    </w:p>
    <w:p>
      <w:r>
        <w:rPr>
          <w:b w:val="0"/>
          <w:i w:val="0"/>
          <w:noProof/>
        </w:rPr>
        <w:t>מורים שיכולים לעזוב "מחר להייטק" מבקשים מערכת נוחה, פחות כיתות קשות או תפקיד ריכוז.</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רנא</w:t>
            </w:r>
          </w:p>
        </w:tc>
        <w:tc>
          <w:tcPr>
            <w:tcW w:type="dxa" w:w="3798"/>
            <w:shd w:val="clear" w:color="auto" w:fill="D9D9D9"/>
          </w:tcPr>
          <w:p>
            <w:pPr>
              <w:spacing w:line="240" w:lineRule="auto" w:after="0"/>
              <w:jc w:val="right"/>
            </w:pPr>
            <w:r>
              <w:rPr>
                <w:b/>
                <w:bCs/>
                <w:i w:val="0"/>
                <w:noProof/>
                <w:sz w:val="20"/>
                <w:szCs w:val="20"/>
              </w:rPr>
              <w:t>המורים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"מתחרה בשוק"</w:t>
            </w:r>
          </w:p>
        </w:tc>
        <w:tc>
          <w:tcPr>
            <w:tcW w:type="dxa" w:w="3798"/>
          </w:tcPr>
          <w:p>
            <w:pPr>
              <w:spacing w:line="240" w:lineRule="auto" w:after="0"/>
              <w:jc w:val="right"/>
            </w:pPr>
            <w:r>
              <w:rPr>
                <w:b w:val="0"/>
                <w:i w:val="0"/>
                <w:noProof/>
                <w:sz w:val="20"/>
                <w:szCs w:val="20"/>
              </w:rPr>
              <w:t>המנהלת צריכה אותי</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שיבוץ לפי טובת בית הספר</w:t>
            </w:r>
          </w:p>
        </w:tc>
        <w:tc>
          <w:tcPr>
            <w:tcW w:type="dxa" w:w="3798"/>
          </w:tcPr>
          <w:p>
            <w:pPr>
              <w:spacing w:line="240" w:lineRule="auto" w:after="0"/>
              <w:jc w:val="right"/>
            </w:pPr>
            <w:r>
              <w:rPr>
                <w:b w:val="0"/>
                <w:i w:val="0"/>
                <w:noProof/>
                <w:sz w:val="20"/>
                <w:szCs w:val="20"/>
              </w:rPr>
              <w:t>הטבות אישיות</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שמירת מורים, הוגנות</w:t>
            </w:r>
          </w:p>
        </w:tc>
        <w:tc>
          <w:tcPr>
            <w:tcW w:type="dxa" w:w="3798"/>
          </w:tcPr>
          <w:p>
            <w:pPr>
              <w:spacing w:line="240" w:lineRule="auto" w:after="0"/>
              <w:jc w:val="right"/>
            </w:pPr>
            <w:r>
              <w:rPr>
                <w:b w:val="0"/>
                <w:i w:val="0"/>
                <w:noProof/>
                <w:sz w:val="20"/>
                <w:szCs w:val="20"/>
              </w:rPr>
              <w:t>עומס סביר, הכרה</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חלשה, אין מחליפים</w:t>
            </w:r>
          </w:p>
        </w:tc>
        <w:tc>
          <w:tcPr>
            <w:tcW w:type="dxa" w:w="3798"/>
          </w:tcPr>
          <w:p>
            <w:pPr>
              <w:spacing w:line="240" w:lineRule="auto" w:after="0"/>
              <w:jc w:val="right"/>
            </w:pPr>
            <w:r>
              <w:rPr>
                <w:b w:val="0"/>
                <w:i w:val="0"/>
                <w:noProof/>
                <w:sz w:val="20"/>
                <w:szCs w:val="20"/>
              </w:rPr>
              <w:t>חזקה, לעזוב</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הסדר סודי</w:t>
            </w:r>
          </w:p>
        </w:tc>
        <w:tc>
          <w:tcPr>
            <w:tcW w:type="dxa" w:w="3798"/>
          </w:tcPr>
          <w:p>
            <w:pPr>
              <w:spacing w:line="240" w:lineRule="auto" w:after="0"/>
              <w:jc w:val="right"/>
            </w:pPr>
            <w:r>
              <w:rPr>
                <w:b w:val="0"/>
                <w:i w:val="0"/>
                <w:noProof/>
                <w:sz w:val="20"/>
                <w:szCs w:val="20"/>
              </w:rPr>
              <w:t>תנאים הוגנים</w:t>
            </w:r>
          </w:p>
        </w:tc>
      </w:tr>
    </w:tbl>
    <w:p/>
    <w:p>
      <w:r>
        <w:rPr>
          <w:b/>
          <w:bCs/>
          <w:i w:val="0"/>
          <w:noProof/>
        </w:rPr>
        <w:t>ניתוח:</w:t>
      </w:r>
      <w:r>
        <w:rPr>
          <w:b w:val="0"/>
          <w:i w:val="0"/>
          <w:noProof/>
        </w:rPr>
        <w:t xml:space="preserve"> זהו משחק חוזר עם הרבה שחקנים. הסדר אישי עם מורה אחד ילמד את כולם שמשתלם לאיים בעזיבה, ומה שרציונלי לכל מורה יפגע בצוות כולו (רייכרד, 2019). רנא שינתה את חוקי המשחק בכללים גלויים, למשל עדיפות במערכת למי שלקח שתי כיתות קשות, ונענתה לשיקול ההוגנות. לדבריה, מורים רוצים בעיקר "הרגשה שרואים אותם".</w:t>
      </w:r>
    </w:p>
    <w:p>
      <w:pPr>
        <w:pStyle w:val="Heading3"/>
      </w:pPr>
      <w:r>
        <w:rPr>
          <w:noProof/>
        </w:rPr>
        <w:t>דוגמה 8: אמאני מול העירייה וועד ההורים על אבטחה</w:t>
      </w:r>
    </w:p>
    <w:p>
      <w:r>
        <w:rPr>
          <w:b w:val="0"/>
          <w:i w:val="0"/>
          <w:noProof/>
        </w:rPr>
        <w:t>אחרי ירי ליד בית הספר הגיעו פחות ממחצית התלמידים, והוועד דרש שומר, גדר ומצלמות. העירייה טענה שאין תקן, והקב"ט הפנה למשטרה.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אמאני</w:t>
            </w:r>
          </w:p>
        </w:tc>
        <w:tc>
          <w:tcPr>
            <w:tcW w:type="dxa" w:w="3798"/>
            <w:shd w:val="clear" w:color="auto" w:fill="D9D9D9"/>
          </w:tcPr>
          <w:p>
            <w:pPr>
              <w:spacing w:line="240" w:lineRule="auto" w:after="0"/>
              <w:jc w:val="right"/>
            </w:pPr>
            <w:r>
              <w:rPr>
                <w:b/>
                <w:bCs/>
                <w:i w:val="0"/>
                <w:noProof/>
                <w:sz w:val="20"/>
                <w:szCs w:val="20"/>
              </w:rPr>
              <w:t>העירייה והקב"ט</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מתחבאת מאחורי תוכנית ההבראה</w:t>
            </w:r>
          </w:p>
        </w:tc>
        <w:tc>
          <w:tcPr>
            <w:tcW w:type="dxa" w:w="3798"/>
          </w:tcPr>
          <w:p>
            <w:pPr>
              <w:spacing w:line="240" w:lineRule="auto" w:after="0"/>
              <w:jc w:val="right"/>
            </w:pPr>
            <w:r>
              <w:rPr>
                <w:b w:val="0"/>
                <w:i w:val="0"/>
                <w:noProof/>
                <w:sz w:val="20"/>
                <w:szCs w:val="20"/>
              </w:rPr>
              <w:t>מנהלת שמנצלת אירוע</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שומר, גדר, מצלמות, נוהל</w:t>
            </w:r>
          </w:p>
        </w:tc>
        <w:tc>
          <w:tcPr>
            <w:tcW w:type="dxa" w:w="3798"/>
          </w:tcPr>
          <w:p>
            <w:pPr>
              <w:spacing w:line="240" w:lineRule="auto" w:after="0"/>
              <w:jc w:val="right"/>
            </w:pPr>
            <w:r>
              <w:rPr>
                <w:b w:val="0"/>
                <w:i w:val="0"/>
                <w:noProof/>
                <w:sz w:val="20"/>
                <w:szCs w:val="20"/>
              </w:rPr>
              <w:t>אין תקן, "זה של המשטרה"</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ביטחון, נוכחות, אמון ההורים</w:t>
            </w:r>
          </w:p>
        </w:tc>
        <w:tc>
          <w:tcPr>
            <w:tcW w:type="dxa" w:w="3798"/>
          </w:tcPr>
          <w:p>
            <w:pPr>
              <w:spacing w:line="240" w:lineRule="auto" w:after="0"/>
              <w:jc w:val="right"/>
            </w:pPr>
            <w:r>
              <w:rPr>
                <w:b w:val="0"/>
                <w:i w:val="0"/>
                <w:noProof/>
                <w:sz w:val="20"/>
                <w:szCs w:val="20"/>
              </w:rPr>
              <w:t>בלי הוצאה קבועה, בלי תקדים</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המחוז, תיאום עם ההורים</w:t>
            </w:r>
          </w:p>
        </w:tc>
        <w:tc>
          <w:tcPr>
            <w:tcW w:type="dxa" w:w="3798"/>
          </w:tcPr>
          <w:p>
            <w:pPr>
              <w:spacing w:line="240" w:lineRule="auto" w:after="0"/>
              <w:jc w:val="right"/>
            </w:pPr>
            <w:r>
              <w:rPr>
                <w:b w:val="0"/>
                <w:i w:val="0"/>
                <w:noProof/>
                <w:sz w:val="20"/>
                <w:szCs w:val="20"/>
              </w:rPr>
              <w:t>לחכות שהפחד יירגע</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מבוגר אחראי בשער</w:t>
            </w:r>
          </w:p>
        </w:tc>
        <w:tc>
          <w:tcPr>
            <w:tcW w:type="dxa" w:w="3798"/>
          </w:tcPr>
          <w:p>
            <w:pPr>
              <w:spacing w:line="240" w:lineRule="auto" w:after="0"/>
              <w:jc w:val="right"/>
            </w:pPr>
            <w:r>
              <w:rPr>
                <w:b w:val="0"/>
                <w:i w:val="0"/>
                <w:noProof/>
                <w:sz w:val="20"/>
                <w:szCs w:val="20"/>
              </w:rPr>
              <w:t>בלי תקן שומר עירוני</w:t>
            </w:r>
          </w:p>
        </w:tc>
      </w:tr>
    </w:tbl>
    <w:p/>
    <w:p>
      <w:r>
        <w:rPr>
          <w:b/>
          <w:bCs/>
          <w:i w:val="0"/>
          <w:noProof/>
        </w:rPr>
        <w:t>ניתוח:</w:t>
      </w:r>
      <w:r>
        <w:rPr>
          <w:b w:val="0"/>
          <w:i w:val="0"/>
          <w:noProof/>
        </w:rPr>
        <w:t xml:space="preserve"> כל שחקן בחר באסטרטגיה רציונלית מבחינתו, והתוצאה הייתה גרועה לכולם (רייכרד, 2019). אמאני שינתה את המשחק בקואליציה עם ההורים ובפיזור העלות בין כמה מקורות. ההסכם: מלווה בטיחות במימון המחוז, גדר ומצלמות מתוכנית עירונית. בלשונה: "מנהלת שמביאה מספרים מקבלת תקציב".</w:t>
      </w:r>
    </w:p>
    <w:p>
      <w:pPr>
        <w:pStyle w:val="Heading2"/>
      </w:pPr>
      <w:r>
        <w:rPr>
          <w:noProof/>
        </w:rPr>
        <w:t>תיאוריה 5: הטיות קוגניטיביות</w:t>
      </w:r>
    </w:p>
    <w:p>
      <w:pPr>
        <w:pStyle w:val="Heading3"/>
      </w:pPr>
      <w:r>
        <w:rPr>
          <w:noProof/>
        </w:rPr>
        <w:t>דוגמה 9: ח'אלד והטיית העוגה הקבועה</w:t>
      </w:r>
    </w:p>
    <w:p>
      <w:r>
        <w:rPr>
          <w:b w:val="0"/>
          <w:i w:val="0"/>
          <w:noProof/>
        </w:rPr>
        <w:t>במקרה ההסעות (דוגמה 5) ניסה ח'אלד חודשיים להשיג מימון מהמועצה: "בזבזתי חודשיים בניסיון להוציא כסף מהמועצה שלא היה לה".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ח'אלד</w:t>
            </w:r>
          </w:p>
        </w:tc>
        <w:tc>
          <w:tcPr>
            <w:tcW w:type="dxa" w:w="3798"/>
            <w:shd w:val="clear" w:color="auto" w:fill="D9D9D9"/>
          </w:tcPr>
          <w:p>
            <w:pPr>
              <w:spacing w:line="240" w:lineRule="auto" w:after="0"/>
              <w:jc w:val="right"/>
            </w:pPr>
            <w:r>
              <w:rPr>
                <w:b/>
                <w:bCs/>
                <w:i w:val="0"/>
                <w:noProof/>
                <w:sz w:val="20"/>
                <w:szCs w:val="20"/>
              </w:rPr>
              <w:t>מנהל המחלקה</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מסתתר</w:t>
            </w:r>
          </w:p>
        </w:tc>
        <w:tc>
          <w:tcPr>
            <w:tcW w:type="dxa" w:w="3798"/>
          </w:tcPr>
          <w:p>
            <w:pPr>
              <w:spacing w:line="240" w:lineRule="auto" w:after="0"/>
              <w:jc w:val="right"/>
            </w:pPr>
            <w:r>
              <w:rPr>
                <w:b w:val="0"/>
                <w:i w:val="0"/>
                <w:noProof/>
                <w:sz w:val="20"/>
                <w:szCs w:val="20"/>
              </w:rPr>
              <w:t>מביא בעיות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רכב גיבוי מהמועצה</w:t>
            </w:r>
          </w:p>
        </w:tc>
        <w:tc>
          <w:tcPr>
            <w:tcW w:type="dxa" w:w="3798"/>
          </w:tcPr>
          <w:p>
            <w:pPr>
              <w:spacing w:line="240" w:lineRule="auto" w:after="0"/>
              <w:jc w:val="right"/>
            </w:pPr>
            <w:r>
              <w:rPr>
                <w:b w:val="0"/>
                <w:i w:val="0"/>
                <w:noProof/>
                <w:sz w:val="20"/>
                <w:szCs w:val="20"/>
              </w:rPr>
              <w:t>אין תקציב</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שהתלמידים יגיעו</w:t>
            </w:r>
          </w:p>
        </w:tc>
        <w:tc>
          <w:tcPr>
            <w:tcW w:type="dxa" w:w="3798"/>
          </w:tcPr>
          <w:p>
            <w:pPr>
              <w:spacing w:line="240" w:lineRule="auto" w:after="0"/>
              <w:jc w:val="right"/>
            </w:pPr>
            <w:r>
              <w:rPr>
                <w:b w:val="0"/>
                <w:i w:val="0"/>
                <w:noProof/>
                <w:sz w:val="20"/>
                <w:szCs w:val="20"/>
              </w:rPr>
              <w:t>שקט תקציבי</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פנייה למחוז</w:t>
            </w:r>
          </w:p>
        </w:tc>
        <w:tc>
          <w:tcPr>
            <w:tcW w:type="dxa" w:w="3798"/>
          </w:tcPr>
          <w:p>
            <w:pPr>
              <w:spacing w:line="240" w:lineRule="auto" w:after="0"/>
              <w:jc w:val="right"/>
            </w:pPr>
            <w:r>
              <w:rPr>
                <w:b w:val="0"/>
                <w:i w:val="0"/>
                <w:noProof/>
                <w:sz w:val="20"/>
                <w:szCs w:val="20"/>
              </w:rPr>
              <w:t>לחכות לקיץ</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טווח, כל עוד הכסף מהמועצה</w:t>
            </w:r>
          </w:p>
        </w:tc>
        <w:tc>
          <w:tcPr>
            <w:tcW w:type="dxa" w:w="3798"/>
          </w:tcPr>
          <w:p>
            <w:pPr>
              <w:spacing w:line="240" w:lineRule="auto" w:after="0"/>
              <w:jc w:val="right"/>
            </w:pPr>
            <w:r>
              <w:rPr>
                <w:b w:val="0"/>
                <w:i w:val="0"/>
                <w:noProof/>
                <w:sz w:val="20"/>
                <w:szCs w:val="20"/>
              </w:rPr>
              <w:t>נפתח עם תקציב המחוז</w:t>
            </w:r>
          </w:p>
        </w:tc>
      </w:tr>
    </w:tbl>
    <w:p/>
    <w:p>
      <w:r>
        <w:rPr>
          <w:b/>
          <w:bCs/>
          <w:i w:val="0"/>
          <w:noProof/>
        </w:rPr>
        <w:t>ניתוח:</w:t>
      </w:r>
      <w:r>
        <w:rPr>
          <w:b w:val="0"/>
          <w:i w:val="0"/>
          <w:noProof/>
        </w:rPr>
        <w:t xml:space="preserve"> שני הצדדים הניחו שהכסף יכול לבוא רק מהמועצה, וזו הטיית העוגה הקבועה. בנוסף כל צד ייחס לשני כוונות רעות (Lewicki et al., 1999). הנסיעה לכפר והטבלה של ימים ללא הסעה תיקנו את ההטיות: "המספרים שלי עשו יותר מכל הכעס שלי".</w:t>
      </w:r>
    </w:p>
    <w:p>
      <w:pPr>
        <w:pStyle w:val="Heading3"/>
      </w:pPr>
      <w:r>
        <w:rPr>
          <w:noProof/>
        </w:rPr>
        <w:t>דוגמה 10: אמאני מול ההורים על איסוף הטלפונים</w:t>
      </w:r>
    </w:p>
    <w:p>
      <w:r>
        <w:rPr>
          <w:b w:val="0"/>
          <w:i w:val="0"/>
          <w:noProof/>
        </w:rPr>
        <w:t>אמאני החליטה על איסוף מלא של הטלפונים, וההורים התנגדו בגלל הירי בעיר. גם התלמידים והמורים התנגדו, כל אחד מסיבה אחרת.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474"/>
            <w:shd w:val="clear" w:color="auto" w:fill="D9D9D9"/>
          </w:tcPr>
          <w:p>
            <w:pPr>
              <w:spacing w:line="240" w:lineRule="auto" w:after="0"/>
              <w:jc w:val="right"/>
            </w:pPr>
          </w:p>
        </w:tc>
        <w:tc>
          <w:tcPr>
            <w:tcW w:type="dxa" w:w="3798"/>
            <w:shd w:val="clear" w:color="auto" w:fill="D9D9D9"/>
          </w:tcPr>
          <w:p>
            <w:pPr>
              <w:spacing w:line="240" w:lineRule="auto" w:after="0"/>
              <w:jc w:val="right"/>
            </w:pPr>
            <w:r>
              <w:rPr>
                <w:b/>
                <w:bCs/>
                <w:i w:val="0"/>
                <w:noProof/>
                <w:sz w:val="20"/>
                <w:szCs w:val="20"/>
              </w:rPr>
              <w:t>אמאני</w:t>
            </w:r>
          </w:p>
        </w:tc>
        <w:tc>
          <w:tcPr>
            <w:tcW w:type="dxa" w:w="3798"/>
            <w:shd w:val="clear" w:color="auto" w:fill="D9D9D9"/>
          </w:tcPr>
          <w:p>
            <w:pPr>
              <w:spacing w:line="240" w:lineRule="auto" w:after="0"/>
              <w:jc w:val="right"/>
            </w:pPr>
            <w:r>
              <w:rPr>
                <w:b/>
                <w:bCs/>
                <w:i w:val="0"/>
                <w:noProof/>
                <w:sz w:val="20"/>
                <w:szCs w:val="20"/>
              </w:rPr>
              <w:t>ועד ההורים</w:t>
            </w:r>
          </w:p>
        </w:tc>
      </w:tr>
      <w:tr>
        <w:tc>
          <w:tcPr>
            <w:tcW w:type="dxa" w:w="1474"/>
          </w:tcPr>
          <w:p>
            <w:pPr>
              <w:spacing w:line="240" w:lineRule="auto" w:after="0"/>
              <w:jc w:val="right"/>
            </w:pPr>
            <w:r>
              <w:rPr>
                <w:b/>
                <w:bCs/>
                <w:i w:val="0"/>
                <w:noProof/>
                <w:sz w:val="20"/>
                <w:szCs w:val="20"/>
              </w:rPr>
              <w:t>תפישות</w:t>
            </w:r>
          </w:p>
        </w:tc>
        <w:tc>
          <w:tcPr>
            <w:tcW w:type="dxa" w:w="3798"/>
          </w:tcPr>
          <w:p>
            <w:pPr>
              <w:spacing w:line="240" w:lineRule="auto" w:after="0"/>
              <w:jc w:val="right"/>
            </w:pPr>
            <w:r>
              <w:rPr>
                <w:b w:val="0"/>
                <w:i w:val="0"/>
                <w:noProof/>
                <w:sz w:val="20"/>
                <w:szCs w:val="20"/>
              </w:rPr>
              <w:t>מגינים על נוחות הילדים</w:t>
            </w:r>
          </w:p>
        </w:tc>
        <w:tc>
          <w:tcPr>
            <w:tcW w:type="dxa" w:w="3798"/>
          </w:tcPr>
          <w:p>
            <w:pPr>
              <w:spacing w:line="240" w:lineRule="auto" w:after="0"/>
              <w:jc w:val="right"/>
            </w:pPr>
            <w:r>
              <w:rPr>
                <w:b w:val="0"/>
                <w:i w:val="0"/>
                <w:noProof/>
                <w:sz w:val="20"/>
                <w:szCs w:val="20"/>
              </w:rPr>
              <w:t>מנהלת שמרצה למפקחת</w:t>
            </w:r>
          </w:p>
        </w:tc>
      </w:tr>
      <w:tr>
        <w:tc>
          <w:tcPr>
            <w:tcW w:type="dxa" w:w="1474"/>
          </w:tcPr>
          <w:p>
            <w:pPr>
              <w:spacing w:line="240" w:lineRule="auto" w:after="0"/>
              <w:jc w:val="right"/>
            </w:pPr>
            <w:r>
              <w:rPr>
                <w:b/>
                <w:bCs/>
                <w:i w:val="0"/>
                <w:noProof/>
                <w:sz w:val="20"/>
                <w:szCs w:val="20"/>
              </w:rPr>
              <w:t>עמדות</w:t>
            </w:r>
          </w:p>
        </w:tc>
        <w:tc>
          <w:tcPr>
            <w:tcW w:type="dxa" w:w="3798"/>
          </w:tcPr>
          <w:p>
            <w:pPr>
              <w:spacing w:line="240" w:lineRule="auto" w:after="0"/>
              <w:jc w:val="right"/>
            </w:pPr>
            <w:r>
              <w:rPr>
                <w:b w:val="0"/>
                <w:i w:val="0"/>
                <w:noProof/>
                <w:sz w:val="20"/>
                <w:szCs w:val="20"/>
              </w:rPr>
              <w:t>איסוף מלא, בלי חריגים</w:t>
            </w:r>
          </w:p>
        </w:tc>
        <w:tc>
          <w:tcPr>
            <w:tcW w:type="dxa" w:w="3798"/>
          </w:tcPr>
          <w:p>
            <w:pPr>
              <w:spacing w:line="240" w:lineRule="auto" w:after="0"/>
              <w:jc w:val="right"/>
            </w:pPr>
            <w:r>
              <w:rPr>
                <w:b w:val="0"/>
                <w:i w:val="0"/>
                <w:noProof/>
                <w:sz w:val="20"/>
                <w:szCs w:val="20"/>
              </w:rPr>
              <w:t>"כבוי בתיק"</w:t>
            </w:r>
          </w:p>
        </w:tc>
      </w:tr>
      <w:tr>
        <w:tc>
          <w:tcPr>
            <w:tcW w:type="dxa" w:w="1474"/>
          </w:tcPr>
          <w:p>
            <w:pPr>
              <w:spacing w:line="240" w:lineRule="auto" w:after="0"/>
              <w:jc w:val="right"/>
            </w:pPr>
            <w:r>
              <w:rPr>
                <w:b/>
                <w:bCs/>
                <w:i w:val="0"/>
                <w:noProof/>
                <w:sz w:val="20"/>
                <w:szCs w:val="20"/>
              </w:rPr>
              <w:t>אינטרסים</w:t>
            </w:r>
          </w:p>
        </w:tc>
        <w:tc>
          <w:tcPr>
            <w:tcW w:type="dxa" w:w="3798"/>
          </w:tcPr>
          <w:p>
            <w:pPr>
              <w:spacing w:line="240" w:lineRule="auto" w:after="0"/>
              <w:jc w:val="right"/>
            </w:pPr>
            <w:r>
              <w:rPr>
                <w:b w:val="0"/>
                <w:i w:val="0"/>
                <w:noProof/>
                <w:sz w:val="20"/>
                <w:szCs w:val="20"/>
              </w:rPr>
              <w:t>מניעת אלימות ברשת</w:t>
            </w:r>
          </w:p>
        </w:tc>
        <w:tc>
          <w:tcPr>
            <w:tcW w:type="dxa" w:w="3798"/>
          </w:tcPr>
          <w:p>
            <w:pPr>
              <w:spacing w:line="240" w:lineRule="auto" w:after="0"/>
              <w:jc w:val="right"/>
            </w:pPr>
            <w:r>
              <w:rPr>
                <w:b w:val="0"/>
                <w:i w:val="0"/>
                <w:noProof/>
                <w:sz w:val="20"/>
                <w:szCs w:val="20"/>
              </w:rPr>
              <w:t>להשיג את הילד מיד באירוע</w:t>
            </w:r>
          </w:p>
        </w:tc>
      </w:tr>
      <w:tr>
        <w:tc>
          <w:tcPr>
            <w:tcW w:type="dxa" w:w="1474"/>
          </w:tcPr>
          <w:p>
            <w:pPr>
              <w:spacing w:line="240" w:lineRule="auto" w:after="0"/>
              <w:jc w:val="right"/>
            </w:pPr>
            <w:r>
              <w:rPr>
                <w:b/>
                <w:bCs/>
                <w:i w:val="0"/>
                <w:noProof/>
                <w:sz w:val="20"/>
                <w:szCs w:val="20"/>
              </w:rPr>
              <w:t>BATNA</w:t>
            </w:r>
          </w:p>
        </w:tc>
        <w:tc>
          <w:tcPr>
            <w:tcW w:type="dxa" w:w="3798"/>
          </w:tcPr>
          <w:p>
            <w:pPr>
              <w:spacing w:line="240" w:lineRule="auto" w:after="0"/>
              <w:jc w:val="right"/>
            </w:pPr>
            <w:r>
              <w:rPr>
                <w:b w:val="0"/>
                <w:i w:val="0"/>
                <w:noProof/>
                <w:sz w:val="20"/>
                <w:szCs w:val="20"/>
              </w:rPr>
              <w:t>לכפות (חלשה)</w:t>
            </w:r>
          </w:p>
        </w:tc>
        <w:tc>
          <w:tcPr>
            <w:tcW w:type="dxa" w:w="3798"/>
          </w:tcPr>
          <w:p>
            <w:pPr>
              <w:spacing w:line="240" w:lineRule="auto" w:after="0"/>
              <w:jc w:val="right"/>
            </w:pPr>
            <w:r>
              <w:rPr>
                <w:b w:val="0"/>
                <w:i w:val="0"/>
                <w:noProof/>
                <w:sz w:val="20"/>
                <w:szCs w:val="20"/>
              </w:rPr>
              <w:t>לא לחתום, לפנות למפקחת</w:t>
            </w:r>
          </w:p>
        </w:tc>
      </w:tr>
      <w:tr>
        <w:tc>
          <w:tcPr>
            <w:tcW w:type="dxa" w:w="1474"/>
          </w:tcPr>
          <w:p>
            <w:pPr>
              <w:spacing w:line="240" w:lineRule="auto" w:after="0"/>
              <w:jc w:val="right"/>
            </w:pPr>
            <w:r>
              <w:rPr>
                <w:b/>
                <w:bCs/>
                <w:i w:val="0"/>
                <w:noProof/>
                <w:sz w:val="20"/>
                <w:szCs w:val="20"/>
              </w:rPr>
              <w:t>ZOPA</w:t>
            </w:r>
          </w:p>
        </w:tc>
        <w:tc>
          <w:tcPr>
            <w:tcW w:type="dxa" w:w="3798"/>
          </w:tcPr>
          <w:p>
            <w:pPr>
              <w:spacing w:line="240" w:lineRule="auto" w:after="0"/>
              <w:jc w:val="right"/>
            </w:pPr>
            <w:r>
              <w:rPr>
                <w:b w:val="0"/>
                <w:i w:val="0"/>
                <w:noProof/>
                <w:sz w:val="20"/>
                <w:szCs w:val="20"/>
              </w:rPr>
              <w:t>אין טלפון ביד בשיעורים</w:t>
            </w:r>
          </w:p>
        </w:tc>
        <w:tc>
          <w:tcPr>
            <w:tcW w:type="dxa" w:w="3798"/>
          </w:tcPr>
          <w:p>
            <w:pPr>
              <w:spacing w:line="240" w:lineRule="auto" w:after="0"/>
              <w:jc w:val="right"/>
            </w:pPr>
            <w:r>
              <w:rPr>
                <w:b w:val="0"/>
                <w:i w:val="0"/>
                <w:noProof/>
                <w:sz w:val="20"/>
                <w:szCs w:val="20"/>
              </w:rPr>
              <w:t>זמינות תוך דקות</w:t>
            </w:r>
          </w:p>
        </w:tc>
      </w:tr>
    </w:tbl>
    <w:p/>
    <w:p>
      <w:r>
        <w:rPr>
          <w:b/>
          <w:bCs/>
          <w:i w:val="0"/>
          <w:noProof/>
        </w:rPr>
        <w:t>ניתוח:</w:t>
      </w:r>
      <w:r>
        <w:rPr>
          <w:b w:val="0"/>
          <w:i w:val="0"/>
          <w:noProof/>
        </w:rPr>
        <w:t xml:space="preserve"> אמאני הייתה "בטוחה שאני צודקת", הטיית ביטחון־יתר, והגיעה עם מצגת על נזקי המסכים. ההורים שמעו האשמה, והחשדנות הייתה הדדית (Lewicki et al., 1999). המפנה היה השאלה מה ההורים צריכים כדי להרגיש בטוחים, ואז התברר שהאינטרס הוא זמינות ולא הטלפון. ההסכם: ארוניות עם מפתח במזכירות ונוהל של חמש דקות לחירום.</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משנים סגנון לפי הצד שמולם, כפי שמודל העניין הכפול צופה (Rahim, 1983): תחרותיים מול ספקים, פורמליים ומתועדים מול הרשות, ושיתופיים מול מורים והורים, כי "אף משא ומתן לא נגמר כשהוא נגמר" (ח'אלד).</w:t>
      </w:r>
    </w:p>
    <w:p>
      <w:r>
        <w:rPr>
          <w:b w:val="0"/>
          <w:i w:val="0"/>
          <w:noProof/>
        </w:rPr>
        <w:t>בפועל כולם פועלים לפי מודל פישר ויורי, אבל רק אחרי שהגישה החלוקתית נכשלה (פישר ואחרים, 2013). כולם מתארים את הפתיחה שלהם כטעות: מכתבים, דרישה בישיבת צוות, הזמנת אב "כנאשם", מצגת להורים. זה הפער שמצא Miller (2014) בין סגנון מוצהר לסגנון בפועל, והוא נובע מלחץ של הרשות והפיקוח. ההטיות מסבירות למה המעבר מתעכב (Lewicki et al., 1999), ותורת המשחקים מסבירה למה הם לומדים לוותר על ניצחון מיידי: הם במשחק חוזר (רייכרד, 2019).</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נבחן בשלוש דוגמאות. בכולן הנורמות הלא כתובות, ובעיקר ערך הכבוד, חשובות מהחזון הכתוב (שפירא, 1983).</w:t>
      </w:r>
    </w:p>
    <w:p>
      <w:r>
        <w:rPr>
          <w:b/>
          <w:bCs/>
          <w:i w:val="0"/>
          <w:noProof/>
        </w:rPr>
        <w:t>דוגמה 1, הכבוד אצל ח'אלד בזמן המלחמה:</w:t>
      </w:r>
      <w:r>
        <w:rPr>
          <w:b w:val="0"/>
          <w:i w:val="0"/>
          <w:noProof/>
        </w:rPr>
        <w:t xml:space="preserve"> אסור לבייש, אסור לאיים, ומותר לערב מכובדים כמתווכים. במלחמה ח'אלד ניהל דרך הערוצים האלה את האמון מול ההורים, ומול המחוז דיבר בשפת נתונים, "מי שמביא נתונים מקבל תשומת לב". זה מתאים לממצא שערכים קולקטיביסטיים נקשרים לפתרון בעיות משותף (Yamini et al., 2025).</w:t>
      </w:r>
    </w:p>
    <w:p>
      <w:r>
        <w:rPr>
          <w:b/>
          <w:bCs/>
          <w:i w:val="0"/>
          <w:noProof/>
        </w:rPr>
        <w:t>דוגמה 2, נורמות הצוות אצל רנא מול המחסור במורים:</w:t>
      </w:r>
      <w:r>
        <w:rPr>
          <w:b w:val="0"/>
          <w:i w:val="0"/>
          <w:noProof/>
        </w:rPr>
        <w:t xml:space="preserve"> "אצלנו מורה לא נשאר לבד מול הורה" ו"אצלנו הכול יוצא". כשהמחסור הפך את יחסי הכוח, רנא לא חילקה הטבות אישיות אלא בנתה כללים גלויים, והנורמה של שקיפות הפכה לכלי ניהולי.</w:t>
      </w:r>
    </w:p>
    <w:p>
      <w:r>
        <w:rPr>
          <w:b/>
          <w:bCs/>
          <w:i w:val="0"/>
          <w:noProof/>
        </w:rPr>
        <w:t>דוגמה 3, נורמת הכבוד אצל סמיר:</w:t>
      </w:r>
      <w:r>
        <w:rPr>
          <w:b w:val="0"/>
          <w:i w:val="0"/>
          <w:noProof/>
        </w:rPr>
        <w:t xml:space="preserve"> "לא מביישים אף אחד בפומבי", וסכסוכים פותרים בשיחה. במלחמה הוא הפך את ועד ההורים לשותף, כפי שמשא ומתן אינטגרטיבי בתרבות של קרבה עובר דרך יחסים (Benetti et al., 2021).</w:t>
      </w:r>
    </w:p>
    <w:p>
      <w:r>
        <w:rPr>
          <w:b w:val="0"/>
          <w:i w:val="0"/>
          <w:noProof/>
        </w:rPr>
        <w:t>ההיגד מתקיים, בהסתייגות: התרבות משמשת מצפן כשהיא מעודדת שקיפות, ומגבילה כשהיא מחייבת שמירה על כבוד בכל מחיר. ח'אלד הסכים להפרדה שהוא "לא שלם איתה", בדומה לממצא שתרבות חזקה עלולה לדכא הבעה של אינטרסים (מש וכהן, 2021).</w:t>
      </w:r>
    </w:p>
    <w:p>
      <w:r>
        <w:rPr>
          <w:noProof/>
        </w:rPr>
        <w:br w:type="page"/>
      </w:r>
    </w:p>
    <w:p>
      <w:pPr>
        <w:pStyle w:val="Heading1"/>
      </w:pPr>
      <w:r>
        <w:rPr>
          <w:noProof/>
        </w:rPr>
        <w:t>סיכום והמלצות</w:t>
      </w:r>
    </w:p>
    <w:p>
      <w:r>
        <w:rPr>
          <w:b w:val="0"/>
          <w:i w:val="0"/>
          <w:noProof/>
        </w:rPr>
        <w:t>בכל המקרים ההצלחה הגיעה כשהמנהל עבר מעמדות לאינטרסים, הביא קריטריון אובייקטיבי ומצא משאב שלא היה על השולחן. ההמלצות: לפתוח בשאלה ולא בדרישה; לתעד נתונים כל הזמן ולא רק במשבר; לזהות מראש מי מאשר ומי יכול לפוצץ הסכם, ולשתף את הפיקוח לפני הסגירה; ולכתוב בכל הסכם עם הצוות מה קורה אם הנחיה חיצונית משתנה.</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 xml:space="preserve">גלין, א' (1996). </w:t>
      </w:r>
      <w:r>
        <w:rPr>
          <w:b w:val="0"/>
          <w:i/>
          <w:iCs/>
          <w:noProof/>
        </w:rPr>
        <w:t>דינמיקה של משא ומתן: מתיאוריה ליישום</w:t>
      </w:r>
      <w:r>
        <w:rPr>
          <w:b w:val="0"/>
          <w:i w:val="0"/>
          <w:noProof/>
        </w:rPr>
        <w:t>. רמות.</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ind w:hanging="709" w:right="709"/>
        <w:jc w:val="right"/>
      </w:pPr>
      <w:r>
        <w:rPr>
          <w:b w:val="0"/>
          <w:i w:val="0"/>
          <w:noProof/>
        </w:rPr>
        <w:t xml:space="preserve">רייכרד, א' (2019). </w:t>
      </w:r>
      <w:r>
        <w:rPr>
          <w:b w:val="0"/>
          <w:i/>
          <w:iCs/>
          <w:noProof/>
        </w:rPr>
        <w:t>המשך הסכסוך באמצעים אחרים: מניעים אסטרטגיים, התנהגות שחקנים ותהליכי משא ומתן כוזבים</w:t>
      </w:r>
      <w:r>
        <w:rPr>
          <w:b w:val="0"/>
          <w:i w:val="0"/>
          <w:noProof/>
        </w:rPr>
        <w:t xml:space="preserve"> [עבודת דוקטורט]. אוניברסיטת תל אביב.</w:t>
      </w:r>
    </w:p>
    <w:p>
      <w:pPr>
        <w:ind w:hanging="709" w:right="709"/>
        <w:jc w:val="right"/>
      </w:pPr>
      <w:r>
        <w:rPr>
          <w:b w:val="0"/>
          <w:i w:val="0"/>
          <w:noProof/>
        </w:rPr>
        <w:t xml:space="preserve">שפירא, י' (1983). </w:t>
      </w:r>
      <w:r>
        <w:rPr>
          <w:b w:val="0"/>
          <w:i/>
          <w:iCs/>
          <w:noProof/>
        </w:rPr>
        <w:t>יסודות הסוציולוגיה</w:t>
      </w:r>
      <w:r>
        <w:rPr>
          <w:b w:val="0"/>
          <w:i w:val="0"/>
          <w:noProof/>
        </w:rPr>
        <w:t>. עם עובד.</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p>
      <w:pPr>
        <w:bidi w:val="0"/>
        <w:ind w:hanging="709" w:left="709"/>
        <w:jc w:val="left"/>
      </w:pPr>
      <w:r>
        <w:rPr>
          <w:rFonts w:ascii="Times New Roman" w:hAnsi="Times New Roman" w:cs="Times New Roman"/>
          <w:b w:val="0"/>
          <w:i w:val="0"/>
          <w:noProof/>
          <w:rtl w:val="0"/>
          <w:lang w:val="en-US" w:bidi="he-IL"/>
        </w:rPr>
        <w:t xml:space="preserve">Rahim, M. A. (2002). Toward a theory of managing organizational conflict. </w:t>
      </w:r>
      <w:r>
        <w:rPr>
          <w:rFonts w:ascii="Times New Roman" w:hAnsi="Times New Roman" w:cs="Times New Roman"/>
          <w:b w:val="0"/>
          <w:i/>
          <w:iCs/>
          <w:noProof/>
          <w:rtl w:val="0"/>
          <w:lang w:val="en-US" w:bidi="he-IL"/>
        </w:rPr>
        <w:t>International Journal of Conflict Management, 13</w:t>
      </w:r>
      <w:r>
        <w:rPr>
          <w:rFonts w:ascii="Times New Roman" w:hAnsi="Times New Roman" w:cs="Times New Roman"/>
          <w:b w:val="0"/>
          <w:i w:val="0"/>
          <w:noProof/>
          <w:rtl w:val="0"/>
          <w:lang w:val="en-US" w:bidi="he-IL"/>
        </w:rPr>
        <w:t>(3), 206-235.</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