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2476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914400"/>
                    </a:xfrm>
                    <a:prstGeom prst="rect">
                      <a:avLst/>
                    </a:prstGeom>
                  </pic:spPr>
                </pic:pic>
              </a:graphicData>
            </a:graphic>
          </wp:inline>
        </w:drawing>
      </w:r>
    </w:p>
    <w:p>
      <w:pPr>
        <w:bidi/>
        <w:spacing w:after="120" w:line="360"/>
        <w:jc w:val="center"/>
      </w:pPr>
      <w:r>
        <w:rPr>
          <w:rFonts w:ascii="Times New Roman" w:cs="David" w:eastAsia="David" w:hAnsi="Times New Roman"/>
          <w:b/>
          <w:bCs/>
          <w:i w:val="false"/>
          <w:iCs w:val="false"/>
          <w:noProof/>
          <w:sz w:val="28"/>
          <w:szCs w:val="28"/>
          <w:rtl/>
          <w:lang w:val="en-US" w:bidi="he-IL"/>
        </w:rPr>
        <w:t xml:space="preserve">אוניברסיטת בר-אילן</w:t>
      </w:r>
    </w:p>
    <w:p>
      <w:pPr>
        <w:bidi/>
        <w:spacing w:after="1800" w:line="360"/>
        <w:jc w:val="center"/>
      </w:pPr>
      <w:r>
        <w:rPr>
          <w:rFonts w:ascii="Times New Roman" w:cs="David" w:eastAsia="David" w:hAnsi="Times New Roman"/>
          <w:b w:val="false"/>
          <w:bCs w:val="false"/>
          <w:i w:val="false"/>
          <w:iCs w:val="false"/>
          <w:noProof/>
          <w:sz w:val="26"/>
          <w:szCs w:val="26"/>
          <w:rtl/>
          <w:lang w:val="en-US" w:bidi="he-IL"/>
        </w:rPr>
        <w:t xml:space="preserve">[שם החוג / התוכנית]</w:t>
      </w:r>
    </w:p>
    <w:p>
      <w:pPr>
        <w:bidi/>
        <w:spacing w:after="1200" w:line="360"/>
        <w:jc w:val="center"/>
      </w:pPr>
      <w:r>
        <w:rPr>
          <w:rFonts w:ascii="Times New Roman" w:cs="David" w:eastAsia="David" w:hAnsi="Times New Roman"/>
          <w:b/>
          <w:bCs/>
          <w:i w:val="false"/>
          <w:iCs w:val="false"/>
          <w:noProof/>
          <w:sz w:val="30"/>
          <w:szCs w:val="30"/>
          <w:rtl/>
          <w:lang w:val="en-US" w:bidi="he-IL"/>
        </w:rPr>
        <w:t xml:space="preserve">עבודה סמינריונית</w:t>
      </w:r>
    </w:p>
    <w:p>
      <w:pPr>
        <w:bidi/>
        <w:spacing w:after="240" w:line="360"/>
        <w:jc w:val="center"/>
      </w:pPr>
      <w:r>
        <w:rPr>
          <w:rFonts w:ascii="Times New Roman" w:cs="David" w:eastAsia="David" w:hAnsi="Times New Roman"/>
          <w:b/>
          <w:bCs/>
          <w:i w:val="false"/>
          <w:iCs w:val="false"/>
          <w:noProof/>
          <w:sz w:val="36"/>
          <w:szCs w:val="36"/>
          <w:rtl/>
          <w:lang w:val="en-US" w:bidi="he-IL"/>
        </w:rPr>
        <w:t xml:space="preserve">"וַחֲמוֹר אֵבוּס בְּעָלָיו לֹא יָדַע"</w:t>
      </w:r>
    </w:p>
    <w:p>
      <w:pPr>
        <w:bidi/>
        <w:spacing w:after="2000" w:line="360"/>
        <w:jc w:val="center"/>
      </w:pPr>
      <w:r>
        <w:rPr>
          <w:rFonts w:ascii="Times New Roman" w:cs="David" w:eastAsia="David" w:hAnsi="Times New Roman"/>
          <w:b/>
          <w:bCs/>
          <w:i w:val="false"/>
          <w:iCs w:val="false"/>
          <w:noProof/>
          <w:sz w:val="32"/>
          <w:szCs w:val="32"/>
          <w:rtl/>
          <w:lang w:val="en-US" w:bidi="he-IL"/>
        </w:rPr>
        <w:t xml:space="preserve">דמות החמור במשלי שועלים לרבי ברכיה הנקדן</w:t>
      </w:r>
    </w:p>
    <w:p>
      <w:pPr>
        <w:bidi/>
        <w:spacing w:after="120" w:line="360"/>
        <w:jc w:val="center"/>
      </w:pPr>
      <w:r>
        <w:rPr>
          <w:rFonts w:ascii="Times New Roman" w:cs="David" w:eastAsia="David" w:hAnsi="Times New Roman"/>
          <w:b w:val="false"/>
          <w:bCs w:val="false"/>
          <w:i w:val="false"/>
          <w:iCs w:val="false"/>
          <w:noProof/>
          <w:sz w:val="24"/>
          <w:szCs w:val="24"/>
          <w:rtl/>
          <w:lang w:val="en-US" w:bidi="he-IL"/>
        </w:rPr>
        <w:t xml:space="preserve">הקורס: [שם הקורס ומספרו]</w:t>
      </w:r>
    </w:p>
    <w:p>
      <w:pPr>
        <w:bidi/>
        <w:spacing w:after="1400" w:line="360"/>
        <w:jc w:val="center"/>
      </w:pPr>
      <w:r>
        <w:rPr>
          <w:rFonts w:ascii="Times New Roman" w:cs="David" w:eastAsia="David" w:hAnsi="Times New Roman"/>
          <w:b w:val="false"/>
          <w:bCs w:val="false"/>
          <w:i w:val="false"/>
          <w:iCs w:val="false"/>
          <w:noProof/>
          <w:sz w:val="24"/>
          <w:szCs w:val="24"/>
          <w:rtl/>
          <w:lang w:val="en-US" w:bidi="he-IL"/>
        </w:rPr>
        <w:t xml:space="preserve">המרצה: [שם המרצה]</w:t>
      </w:r>
    </w:p>
    <w:p>
      <w:pPr>
        <w:bidi/>
        <w:spacing w:after="120" w:line="360"/>
        <w:jc w:val="center"/>
      </w:pPr>
      <w:r>
        <w:rPr>
          <w:rFonts w:ascii="Times New Roman" w:cs="David" w:eastAsia="David" w:hAnsi="Times New Roman"/>
          <w:b w:val="false"/>
          <w:bCs w:val="false"/>
          <w:i w:val="false"/>
          <w:iCs w:val="false"/>
          <w:noProof/>
          <w:sz w:val="24"/>
          <w:szCs w:val="24"/>
          <w:rtl/>
          <w:lang w:val="en-US" w:bidi="he-IL"/>
        </w:rPr>
        <w:t xml:space="preserve">מגישה: אחמד מונא, ת"ז 037094190</w:t>
      </w:r>
    </w:p>
    <w:p>
      <w:pPr>
        <w:bidi/>
        <w:spacing w:after="0" w:line="360"/>
        <w:jc w:val="center"/>
      </w:pPr>
      <w:r>
        <w:rPr>
          <w:rFonts w:ascii="Times New Roman" w:cs="David" w:eastAsia="David" w:hAnsi="Times New Roman"/>
          <w:b w:val="false"/>
          <w:bCs w:val="false"/>
          <w:i w:val="false"/>
          <w:iCs w:val="false"/>
          <w:noProof/>
          <w:sz w:val="24"/>
          <w:szCs w:val="24"/>
          <w:rtl/>
          <w:lang w:val="en-US" w:bidi="he-IL"/>
        </w:rPr>
        <w:t xml:space="preserve">תשרי תשפ"ז, ספטמבר 2026</w:t>
      </w:r>
    </w:p>
    <w:p>
      <w:pPr>
        <w:pageBreakBefore/>
        <w:bidi/>
        <w:spacing w:after="360" w:line="360"/>
        <w:jc w:val="center"/>
      </w:pPr>
      <w:r>
        <w:rPr>
          <w:rFonts w:ascii="Times New Roman" w:cs="David" w:eastAsia="David" w:hAnsi="Times New Roman"/>
          <w:b/>
          <w:bCs/>
          <w:i w:val="false"/>
          <w:iCs w:val="false"/>
          <w:noProof/>
          <w:sz w:val="32"/>
          <w:szCs w:val="32"/>
          <w:rtl/>
          <w:lang w:val="en-US" w:bidi="he-IL"/>
        </w:rPr>
        <w:t xml:space="preserve">תוכן עניינים</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מבוא</w:t>
      </w:r>
      <w:r>
        <w:rPr>
          <w:rFonts w:ascii="Times New Roman" w:cs="David" w:eastAsia="David" w:hAnsi="Times New Roman"/>
          <w:noProof/>
          <w:sz w:val="24"/>
          <w:szCs w:val="24"/>
          <w:rtl/>
          <w:lang w:val="en-US" w:bidi="he-IL"/>
        </w:rPr>
        <w:t xml:space="preserve">	1</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1: החמור: זואולוגיה, מקורות יהודיים ומקורות כלליים</w:t>
      </w:r>
      <w:r>
        <w:rPr>
          <w:rFonts w:ascii="Times New Roman" w:cs="David" w:eastAsia="David" w:hAnsi="Times New Roman"/>
          <w:noProof/>
          <w:sz w:val="24"/>
          <w:szCs w:val="24"/>
          <w:rtl/>
          <w:lang w:val="en-US" w:bidi="he-IL"/>
        </w:rPr>
        <w:t xml:space="preserve">	2</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1.1 החמור מבחינה זואולוגית</w:t>
      </w:r>
      <w:r>
        <w:rPr>
          <w:rFonts w:ascii="Times New Roman" w:cs="David" w:eastAsia="David" w:hAnsi="Times New Roman"/>
          <w:noProof/>
          <w:sz w:val="24"/>
          <w:szCs w:val="24"/>
          <w:rtl/>
          <w:lang w:val="en-US" w:bidi="he-IL"/>
        </w:rPr>
        <w:t xml:space="preserve">	2</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1.2 החמור במקורות היהודיים</w:t>
      </w:r>
      <w:r>
        <w:rPr>
          <w:rFonts w:ascii="Times New Roman" w:cs="David" w:eastAsia="David" w:hAnsi="Times New Roman"/>
          <w:noProof/>
          <w:sz w:val="24"/>
          <w:szCs w:val="24"/>
          <w:rtl/>
          <w:lang w:val="en-US" w:bidi="he-IL"/>
        </w:rPr>
        <w:t xml:space="preserve">	2</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1.3 החמור במקורות הכלליים</w:t>
      </w:r>
      <w:r>
        <w:rPr>
          <w:rFonts w:ascii="Times New Roman" w:cs="David" w:eastAsia="David" w:hAnsi="Times New Roman"/>
          <w:noProof/>
          <w:sz w:val="24"/>
          <w:szCs w:val="24"/>
          <w:rtl/>
          <w:lang w:val="en-US" w:bidi="he-IL"/>
        </w:rPr>
        <w:t xml:space="preserve">	4</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1.4 החמור במקורות הנוצריים והמוסלמיים ובפולקלור</w:t>
      </w:r>
      <w:r>
        <w:rPr>
          <w:rFonts w:ascii="Times New Roman" w:cs="David" w:eastAsia="David" w:hAnsi="Times New Roman"/>
          <w:noProof/>
          <w:sz w:val="24"/>
          <w:szCs w:val="24"/>
          <w:rtl/>
          <w:lang w:val="en-US" w:bidi="he-IL"/>
        </w:rPr>
        <w:t xml:space="preserve">	5</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1.5 קורפוס משלי החמור: סיכום</w:t>
      </w:r>
      <w:r>
        <w:rPr>
          <w:rFonts w:ascii="Times New Roman" w:cs="David" w:eastAsia="David" w:hAnsi="Times New Roman"/>
          <w:noProof/>
          <w:sz w:val="24"/>
          <w:szCs w:val="24"/>
          <w:rtl/>
          <w:lang w:val="en-US" w:bidi="he-IL"/>
        </w:rPr>
        <w:t xml:space="preserve">	6</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2: היוצר, הספר וההקדמה</w:t>
      </w:r>
      <w:r>
        <w:rPr>
          <w:rFonts w:ascii="Times New Roman" w:cs="David" w:eastAsia="David" w:hAnsi="Times New Roman"/>
          <w:noProof/>
          <w:sz w:val="24"/>
          <w:szCs w:val="24"/>
          <w:rtl/>
          <w:lang w:val="en-US" w:bidi="he-IL"/>
        </w:rPr>
        <w:t xml:space="preserve">	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2.1 רבי ברכיה בן נטרונאי הנקדן</w:t>
      </w:r>
      <w:r>
        <w:rPr>
          <w:rFonts w:ascii="Times New Roman" w:cs="David" w:eastAsia="David" w:hAnsi="Times New Roman"/>
          <w:noProof/>
          <w:sz w:val="24"/>
          <w:szCs w:val="24"/>
          <w:rtl/>
          <w:lang w:val="en-US" w:bidi="he-IL"/>
        </w:rPr>
        <w:t xml:space="preserve">	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2.2 הספר: משלי שועלים</w:t>
      </w:r>
      <w:r>
        <w:rPr>
          <w:rFonts w:ascii="Times New Roman" w:cs="David" w:eastAsia="David" w:hAnsi="Times New Roman"/>
          <w:noProof/>
          <w:sz w:val="24"/>
          <w:szCs w:val="24"/>
          <w:rtl/>
          <w:lang w:val="en-US" w:bidi="he-IL"/>
        </w:rPr>
        <w:t xml:space="preserve">	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2.3 הקדמת המחבר</w:t>
      </w:r>
      <w:r>
        <w:rPr>
          <w:rFonts w:ascii="Times New Roman" w:cs="David" w:eastAsia="David" w:hAnsi="Times New Roman"/>
          <w:noProof/>
          <w:sz w:val="24"/>
          <w:szCs w:val="24"/>
          <w:rtl/>
          <w:lang w:val="en-US" w:bidi="he-IL"/>
        </w:rPr>
        <w:t xml:space="preserve">	8</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2.4 ארבעת המשלים הנבחרים: סקירה ונמשל</w:t>
      </w:r>
      <w:r>
        <w:rPr>
          <w:rFonts w:ascii="Times New Roman" w:cs="David" w:eastAsia="David" w:hAnsi="Times New Roman"/>
          <w:noProof/>
          <w:sz w:val="24"/>
          <w:szCs w:val="24"/>
          <w:rtl/>
          <w:lang w:val="en-US" w:bidi="he-IL"/>
        </w:rPr>
        <w:t xml:space="preserve">	9</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3: "חמור, דבורים וצרעה": ניתוח</w:t>
      </w:r>
      <w:r>
        <w:rPr>
          <w:rFonts w:ascii="Times New Roman" w:cs="David" w:eastAsia="David" w:hAnsi="Times New Roman"/>
          <w:noProof/>
          <w:sz w:val="24"/>
          <w:szCs w:val="24"/>
          <w:rtl/>
          <w:lang w:val="en-US" w:bidi="he-IL"/>
        </w:rPr>
        <w:t xml:space="preserve">	10</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3.1 מבנה המשל ומהלך העלילה</w:t>
      </w:r>
      <w:r>
        <w:rPr>
          <w:rFonts w:ascii="Times New Roman" w:cs="David" w:eastAsia="David" w:hAnsi="Times New Roman"/>
          <w:noProof/>
          <w:sz w:val="24"/>
          <w:szCs w:val="24"/>
          <w:rtl/>
          <w:lang w:val="en-US" w:bidi="he-IL"/>
        </w:rPr>
        <w:t xml:space="preserve">	10</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3.2 השיבוצים</w:t>
      </w:r>
      <w:r>
        <w:rPr>
          <w:rFonts w:ascii="Times New Roman" w:cs="David" w:eastAsia="David" w:hAnsi="Times New Roman"/>
          <w:noProof/>
          <w:sz w:val="24"/>
          <w:szCs w:val="24"/>
          <w:rtl/>
          <w:lang w:val="en-US" w:bidi="he-IL"/>
        </w:rPr>
        <w:t xml:space="preserve">	10</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3.3 הפואטיקה של המשל</w:t>
      </w:r>
      <w:r>
        <w:rPr>
          <w:rFonts w:ascii="Times New Roman" w:cs="David" w:eastAsia="David" w:hAnsi="Times New Roman"/>
          <w:noProof/>
          <w:sz w:val="24"/>
          <w:szCs w:val="24"/>
          <w:rtl/>
          <w:lang w:val="en-US" w:bidi="he-IL"/>
        </w:rPr>
        <w:t xml:space="preserve">	11</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3.4 הקשר בין המשל לנמשל</w:t>
      </w:r>
      <w:r>
        <w:rPr>
          <w:rFonts w:ascii="Times New Roman" w:cs="David" w:eastAsia="David" w:hAnsi="Times New Roman"/>
          <w:noProof/>
          <w:sz w:val="24"/>
          <w:szCs w:val="24"/>
          <w:rtl/>
          <w:lang w:val="en-US" w:bidi="he-IL"/>
        </w:rPr>
        <w:t xml:space="preserve">	12</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4: "חמור בעור ארי" (משל מז): ניתוח</w:t>
      </w:r>
      <w:r>
        <w:rPr>
          <w:rFonts w:ascii="Times New Roman" w:cs="David" w:eastAsia="David" w:hAnsi="Times New Roman"/>
          <w:noProof/>
          <w:sz w:val="24"/>
          <w:szCs w:val="24"/>
          <w:rtl/>
          <w:lang w:val="en-US" w:bidi="he-IL"/>
        </w:rPr>
        <w:t xml:space="preserve">	13</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4.1 מבנה המשל ומהלך העלילה</w:t>
      </w:r>
      <w:r>
        <w:rPr>
          <w:rFonts w:ascii="Times New Roman" w:cs="David" w:eastAsia="David" w:hAnsi="Times New Roman"/>
          <w:noProof/>
          <w:sz w:val="24"/>
          <w:szCs w:val="24"/>
          <w:rtl/>
          <w:lang w:val="en-US" w:bidi="he-IL"/>
        </w:rPr>
        <w:t xml:space="preserve">	13</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4.2 השיבוצים</w:t>
      </w:r>
      <w:r>
        <w:rPr>
          <w:rFonts w:ascii="Times New Roman" w:cs="David" w:eastAsia="David" w:hAnsi="Times New Roman"/>
          <w:noProof/>
          <w:sz w:val="24"/>
          <w:szCs w:val="24"/>
          <w:rtl/>
          <w:lang w:val="en-US" w:bidi="he-IL"/>
        </w:rPr>
        <w:t xml:space="preserve">	13</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4.3 הפואטיקה של המשל</w:t>
      </w:r>
      <w:r>
        <w:rPr>
          <w:rFonts w:ascii="Times New Roman" w:cs="David" w:eastAsia="David" w:hAnsi="Times New Roman"/>
          <w:noProof/>
          <w:sz w:val="24"/>
          <w:szCs w:val="24"/>
          <w:rtl/>
          <w:lang w:val="en-US" w:bidi="he-IL"/>
        </w:rPr>
        <w:t xml:space="preserve">	14</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4.4 הקשר בין המשל לנמשל</w:t>
      </w:r>
      <w:r>
        <w:rPr>
          <w:rFonts w:ascii="Times New Roman" w:cs="David" w:eastAsia="David" w:hAnsi="Times New Roman"/>
          <w:noProof/>
          <w:sz w:val="24"/>
          <w:szCs w:val="24"/>
          <w:rtl/>
          <w:lang w:val="en-US" w:bidi="he-IL"/>
        </w:rPr>
        <w:t xml:space="preserve">	15</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5: "חמור, כלב ואדם" (משל יד): ניתוח</w:t>
      </w:r>
      <w:r>
        <w:rPr>
          <w:rFonts w:ascii="Times New Roman" w:cs="David" w:eastAsia="David" w:hAnsi="Times New Roman"/>
          <w:noProof/>
          <w:sz w:val="24"/>
          <w:szCs w:val="24"/>
          <w:rtl/>
          <w:lang w:val="en-US" w:bidi="he-IL"/>
        </w:rPr>
        <w:t xml:space="preserve">	16</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5.1 מבנה המשל ומהלך העלילה</w:t>
      </w:r>
      <w:r>
        <w:rPr>
          <w:rFonts w:ascii="Times New Roman" w:cs="David" w:eastAsia="David" w:hAnsi="Times New Roman"/>
          <w:noProof/>
          <w:sz w:val="24"/>
          <w:szCs w:val="24"/>
          <w:rtl/>
          <w:lang w:val="en-US" w:bidi="he-IL"/>
        </w:rPr>
        <w:t xml:space="preserve">	16</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5.2 השיבוצים</w:t>
      </w:r>
      <w:r>
        <w:rPr>
          <w:rFonts w:ascii="Times New Roman" w:cs="David" w:eastAsia="David" w:hAnsi="Times New Roman"/>
          <w:noProof/>
          <w:sz w:val="24"/>
          <w:szCs w:val="24"/>
          <w:rtl/>
          <w:lang w:val="en-US" w:bidi="he-IL"/>
        </w:rPr>
        <w:t xml:space="preserve">	16</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5.3 הפואטיקה של המשל</w:t>
      </w:r>
      <w:r>
        <w:rPr>
          <w:rFonts w:ascii="Times New Roman" w:cs="David" w:eastAsia="David" w:hAnsi="Times New Roman"/>
          <w:noProof/>
          <w:sz w:val="24"/>
          <w:szCs w:val="24"/>
          <w:rtl/>
          <w:lang w:val="en-US" w:bidi="he-IL"/>
        </w:rPr>
        <w:t xml:space="preserve">	17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5.4 הקשר בין המשל לנמשל</w:t>
      </w:r>
      <w:r>
        <w:rPr>
          <w:rFonts w:ascii="Times New Roman" w:cs="David" w:eastAsia="David" w:hAnsi="Times New Roman"/>
          <w:noProof/>
          <w:sz w:val="24"/>
          <w:szCs w:val="24"/>
          <w:rtl/>
          <w:lang w:val="en-US" w:bidi="he-IL"/>
        </w:rPr>
        <w:t xml:space="preserve">	17</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6: "אריה וחמור" (משל סה): ניתוח</w:t>
      </w:r>
      <w:r>
        <w:rPr>
          <w:rFonts w:ascii="Times New Roman" w:cs="David" w:eastAsia="David" w:hAnsi="Times New Roman"/>
          <w:noProof/>
          <w:sz w:val="24"/>
          <w:szCs w:val="24"/>
          <w:rtl/>
          <w:lang w:val="en-US" w:bidi="he-IL"/>
        </w:rPr>
        <w:t xml:space="preserve">	19</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6.1 מבנה המשל ומהלך העלילה</w:t>
      </w:r>
      <w:r>
        <w:rPr>
          <w:rFonts w:ascii="Times New Roman" w:cs="David" w:eastAsia="David" w:hAnsi="Times New Roman"/>
          <w:noProof/>
          <w:sz w:val="24"/>
          <w:szCs w:val="24"/>
          <w:rtl/>
          <w:lang w:val="en-US" w:bidi="he-IL"/>
        </w:rPr>
        <w:t xml:space="preserve">	19</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6.2 השיבוצים</w:t>
      </w:r>
      <w:r>
        <w:rPr>
          <w:rFonts w:ascii="Times New Roman" w:cs="David" w:eastAsia="David" w:hAnsi="Times New Roman"/>
          <w:noProof/>
          <w:sz w:val="24"/>
          <w:szCs w:val="24"/>
          <w:rtl/>
          <w:lang w:val="en-US" w:bidi="he-IL"/>
        </w:rPr>
        <w:t xml:space="preserve">	19</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6.3 הפואטיקה של המשל</w:t>
      </w:r>
      <w:r>
        <w:rPr>
          <w:rFonts w:ascii="Times New Roman" w:cs="David" w:eastAsia="David" w:hAnsi="Times New Roman"/>
          <w:noProof/>
          <w:sz w:val="24"/>
          <w:szCs w:val="24"/>
          <w:rtl/>
          <w:lang w:val="en-US" w:bidi="he-IL"/>
        </w:rPr>
        <w:t xml:space="preserve">	21</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6.4 הקשר בין המשל לנמשל</w:t>
      </w:r>
      <w:r>
        <w:rPr>
          <w:rFonts w:ascii="Times New Roman" w:cs="David" w:eastAsia="David" w:hAnsi="Times New Roman"/>
          <w:noProof/>
          <w:sz w:val="24"/>
          <w:szCs w:val="24"/>
          <w:rtl/>
          <w:lang w:val="en-US" w:bidi="he-IL"/>
        </w:rPr>
        <w:t xml:space="preserve">	21</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פרק 7: סיכום ומסקנות</w:t>
      </w:r>
      <w:r>
        <w:rPr>
          <w:rFonts w:ascii="Times New Roman" w:cs="David" w:eastAsia="David" w:hAnsi="Times New Roman"/>
          <w:noProof/>
          <w:sz w:val="24"/>
          <w:szCs w:val="24"/>
          <w:rtl/>
          <w:lang w:val="en-US" w:bidi="he-IL"/>
        </w:rPr>
        <w:t xml:space="preserve">	23</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ביבליוגרפיה</w:t>
      </w:r>
      <w:r>
        <w:rPr>
          <w:rFonts w:ascii="Times New Roman" w:cs="David" w:eastAsia="David" w:hAnsi="Times New Roman"/>
          <w:noProof/>
          <w:sz w:val="24"/>
          <w:szCs w:val="24"/>
          <w:rtl/>
          <w:lang w:val="en-US" w:bidi="he-IL"/>
        </w:rPr>
        <w:t xml:space="preserve">	25</w:t>
      </w:r>
    </w:p>
    <w:p>
      <w:pPr>
        <w:tabs>
          <w:tab w:val="right" w:pos="9072" w:leader="dot"/>
        </w:tabs>
        <w:bidi/>
        <w:spacing w:after="0" w:before="100" w:line="276"/>
        <w:jc w:val="start"/>
      </w:pPr>
      <w:r>
        <w:rPr>
          <w:rFonts w:ascii="Times New Roman" w:cs="David" w:eastAsia="David" w:hAnsi="Times New Roman"/>
          <w:b/>
          <w:bCs/>
          <w:i w:val="false"/>
          <w:iCs w:val="false"/>
          <w:noProof/>
          <w:sz w:val="24"/>
          <w:szCs w:val="24"/>
          <w:rtl/>
          <w:lang w:val="en-US" w:bidi="he-IL"/>
        </w:rPr>
        <w:t xml:space="preserve">נספחים: המשלים הנדונים</w:t>
      </w:r>
      <w:r>
        <w:rPr>
          <w:rFonts w:ascii="Times New Roman" w:cs="David" w:eastAsia="David" w:hAnsi="Times New Roman"/>
          <w:noProof/>
          <w:sz w:val="24"/>
          <w:szCs w:val="24"/>
          <w:rtl/>
          <w:lang w:val="en-US" w:bidi="he-IL"/>
        </w:rPr>
        <w:t xml:space="preserve">	27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נספח א: חמור, דבורים וצרעה</w:t>
      </w:r>
      <w:r>
        <w:rPr>
          <w:rFonts w:ascii="Times New Roman" w:cs="David" w:eastAsia="David" w:hAnsi="Times New Roman"/>
          <w:noProof/>
          <w:sz w:val="24"/>
          <w:szCs w:val="24"/>
          <w:rtl/>
          <w:lang w:val="en-US" w:bidi="he-IL"/>
        </w:rPr>
        <w:t xml:space="preserve">	27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נספח ב: משל מז: חמור בעור ארי</w:t>
      </w:r>
      <w:r>
        <w:rPr>
          <w:rFonts w:ascii="Times New Roman" w:cs="David" w:eastAsia="David" w:hAnsi="Times New Roman"/>
          <w:noProof/>
          <w:sz w:val="24"/>
          <w:szCs w:val="24"/>
          <w:rtl/>
          <w:lang w:val="en-US" w:bidi="he-IL"/>
        </w:rPr>
        <w:t xml:space="preserve">	27</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נספח ג: משל יד: חמור, כלב ואדם</w:t>
      </w:r>
      <w:r>
        <w:rPr>
          <w:rFonts w:ascii="Times New Roman" w:cs="David" w:eastAsia="David" w:hAnsi="Times New Roman"/>
          <w:noProof/>
          <w:sz w:val="24"/>
          <w:szCs w:val="24"/>
          <w:rtl/>
          <w:lang w:val="en-US" w:bidi="he-IL"/>
        </w:rPr>
        <w:t xml:space="preserve">	28</w:t>
      </w:r>
    </w:p>
    <w:p>
      <w:pPr>
        <w:tabs>
          <w:tab w:val="right" w:pos="9072" w:leader="dot"/>
        </w:tabs>
        <w:bidi/>
        <w:spacing w:after="0" w:before="0" w:line="276"/>
        <w:ind w:start="567"/>
        <w:jc w:val="start"/>
      </w:pPr>
      <w:r>
        <w:rPr>
          <w:rFonts w:ascii="Times New Roman" w:cs="David" w:eastAsia="David" w:hAnsi="Times New Roman"/>
          <w:b w:val="false"/>
          <w:bCs w:val="false"/>
          <w:i w:val="false"/>
          <w:iCs w:val="false"/>
          <w:noProof/>
          <w:sz w:val="24"/>
          <w:szCs w:val="24"/>
          <w:rtl/>
          <w:lang w:val="en-US" w:bidi="he-IL"/>
        </w:rPr>
        <w:t xml:space="preserve">נספח ד: משל סה: אריה וחמור</w:t>
      </w:r>
      <w:r>
        <w:rPr>
          <w:rFonts w:ascii="Times New Roman" w:cs="David" w:eastAsia="David" w:hAnsi="Times New Roman"/>
          <w:noProof/>
          <w:sz w:val="24"/>
          <w:szCs w:val="24"/>
          <w:rtl/>
          <w:lang w:val="en-US" w:bidi="he-IL"/>
        </w:rPr>
        <w:t xml:space="preserve">	29</w:t>
      </w:r>
    </w:p>
    <w:p>
      <w:pPr>
        <w:sectPr>
          <w:pgSz w:w="11906" w:h="16838" w:orient="portrait"/>
          <w:pgMar w:top="1417" w:right="1417" w:bottom="1417" w:left="1417" w:header="708" w:footer="708" w:gutter="0"/>
          <w:pgNumType/>
          <w:docGrid w:linePitch="360"/>
        </w:sectPr>
      </w:pPr>
    </w:p>
    <w:p>
      <w:pPr>
        <w:pStyle w:val="Heading1"/>
        <w:keepNext/>
        <w:bidi/>
        <w:spacing w:after="360" w:before="0" w:line="360"/>
        <w:jc w:val="center"/>
      </w:pPr>
      <w:r>
        <w:rPr>
          <w:rFonts w:ascii="Times New Roman" w:cs="David" w:eastAsia="David" w:hAnsi="Times New Roman"/>
          <w:b/>
          <w:bCs/>
          <w:i w:val="false"/>
          <w:iCs w:val="false"/>
          <w:noProof/>
          <w:sz w:val="32"/>
          <w:szCs w:val="32"/>
          <w:rtl/>
          <w:lang w:val="en-US" w:bidi="he-IL"/>
        </w:rPr>
        <w:t xml:space="preserve">מבוא</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החמור הוא אחד מבעלי החיים הנפוצים ביותר בספרות המשלים, ועם זאת מעטים בעלי החיים שנגזר עליהם דימוי כה יציב וכה לא מחמיא. בפי הבריות "חמור" הוא כינוי לטיפש, לעקשן ולמי שאינו מבין את מקומו. במקרא, לעומת זאת, אותו חמור נושא את אברהם אל העקדה, רואה את המלאך לפני שרואה אותו בלעם, ומשמש רכבו של המלך המשיח. הפער הזה, בין החיה המשרתת והנאמנה ובין הדימוי הספרותי של הכסיל, הוא נקודת המוצא של העבודה.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העבודה מתמקדת בארבעה משלים מתוך "משלי שועלים" לרבי ברכיה הנקדן, שחי באנגליה ובצפון צרפת בסוף המאה השתים עשרה ובראשית המאה השלוש עשרה: "חמור, דבורים וצרעה", "חמור בעור ארי" (משל מז), "חמור, כלב ואדם" (משל יד) ו"אריה וחמור" (משל סה).</w:t>
      </w:r>
      <w:r>
        <w:rPr>
          <w:rStyle w:val="FootnoteReference"/>
        </w:rPr>
        <w:footnoteReference w:id="1"/>
      </w:r>
      <w:r>
        <w:rPr>
          <w:rFonts w:ascii="Times New Roman" w:cs="David" w:eastAsia="David" w:hAnsi="Times New Roman"/>
          <w:i w:val="false"/>
          <w:iCs w:val="false"/>
          <w:noProof/>
          <w:sz w:val="24"/>
          <w:szCs w:val="24"/>
          <w:rtl/>
          <w:lang w:val="en-US" w:bidi="he-IL"/>
        </w:rPr>
        <w:t xml:space="preserve"> בארבעתם החמור הוא הגיבור, ובארבעתם הוא נכשל. שאלת המחקר כפולה: מהי התכונה שהחמור מייצג אצל ברכיה, וכיצד בונה המחבר את הקשר בין סיפור המשל ובין הנמשל באמצעות שיבוצים מן המקרא ומספרות חז"ל.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הטענה המרכזית של העבודה היא שהחמור של ברכיה אינו בראש ובראשונה טיפש, אלא מי שאינו יודע את מקומו. בכל אחד מן המשלים החמור מנסה להיות משהו אחר ממה שהוא: שליט שאינו חושש מן הקטן ממנו, אריה, כלב מחמד, משנה למלך. הכישלון בא מבחוץ, כמכה, ומחזיר אותו אל האבוס. ברכיה מעצב את הרעיון הזה בעלילה. הוא מעצב אותו גם בשכבת השיבוצים, שמעמידה מאחורי החמור שורה של דמויות מקראיות שגאוותן נשברה: רחבעם, אמציה, אדוניה, המן, נגיד צור, ארז הלבנון של יחזקאל. הקורא שמזהה את הפסוק יודע כיצד ייגמר המשל עוד לפני שהסיפור מגיע לסופו.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מבנה העבודה: פרק 1 סוקר את החמור מן הבחינה הזואולוגית, במקורות היהודיים, במקורות הכלליים, הנוצריים והמוסלמיים ובפולקלור, ומציג את קורפוס משלי החמור בימי הביניים. פרק 2 עוסק ביוצר, בספר ובהקדמתו, וסוקר את ארבעת המשלים הנבחרים ואת הנמשל של כל אחד מהם. פרקים 3 עד 6 מנתחים כל משל בנפרד: מבנהו, השיבוצים שבו, הפואטיקה שלו והקשר בין המשל לנמשל. פרק 7 מסכם ומשיב על שאלת המחקר. בנספחים מובאים ארבעת המשלים במלואם.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הערה על השיטה: הציטוטים מן המשלים מובאים על פי הנוסח המנוקד שנמסר בקורס, שנבדק מול מהדורת הברמן. הפניות למקרא הן לפי ספר, פרק ופסוק, והפניות לספרות חז"ל לפי המסכת והדף. ההערות והביבליוגרפיה כתובות בשיטה אחת לאורך כל העבודה: בהערה הראשונה פרט ביבליוגרפי מלא, ולאחר מכן צורה מקוצרת. מקומות שבהם עדיין נדרשת השלמה של מספר עמוד או בדיקה במהדורה סומנו בסוגריים מרובעים.</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1: החמור: זואולוגיה, מקורות יהודיים ומקורות כלליים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1.1 החמור מבחינה זואולוגית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החמור (</w:t>
      </w:r>
      <w:r>
        <w:rPr>
          <w:rFonts w:ascii="Times New Roman" w:cs="David" w:eastAsia="David" w:hAnsi="Times New Roman"/>
          <w:i w:val="false"/>
          <w:iCs w:val="false"/>
          <w:noProof/>
          <w:sz w:val="24"/>
          <w:szCs w:val="24"/>
          <w:rtl w:val="false"/>
          <w:lang w:val="en-US" w:bidi="he-IL"/>
        </w:rPr>
        <w:t xml:space="preserve">Equus asinus) </w:t>
      </w:r>
      <w:r>
        <w:rPr>
          <w:rFonts w:ascii="Times New Roman" w:cs="David" w:eastAsia="David" w:hAnsi="Times New Roman"/>
          <w:i w:val="false"/>
          <w:iCs w:val="false"/>
          <w:noProof/>
          <w:sz w:val="24"/>
          <w:szCs w:val="24"/>
          <w:rtl/>
          <w:lang w:val="en-US" w:bidi="he-IL"/>
        </w:rPr>
        <w:t xml:space="preserve">הוא בן משפחת הסוסיים. הוא בוית מן הפרא האפריקני (</w:t>
      </w:r>
      <w:r>
        <w:rPr>
          <w:rFonts w:ascii="Times New Roman" w:cs="David" w:eastAsia="David" w:hAnsi="Times New Roman"/>
          <w:i w:val="false"/>
          <w:iCs w:val="false"/>
          <w:noProof/>
          <w:sz w:val="24"/>
          <w:szCs w:val="24"/>
          <w:rtl w:val="false"/>
          <w:lang w:val="en-US" w:bidi="he-IL"/>
        </w:rPr>
        <w:t xml:space="preserve">Equus africanus) </w:t>
      </w:r>
      <w:r>
        <w:rPr>
          <w:rFonts w:ascii="Times New Roman" w:cs="David" w:eastAsia="David" w:hAnsi="Times New Roman"/>
          <w:i w:val="false"/>
          <w:iCs w:val="false"/>
          <w:noProof/>
          <w:sz w:val="24"/>
          <w:szCs w:val="24"/>
          <w:rtl/>
          <w:lang w:val="en-US" w:bidi="he-IL"/>
        </w:rPr>
        <w:t xml:space="preserve">בצפון מזרח אפריקה לפני כחמשת אלפים עד ששת אלפים שנה, ככל הנראה בסביבת מצרים ונוביה, והיה בעל החיים הראשון ששימש לנשיאת משאות למרחקים. הממצא הארכיאולוגי מאבידוס שבמצרים, שבו נקברו חמורים בסמוך לקברי מלוכה מראשית האלף השלישי לפני הספירה, מלמד עד כמה היה החמור חשוב לכלכלה ולתנועה בעולם העתיק.</w:t>
      </w:r>
      <w:r>
        <w:rPr>
          <w:rStyle w:val="FootnoteReference"/>
        </w:rPr>
        <w:footnoteReference w:id="2"/>
      </w:r>
    </w:p>
    <w:p>
      <w:pPr>
        <w:bidi/>
        <w:spacing w:after="120" w:before="0" w:line="360"/>
        <w:jc w:val="both"/>
      </w:pPr>
      <w:r>
        <w:rPr>
          <w:rFonts w:ascii="Times New Roman" w:cs="David" w:eastAsia="David" w:hAnsi="Times New Roman"/>
          <w:i w:val="false"/>
          <w:iCs w:val="false"/>
          <w:noProof/>
          <w:sz w:val="24"/>
          <w:szCs w:val="24"/>
          <w:rtl/>
          <w:lang w:val="en-US" w:bidi="he-IL"/>
        </w:rPr>
        <w:t xml:space="preserve">כמה מתכונותיו הגופניות של החמור מזינות ישירות את דימויו בספרות. אוזניו הארוכות, שתפקידן שמיעה וויסות חום, הפכו לסימן ההיכר שלו, וגם לסימן שמסגיר אותו כשהוא מנסה להתחפש. קולו, הנעירה, חזק וצורם ונשמע למרחק. הוא חיה קשוחה, מסתפקת במעט מים ומזון, נושאת משא כבד ביחס לגודלה ובעלת סף כאב גבוה. הנטייה שלו לעצור ולסרב לזוז כשהוא חש סכנה, שהאדם מפרש אותה כעקשנות, היא התנהגות הגנתית של בעל חיים שאינו יכול לברוח במהירות כמו הסוס. גם החיכוך בעצים ובסלעים, שמופיע במשל הצרעה, הוא התנהגות טבעית של החמור להסרת טפילים מעורו. שלוש התכונות, האוזניים, הקול והגוף המגושם והכבד, הן בדיוק התכונות שברכיה מפעיל בארבעת המשלים.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1.2 החמור במקורות היהודיים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במקרא החמור נזכר יותר ממאה ושלושים פעם, בדרך כלל כבהמת עבודה ורכיבה של כל שכבות העם. הוא מלווה את אברהם בדרכו לעקדה (בראשית כב, ג), נושא את משפחת משה למצרים (שמות ד, כ), והוא הבהמה שעליה נצטווה האדם לחוס גם כשהיא של שונאו: "כי תראה חמור שנאך רבץ תחת משאו וחדלת מעזב לו, עזב תעזב עמו" (שמות כג, ה). מעמדו ההלכתי מיוחד: הוא הבהמה הטמאה היחידה שבכורה טעון פדיון, "וכל פטר חמר תפדה בשה" (שמות יג, יג), ואסור לחרוש בו יחד עם השור (דברים כב, י). קנת ויי, שהקדיש לחמור המקראי מונוגרפיה שלמה, מראה שהחמור נושא במקרא גם משמעות טקסית וסמלית, ולא רק כלכלית.</w:t>
      </w:r>
      <w:r>
        <w:rPr>
          <w:rStyle w:val="FootnoteReference"/>
        </w:rPr>
        <w:footnoteReference w:id="3"/>
      </w:r>
    </w:p>
    <w:p>
      <w:pPr>
        <w:bidi/>
        <w:spacing w:after="120" w:before="0" w:line="360"/>
        <w:jc w:val="both"/>
      </w:pPr>
      <w:r>
        <w:rPr>
          <w:rFonts w:ascii="Times New Roman" w:cs="David" w:eastAsia="David" w:hAnsi="Times New Roman"/>
          <w:i w:val="false"/>
          <w:iCs w:val="false"/>
          <w:noProof/>
          <w:sz w:val="24"/>
          <w:szCs w:val="24"/>
          <w:rtl/>
          <w:lang w:val="en-US" w:bidi="he-IL"/>
        </w:rPr>
        <w:t xml:space="preserve">שלוש דמויות של חמור במקרא חשובות במיוחד לעבודה זו, מפני שברכיה מרמז אליהן במשלים הנדונים. הראשונה היא אתונו של בלעם, החיה היחידה במקרא שמדברת, והרואה את מלאך ה' בשעה שהנביא עצמו עיוור לו (במדבר כב, כא-לג). הנוסחה שברכיה חותם בה את משליו, "ואשא משלי ואומר", לקוחה מן הפסוק "וישא משלו ויאמר" (במדבר כג, ז) הפותח את נבואות בלעם. יש אירוניה בכך שספר שלם של משלי חיות חתום בנוסחה של הנביא שאתונו ראתה יותר ממנו. קנת ויי הראה שאתונו של בלעם ואריהו של איש האלוהים מיהודה (מלכים א יג) הם שני המקרים המובהקים במקרא של בעלי חיים הפועלים כשליחי האל, ושבשניהם החיה מבינה את דבר ה' טוב מן הנביא.</w:t>
      </w:r>
      <w:r>
        <w:rPr>
          <w:rStyle w:val="FootnoteReference"/>
        </w:rPr>
        <w:footnoteReference w:id="4"/>
      </w:r>
      <w:r>
        <w:rPr>
          <w:rFonts w:ascii="Times New Roman" w:cs="David" w:eastAsia="David" w:hAnsi="Times New Roman"/>
          <w:i w:val="false"/>
          <w:iCs w:val="false"/>
          <w:noProof/>
          <w:sz w:val="24"/>
          <w:szCs w:val="24"/>
          <w:rtl/>
          <w:lang w:val="en-US" w:bidi="he-IL"/>
        </w:rPr>
        <w:t xml:space="preserve"> שני הסיפורים האלה ישובו בניתוח משל סה. השנייה היא אתונות קיש, שאובדנן שלח את שאול לדרך שבסופה נמשח למלך ונתנבא (שמואל א ט-י). ברכיה מזכיר אותן במפורש בשיר החותם את משל יד. השלישית היא החמור של ישעיהו: "ידע שור קנהו וחמור אבוס בעליו, ישראל לא ידע עמי לא התבונן" (ישעיהו א, ג). כאן החמור הוא דווקא דוגמה לידיעה ולהכרת הטוב, וישראל הם שאינם יודעים. ברכיה הופך את הפסוק במשל מז: "וחמור אבוס בעליו לא ידע". החמור שלו הוא בדיוק החמור שישעיהו לא הכיר.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יש להוסיף את יששכר "חמר גרם רבץ בין המשפתים" (בראשית מט, יד), את לחי החמור של שמשון (שופטים טו, טו-טז), את "קבורת חמור" שנגזרה על יהויקים (ירמיהו כב, יט), ואת המלך המשיח "עני ורכב על חמור" (זכריה ט, ט), פסוק שבו מצטופפים שלושת המונחים העבריים לחמור הביתי, חמור, עיר ואתון, וויי הראה שלכל אחד מהם טווח משמעות משלו.</w:t>
      </w:r>
      <w:r>
        <w:rPr>
          <w:rStyle w:val="FootnoteReference"/>
        </w:rPr>
        <w:footnoteReference w:id="5"/>
      </w:r>
      <w:r>
        <w:rPr>
          <w:rFonts w:ascii="Times New Roman" w:cs="David" w:eastAsia="David" w:hAnsi="Times New Roman"/>
          <w:i w:val="false"/>
          <w:iCs w:val="false"/>
          <w:noProof/>
          <w:sz w:val="24"/>
          <w:szCs w:val="24"/>
          <w:rtl/>
          <w:lang w:val="en-US" w:bidi="he-IL"/>
        </w:rPr>
        <w:t xml:space="preserve"> הפרא, חמור הבר, מופיע באיוב לט, ה-ח כסמל לחירות שאין לאדם שליטה בה.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בספרות חז"ל החמור מופיע במשנה בעיקר בהקשרים הלכתיים של עבודה, משא וכלאיים (למשל משנה כלאים ח, ב-ד), אך באגדה הוא זוכה לדמות עשירה יותר. חמורו של רבי פנחס בן יאיר סירב לאכול שעורים שלא עושרו (בבלי חולין ז ע"א-ע"ב), ומכאן הכלל "אפילו בהמתן של צדיקים אין הקדוש ברוך הוא מביא תקלה על ידן". לעומת זאת הביטוי "עם הדומה לחמור" (בבלי יבמות סב ע"א, על פי בראשית כב, ה) הפך במסורת המאוחרת לכינוי גנאי. במדרש נאמר שאותו חמור שחבש אברהם הוא שרכב עליו משה ושעליו עתיד לרכוב המשיח (פרקי דרבי אליעזר, פרק לא), ובתלמוד מוצג המשיח כמי שיבוא "עני ורוכב על חמור" אם לא יזכו ישראל (בבלי סנהדרין צח ע"א). כך נוצר בעברית מתח קבוע: החמור הוא גם חיית הצדיקים והמשיח, וגם סמל הכסילות. עלי יסיף מראה שהמשל החייתי בספרות חז"ל, ובכלל זה משלי השועלים של רבי מאיר (בבלי סנהדרין לח ע"ב), הוא ז'אנר שבו החיה נושאת תכונה אנושית קבועה שהקהל מזהה מיד, ומכאן כוחו הרטורי.</w:t>
      </w:r>
      <w:r>
        <w:rPr>
          <w:rStyle w:val="FootnoteReference"/>
        </w:rPr>
        <w:footnoteReference w:id="6"/>
      </w:r>
      <w:r>
        <w:rPr>
          <w:rFonts w:ascii="Times New Roman" w:cs="David" w:eastAsia="David" w:hAnsi="Times New Roman"/>
          <w:i w:val="false"/>
          <w:iCs w:val="false"/>
          <w:noProof/>
          <w:sz w:val="24"/>
          <w:szCs w:val="24"/>
          <w:rtl/>
          <w:lang w:val="en-US" w:bidi="he-IL"/>
        </w:rPr>
        <w:t xml:space="preserve"> דוד שטרן, שחקר את תפקידו של המשל בספרות חז"ל, הראה שהמשל הדרשני הוא קודם כול כלי רטורי, ושאפשר למיין כמעט כל משל לפי מטרתו: שבח או גנאי, ובתוכם אזהרה, תלונה, פולמוס ונחמה.</w:t>
      </w:r>
      <w:r>
        <w:rPr>
          <w:rStyle w:val="FootnoteReference"/>
        </w:rPr>
        <w:footnoteReference w:id="7"/>
      </w:r>
      <w:r>
        <w:rPr>
          <w:rFonts w:ascii="Times New Roman" w:cs="David" w:eastAsia="David" w:hAnsi="Times New Roman"/>
          <w:i w:val="false"/>
          <w:iCs w:val="false"/>
          <w:noProof/>
          <w:sz w:val="24"/>
          <w:szCs w:val="24"/>
          <w:rtl/>
          <w:lang w:val="en-US" w:bidi="he-IL"/>
        </w:rPr>
        <w:t xml:space="preserve"> שטרן פיתח את הטענה במאמרו האנגלי, שבו הגדיר את המשל כצורה רטורית שמשמעותה נבנית בשיתוף הקהל, ולא כאלגוריה סגורה.</w:t>
      </w:r>
      <w:r>
        <w:rPr>
          <w:rStyle w:val="FootnoteReference"/>
        </w:rPr>
        <w:footnoteReference w:id="8"/>
      </w:r>
      <w:r>
        <w:rPr>
          <w:rFonts w:ascii="Times New Roman" w:cs="David" w:eastAsia="David" w:hAnsi="Times New Roman"/>
          <w:i w:val="false"/>
          <w:iCs w:val="false"/>
          <w:noProof/>
          <w:sz w:val="24"/>
          <w:szCs w:val="24"/>
          <w:rtl/>
          <w:lang w:val="en-US" w:bidi="he-IL"/>
        </w:rPr>
        <w:t xml:space="preserve"> לפי המיון הזה ארבעת משלי החמור של ברכיה הם משלי גנאי ואזהרה, וכך גם ננתח אותם. יש להוסיף שהמדרש, ובעקבותיו רש"י, מייחסים לבעלי חיים אחריות מוסרית של ממש, כפי שהראה אריק לאווי בדיונו ב"חטאי החי" בדור המבול; זה הרקע התרבותי שמאפשר למשל העברי לשפוט חמור על גאוותו.</w:t>
      </w:r>
      <w:r>
        <w:rPr>
          <w:rStyle w:val="FootnoteReference"/>
        </w:rPr>
        <w:footnoteReference w:id="9"/>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1.3 החמור במקורות הכלליים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בקורפוס האיזופי החמור הוא אחד הגיבורים השכיחים, וכמעט תמיד הוא לקוי בשיפוט. במפתח פרי, המפתח המקובל למשלי איזופוס, מופיעים בין השאר: החמור והכלבלב (פרי 91), שבו החמור המקנא מנסה לקפוץ על אדוניו כמו הכלב ומוכה; החמור נושא המלח (פרי 180), שלמד שהמלח נמס במים וטבע כשניסה את התחבולה עם ספוגים; החמור נושא פסל האל (פרי 182), שחשב שהעוברים משתחווים לו; החמור בעור האריה (פרי 188, וגרסה נוספת פרי 358), שנחשף בגלל אוזניו או קולו; והאריה והחמור היוצאים לצוד (פרי 151, אצל פדרוס א, יא), שבו החמור נוער כדי להבריח את החיות אל האריה, ואחר כך שואל אם קולו מצא חן, והאריה משיב שאילולא ידע מי הוא היה בורח גם הוא.</w:t>
      </w:r>
      <w:r>
        <w:rPr>
          <w:rStyle w:val="FootnoteReference"/>
        </w:rPr>
        <w:footnoteReference w:id="10"/>
      </w:r>
      <w:r>
        <w:rPr>
          <w:rFonts w:ascii="Times New Roman" w:cs="David" w:eastAsia="David" w:hAnsi="Times New Roman"/>
          <w:i w:val="false"/>
          <w:iCs w:val="false"/>
          <w:noProof/>
          <w:sz w:val="24"/>
          <w:szCs w:val="24"/>
          <w:rtl/>
          <w:lang w:val="en-US" w:bidi="he-IL"/>
        </w:rPr>
        <w:t xml:space="preserve"> במשלים אלה החמור מייצג את מי שמעריך את עצמו בטעות: הוא חושב שהכבוד שניתן לפסל ניתן לו, שהאהבה שניתנת לכלב תינתן גם לו, ושהעור יהפוך אותו לאריה. שלושה מן המשלים האלה הם המקורות הישירים של משלים יד, מז ו-סה אצל ברכיה, ומשל עור האריה הגיע אליו כנראה דרך אביאנוס (משל 5) ולא ישירות מן היוונית.</w:t>
      </w:r>
      <w:r>
        <w:rPr>
          <w:rStyle w:val="FootnoteReference"/>
        </w:rPr>
        <w:footnoteReference w:id="11"/>
      </w:r>
    </w:p>
    <w:p>
      <w:pPr>
        <w:bidi/>
        <w:spacing w:after="120" w:before="0" w:line="360"/>
        <w:jc w:val="both"/>
      </w:pPr>
      <w:r>
        <w:rPr>
          <w:rFonts w:ascii="Times New Roman" w:cs="David" w:eastAsia="David" w:hAnsi="Times New Roman"/>
          <w:i w:val="false"/>
          <w:iCs w:val="false"/>
          <w:noProof/>
          <w:sz w:val="24"/>
          <w:szCs w:val="24"/>
          <w:rtl/>
          <w:lang w:val="en-US" w:bidi="he-IL"/>
        </w:rPr>
        <w:t xml:space="preserve">שורצבוים היה הראשון שבדק את משלי שועלים לפי מפתחות הטיפוסים והמוטיבים הבינלאומיים, והראה שהשיטה הזאת מאפשרת לזהות לכל משל את מקורו ואת גלגוליו, וגם להבחין בין מה שברכיה ירש ובין מה ששינה.</w:t>
      </w:r>
      <w:r>
        <w:rPr>
          <w:rStyle w:val="FootnoteReference"/>
        </w:rPr>
        <w:footnoteReference w:id="12"/>
      </w:r>
      <w:r>
        <w:rPr>
          <w:rFonts w:ascii="Times New Roman" w:cs="David" w:eastAsia="David" w:hAnsi="Times New Roman"/>
          <w:i w:val="false"/>
          <w:iCs w:val="false"/>
          <w:noProof/>
          <w:sz w:val="24"/>
          <w:szCs w:val="24"/>
          <w:rtl/>
          <w:lang w:val="en-US" w:bidi="he-IL"/>
        </w:rPr>
        <w:t xml:space="preserve"> במפתחות האלה שניים מן הטיפוסים רשומים: </w:t>
      </w:r>
      <w:r>
        <w:rPr>
          <w:rFonts w:ascii="Times New Roman" w:cs="David" w:eastAsia="David" w:hAnsi="Times New Roman"/>
          <w:i w:val="false"/>
          <w:iCs w:val="false"/>
          <w:noProof/>
          <w:sz w:val="24"/>
          <w:szCs w:val="24"/>
          <w:rtl w:val="false"/>
          <w:lang w:val="en-US" w:bidi="he-IL"/>
        </w:rPr>
        <w:t xml:space="preserve">ATU 214, "</w:t>
      </w:r>
      <w:r>
        <w:rPr>
          <w:rFonts w:ascii="Times New Roman" w:cs="David" w:eastAsia="David" w:hAnsi="Times New Roman"/>
          <w:i w:val="false"/>
          <w:iCs w:val="false"/>
          <w:noProof/>
          <w:sz w:val="24"/>
          <w:szCs w:val="24"/>
          <w:rtl/>
          <w:lang w:val="en-US" w:bidi="he-IL"/>
        </w:rPr>
        <w:t xml:space="preserve">החמור המנסה ללטף את אדוניו כמו הכלב", ו-</w:t>
      </w:r>
      <w:r>
        <w:rPr>
          <w:rFonts w:ascii="Times New Roman" w:cs="David" w:eastAsia="David" w:hAnsi="Times New Roman"/>
          <w:i w:val="false"/>
          <w:iCs w:val="false"/>
          <w:noProof/>
          <w:sz w:val="24"/>
          <w:szCs w:val="24"/>
          <w:rtl w:val="false"/>
          <w:lang w:val="en-US" w:bidi="he-IL"/>
        </w:rPr>
        <w:t xml:space="preserve">ATU 214B, "</w:t>
      </w:r>
      <w:r>
        <w:rPr>
          <w:rFonts w:ascii="Times New Roman" w:cs="David" w:eastAsia="David" w:hAnsi="Times New Roman"/>
          <w:i w:val="false"/>
          <w:iCs w:val="false"/>
          <w:noProof/>
          <w:sz w:val="24"/>
          <w:szCs w:val="24"/>
          <w:rtl/>
          <w:lang w:val="en-US" w:bidi="he-IL"/>
        </w:rPr>
        <w:t xml:space="preserve">החמור בעור האריה".</w:t>
      </w:r>
      <w:r>
        <w:rPr>
          <w:rStyle w:val="FootnoteReference"/>
        </w:rPr>
        <w:footnoteReference w:id="13"/>
      </w:r>
      <w:r>
        <w:rPr>
          <w:rFonts w:ascii="Times New Roman" w:cs="David" w:eastAsia="David" w:hAnsi="Times New Roman"/>
          <w:i w:val="false"/>
          <w:iCs w:val="false"/>
          <w:noProof/>
          <w:sz w:val="24"/>
          <w:szCs w:val="24"/>
          <w:rtl/>
          <w:lang w:val="en-US" w:bidi="he-IL"/>
        </w:rPr>
        <w:t xml:space="preserve"> במפתח המוטיבים של תומפסון החמור נקשר בעיקר לפרק </w:t>
      </w:r>
      <w:r>
        <w:rPr>
          <w:rFonts w:ascii="Times New Roman" w:cs="David" w:eastAsia="David" w:hAnsi="Times New Roman"/>
          <w:i w:val="false"/>
          <w:iCs w:val="false"/>
          <w:noProof/>
          <w:sz w:val="24"/>
          <w:szCs w:val="24"/>
          <w:rtl w:val="false"/>
          <w:lang w:val="en-US" w:bidi="he-IL"/>
        </w:rPr>
        <w:t xml:space="preserve">J (</w:t>
      </w:r>
      <w:r>
        <w:rPr>
          <w:rFonts w:ascii="Times New Roman" w:cs="David" w:eastAsia="David" w:hAnsi="Times New Roman"/>
          <w:i w:val="false"/>
          <w:iCs w:val="false"/>
          <w:noProof/>
          <w:sz w:val="24"/>
          <w:szCs w:val="24"/>
          <w:rtl/>
          <w:lang w:val="en-US" w:bidi="he-IL"/>
        </w:rPr>
        <w:t xml:space="preserve">חוכמה וטיפשות): המוטיב </w:t>
      </w:r>
      <w:r>
        <w:rPr>
          <w:rFonts w:ascii="Times New Roman" w:cs="David" w:eastAsia="David" w:hAnsi="Times New Roman"/>
          <w:i w:val="false"/>
          <w:iCs w:val="false"/>
          <w:noProof/>
          <w:sz w:val="24"/>
          <w:szCs w:val="24"/>
          <w:rtl w:val="false"/>
          <w:lang w:val="en-US" w:bidi="he-IL"/>
        </w:rPr>
        <w:t xml:space="preserve">J951.1, "</w:t>
      </w:r>
      <w:r>
        <w:rPr>
          <w:rFonts w:ascii="Times New Roman" w:cs="David" w:eastAsia="David" w:hAnsi="Times New Roman"/>
          <w:i w:val="false"/>
          <w:iCs w:val="false"/>
          <w:noProof/>
          <w:sz w:val="24"/>
          <w:szCs w:val="24"/>
          <w:rtl/>
          <w:lang w:val="en-US" w:bidi="he-IL"/>
        </w:rPr>
        <w:t xml:space="preserve">חמור בעור אריה", והמוטיב </w:t>
      </w:r>
      <w:r>
        <w:rPr>
          <w:rFonts w:ascii="Times New Roman" w:cs="David" w:eastAsia="David" w:hAnsi="Times New Roman"/>
          <w:i w:val="false"/>
          <w:iCs w:val="false"/>
          <w:noProof/>
          <w:sz w:val="24"/>
          <w:szCs w:val="24"/>
          <w:rtl w:val="false"/>
          <w:lang w:val="en-US" w:bidi="he-IL"/>
        </w:rPr>
        <w:t xml:space="preserve">J2413, "</w:t>
      </w:r>
      <w:r>
        <w:rPr>
          <w:rFonts w:ascii="Times New Roman" w:cs="David" w:eastAsia="David" w:hAnsi="Times New Roman"/>
          <w:i w:val="false"/>
          <w:iCs w:val="false"/>
          <w:noProof/>
          <w:sz w:val="24"/>
          <w:szCs w:val="24"/>
          <w:rtl/>
          <w:lang w:val="en-US" w:bidi="he-IL"/>
        </w:rPr>
        <w:t xml:space="preserve">חיה מחקה בטיפשות חיה אחרת ואינה יכולה לשנות את טבעה". במשל הצרעה פועל מוטיב מפרק אחר, </w:t>
      </w:r>
      <w:r>
        <w:rPr>
          <w:rFonts w:ascii="Times New Roman" w:cs="David" w:eastAsia="David" w:hAnsi="Times New Roman"/>
          <w:i w:val="false"/>
          <w:iCs w:val="false"/>
          <w:noProof/>
          <w:sz w:val="24"/>
          <w:szCs w:val="24"/>
          <w:rtl w:val="false"/>
          <w:lang w:val="en-US" w:bidi="he-IL"/>
        </w:rPr>
        <w:t xml:space="preserve">L315.6, "</w:t>
      </w:r>
      <w:r>
        <w:rPr>
          <w:rFonts w:ascii="Times New Roman" w:cs="David" w:eastAsia="David" w:hAnsi="Times New Roman"/>
          <w:i w:val="false"/>
          <w:iCs w:val="false"/>
          <w:noProof/>
          <w:sz w:val="24"/>
          <w:szCs w:val="24"/>
          <w:rtl/>
          <w:lang w:val="en-US" w:bidi="he-IL"/>
        </w:rPr>
        <w:t xml:space="preserve">חרקים מציקים לחיה גדולה עד ייאוש או מוות", תת-מוטיב של </w:t>
      </w:r>
      <w:r>
        <w:rPr>
          <w:rFonts w:ascii="Times New Roman" w:cs="David" w:eastAsia="David" w:hAnsi="Times New Roman"/>
          <w:i w:val="false"/>
          <w:iCs w:val="false"/>
          <w:noProof/>
          <w:sz w:val="24"/>
          <w:szCs w:val="24"/>
          <w:rtl w:val="false"/>
          <w:lang w:val="en-US" w:bidi="he-IL"/>
        </w:rPr>
        <w:t xml:space="preserve">L315, "</w:t>
      </w:r>
      <w:r>
        <w:rPr>
          <w:rFonts w:ascii="Times New Roman" w:cs="David" w:eastAsia="David" w:hAnsi="Times New Roman"/>
          <w:i w:val="false"/>
          <w:iCs w:val="false"/>
          <w:noProof/>
          <w:sz w:val="24"/>
          <w:szCs w:val="24"/>
          <w:rtl/>
          <w:lang w:val="en-US" w:bidi="he-IL"/>
        </w:rPr>
        <w:t xml:space="preserve">בעל חיים קטן מנצח בעל חיים גדול", ובמשל הציד המשותף מוטיב הציד בשותפות עם האריה, שסופו תמיד רע לשותף החלש.</w:t>
      </w:r>
      <w:r>
        <w:rPr>
          <w:rStyle w:val="FootnoteReference"/>
        </w:rPr>
        <w:footnoteReference w:id="14"/>
      </w:r>
      <w:r>
        <w:rPr>
          <w:rFonts w:ascii="Times New Roman" w:cs="David" w:eastAsia="David" w:hAnsi="Times New Roman"/>
          <w:i w:val="false"/>
          <w:iCs w:val="false"/>
          <w:noProof/>
          <w:sz w:val="24"/>
          <w:szCs w:val="24"/>
          <w:rtl/>
          <w:lang w:val="en-US" w:bidi="he-IL"/>
        </w:rPr>
        <w:t xml:space="preserve"> למשל הצרעה לא מצאתי מקבילה איזופית ישירה, והקרוב אליו ברוחו הוא משל היתוש והאריה (פרי 255), שבו היתוש מנצח את מלך החיות בעקיצות. את מקבילותיו של המשל יש לבדוק ברשימת המקבילות של שורצבוים.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ב"כלילה ודמנה", ספר המשלים ההודי שהגיע לעברית דרך העיבוד הערבי של אבן אלמקפע ותורגם פעמיים בימי הביניים, מופיע החמור בסיפור "האריה, השועל והחמור": השועל מפתה את החמור לבוא אל האריה החולה, החמור נמלט מן הטריפה הראשונה, ובכל זאת נענה לפיתוי שני ונטרף. השועל, שאכל בסתר את לב החמור ואת אוזניו, טוען שלחמור לא היו מעולם לא לב ולא אוזניים, שאם לא כן לא היה חוזר. כאן החמור מייצג פתיות שאינה לומדת מניסיון.</w:t>
      </w:r>
      <w:r>
        <w:rPr>
          <w:rStyle w:val="FootnoteReference"/>
        </w:rPr>
        <w:footnoteReference w:id="15"/>
      </w:r>
      <w:r>
        <w:rPr>
          <w:rFonts w:ascii="Times New Roman" w:cs="David" w:eastAsia="David" w:hAnsi="Times New Roman"/>
          <w:i w:val="false"/>
          <w:iCs w:val="false"/>
          <w:noProof/>
          <w:sz w:val="24"/>
          <w:szCs w:val="24"/>
          <w:rtl/>
          <w:lang w:val="en-US" w:bidi="he-IL"/>
        </w:rPr>
        <w:t xml:space="preserve"> בסיפור המסגרת של "אלף לילה ולילה", עוד לפני ששהרזאד פותחת בסיפוריה, מובא "מעשה השור והחמור": החמור החכם מייעץ לשור להעמיד פני חולה כדי להשתמט מן החרישה, ובעל הבית, שמבין שפת חיות, מטיל את החרישה על החמור עצמו. כאן החמור ערמומי, אבל ערמומיותו מתהפכת עליו.</w:t>
      </w:r>
      <w:r>
        <w:rPr>
          <w:rStyle w:val="FootnoteReference"/>
        </w:rPr>
        <w:footnoteReference w:id="16"/>
      </w:r>
      <w:r>
        <w:rPr>
          <w:rFonts w:ascii="Times New Roman" w:cs="David" w:eastAsia="David" w:hAnsi="Times New Roman"/>
          <w:i w:val="false"/>
          <w:iCs w:val="false"/>
          <w:noProof/>
          <w:sz w:val="24"/>
          <w:szCs w:val="24"/>
          <w:rtl/>
          <w:lang w:val="en-US" w:bidi="he-IL"/>
        </w:rPr>
        <w:t xml:space="preserve"> "משל הקדמוני" לרבי יצחק אבן סהולה (1281) בנוי כסדרת ויכוחים בין ציניקן למוסרן המושמים בפי בעלי חיים, ולא איתרתי בו משל שהחמור עומד במרכזו, ולכן החיבור אינו נכלל בקורפוס [לוודא במפתח מהדורת לוב, 2004]. מקבילה ישירה למשל יד יש אצל מארי דה פראנס, בת דורו של ברכיה, במשל "על החמור שרצה לשחק עם אדוניו".</w:t>
      </w:r>
      <w:r>
        <w:rPr>
          <w:rStyle w:val="FootnoteReference"/>
        </w:rPr>
        <w:footnoteReference w:id="17"/>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1.4 החמור במקורות הנוצריים והמוסלמיים ובפולקלור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במסורת הנוצרית החמור נוכח בשלוש תמונות מרכזיות, ושלושתן נשענות על המקרא. הראשונה היא האבוס: הבשורות הקנוניות מספרות רק שישוע הושכב באבוס (לוקס ב, ז), אבל הבשורה החיצונית של פסאודו-מתי מוסיפה שור וחמור שכרעו לפניו, וקושרת זאת במפורש לישעיהו א, ג, "ידע שור קנהו וחמור אבוס בעליו".</w:t>
      </w:r>
      <w:r>
        <w:rPr>
          <w:rStyle w:val="FootnoteReference"/>
        </w:rPr>
        <w:footnoteReference w:id="18"/>
      </w:r>
      <w:r>
        <w:rPr>
          <w:rFonts w:ascii="Times New Roman" w:cs="David" w:eastAsia="David" w:hAnsi="Times New Roman"/>
          <w:i w:val="false"/>
          <w:iCs w:val="false"/>
          <w:noProof/>
          <w:sz w:val="24"/>
          <w:szCs w:val="24"/>
          <w:rtl/>
          <w:lang w:val="en-US" w:bidi="he-IL"/>
        </w:rPr>
        <w:t xml:space="preserve"> הפסוק שברכיה הופך במשל מז הוא אפוא גם הפסוק שעומד מאחורי כל תמונת מולד נוצרית בימי הביניים, וקוראיו של ברכיה בצרפת ובאנגליה ראו את השור והחמור האלה בכנסיות. השנייה היא הכניסה לירושלים על חמור (מתי כא, א-ז), המצוטטת מזכריה ט, ט. השלישית היא אתונו של בלעם, שאיגרת פטרוס השנייה (ב, טז) מביאה כדוגמה לבהמה אילמת שהוכיחה נביא.</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בקוראן החמור מופיע בארבעה הקשרים, ושלושה מהם נוגעים ישירות לתכונות שברכיה מפעיל. בסורה 62, פסוק 5, מי שהופקדו על התורה ולא נשאו אותה נמשלים ל"חמור נושא ספרים": ידע שנישא על הגב ואינו נכנס לראש, ממש כמו "לא ידע" של ישעיהו. בסורה 31, פסוק 19, נאמר שהנתעב שבקולות הוא קול החמורים, וזה בדיוק הקול שהחמור במשל סה מתפאר בו. ובסורה 74, פסוקים 50-51, הכופרים הבורחים מן התוכחה נמשלים לחמורי בר נבהלים הנסים מפני אריה, תמונה שהיא כמעט הציד של משל סה.</w:t>
      </w:r>
      <w:r>
        <w:rPr>
          <w:rStyle w:val="FootnoteReference"/>
        </w:rPr>
        <w:footnoteReference w:id="19"/>
      </w:r>
    </w:p>
    <w:p>
      <w:pPr>
        <w:bidi/>
        <w:spacing w:after="120" w:before="0" w:line="360"/>
        <w:jc w:val="both"/>
      </w:pPr>
      <w:r>
        <w:rPr>
          <w:rFonts w:ascii="Times New Roman" w:cs="David" w:eastAsia="David" w:hAnsi="Times New Roman"/>
          <w:i w:val="false"/>
          <w:iCs w:val="false"/>
          <w:noProof/>
          <w:sz w:val="24"/>
          <w:szCs w:val="24"/>
          <w:rtl/>
          <w:lang w:val="en-US" w:bidi="he-IL"/>
        </w:rPr>
        <w:t xml:space="preserve">בפולקלור האירופי המאוחר יותר החמור שומר על שתי פניו. הוא הכסיל שבפתגמים ובבדיחות, אבל הוא גם הפועל הזקן שנזרק אחרי שנות עבודה, כמו החמור של "נגני העיר ברמן" אצל האחים גרים (טיפוס </w:t>
      </w:r>
      <w:r>
        <w:rPr>
          <w:rFonts w:ascii="Times New Roman" w:cs="David" w:eastAsia="David" w:hAnsi="Times New Roman"/>
          <w:i w:val="false"/>
          <w:iCs w:val="false"/>
          <w:noProof/>
          <w:sz w:val="24"/>
          <w:szCs w:val="24"/>
          <w:rtl w:val="false"/>
          <w:lang w:val="en-US" w:bidi="he-IL"/>
        </w:rPr>
        <w:t xml:space="preserve">ATU 130), </w:t>
      </w:r>
      <w:r>
        <w:rPr>
          <w:rFonts w:ascii="Times New Roman" w:cs="David" w:eastAsia="David" w:hAnsi="Times New Roman"/>
          <w:i w:val="false"/>
          <w:iCs w:val="false"/>
          <w:noProof/>
          <w:sz w:val="24"/>
          <w:szCs w:val="24"/>
          <w:rtl/>
          <w:lang w:val="en-US" w:bidi="he-IL"/>
        </w:rPr>
        <w:t xml:space="preserve">שמנהיג את החיות המשוחררות.</w:t>
      </w:r>
      <w:r>
        <w:rPr>
          <w:rStyle w:val="FootnoteReference"/>
        </w:rPr>
        <w:footnoteReference w:id="20"/>
      </w:r>
      <w:r>
        <w:rPr>
          <w:rFonts w:ascii="Times New Roman" w:cs="David" w:eastAsia="David" w:hAnsi="Times New Roman"/>
          <w:i w:val="false"/>
          <w:iCs w:val="false"/>
          <w:noProof/>
          <w:sz w:val="24"/>
          <w:szCs w:val="24"/>
          <w:rtl/>
          <w:lang w:val="en-US" w:bidi="he-IL"/>
        </w:rPr>
        <w:t xml:space="preserve"> המסורת העממית משמרת אפוא את המתח שנמצא כבר במקרא: החמור הוא בעל החיים הנלעג ביותר ובעל החיים העמל ביותר. ברכיה בוחר בצד הלעג, אבל שלושת המשלים שמסתיימים בעבודה, בעבדות ובאבוס מזכירים גם את הצד השני.</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1.5 קורפוס משלי החמור: סיכום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הטבלה שלהלן מרכזת את משלי החמור שנסקרו, את תוכנם בקצרה ואת התכונה שהחמור מייצג בכל אחד מהם. השורות האחרונות הן ארבעת המשלים של ברכיה שינותחו בפרקים 3 עד 6.</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472"/>
        <w:gridCol w:w="2000"/>
      </w:tblGrid>
      <w:tr>
        <w:trPr>
          <w:cantSplit/>
          <w:tblHeader/>
        </w:trPr>
        <w:tc>
          <w:tcPr>
            <w:tcW w:type="dxa" w:w="1700"/>
            <w:tcBorders>
              <w:top w:val="single" w:color="888888" w:sz="4"/>
              <w:left w:val="single" w:color="888888" w:sz="4"/>
              <w:bottom w:val="single" w:color="888888" w:sz="4"/>
              <w:right w:val="single" w:color="888888" w:sz="4"/>
            </w:tcBorders>
            <w:shd w:fill="E7E6E6" w:color="auto" w:val="clear"/>
            <w:tcMar>
              <w:top w:type="dxa" w:w="60"/>
              <w:left w:type="dxa" w:w="80"/>
              <w:bottom w:type="dxa" w:w="60"/>
              <w:right w:type="dxa" w:w="80"/>
            </w:tcMar>
            <w:vAlign w:val="center"/>
          </w:tcPr>
          <w:p>
            <w:pPr>
              <w:bidi/>
              <w:spacing w:after="0" w:line="276"/>
              <w:jc w:val="start"/>
            </w:pPr>
            <w:r>
              <w:rPr>
                <w:rFonts w:ascii="Times New Roman" w:cs="David" w:eastAsia="David" w:hAnsi="Times New Roman"/>
                <w:b/>
                <w:bCs/>
                <w:i w:val="false"/>
                <w:iCs w:val="false"/>
                <w:noProof/>
                <w:sz w:val="20"/>
                <w:szCs w:val="20"/>
                <w:rtl/>
                <w:lang w:val="en-US" w:bidi="he-IL"/>
              </w:rPr>
              <w:t xml:space="preserve">המשל</w:t>
            </w:r>
          </w:p>
        </w:tc>
        <w:tc>
          <w:tcPr>
            <w:tcW w:type="dxa" w:w="1900"/>
            <w:tcBorders>
              <w:top w:val="single" w:color="888888" w:sz="4"/>
              <w:left w:val="single" w:color="888888" w:sz="4"/>
              <w:bottom w:val="single" w:color="888888" w:sz="4"/>
              <w:right w:val="single" w:color="888888" w:sz="4"/>
            </w:tcBorders>
            <w:shd w:fill="E7E6E6" w:color="auto" w:val="clear"/>
            <w:tcMar>
              <w:top w:type="dxa" w:w="60"/>
              <w:left w:type="dxa" w:w="80"/>
              <w:bottom w:type="dxa" w:w="60"/>
              <w:right w:type="dxa" w:w="80"/>
            </w:tcMar>
            <w:vAlign w:val="center"/>
          </w:tcPr>
          <w:p>
            <w:pPr>
              <w:bidi/>
              <w:spacing w:after="0" w:line="276"/>
              <w:jc w:val="start"/>
            </w:pPr>
            <w:r>
              <w:rPr>
                <w:rFonts w:ascii="Times New Roman" w:cs="David" w:eastAsia="David" w:hAnsi="Times New Roman"/>
                <w:b/>
                <w:bCs/>
                <w:i w:val="false"/>
                <w:iCs w:val="false"/>
                <w:noProof/>
                <w:sz w:val="20"/>
                <w:szCs w:val="20"/>
                <w:rtl/>
                <w:lang w:val="en-US" w:bidi="he-IL"/>
              </w:rPr>
              <w:t xml:space="preserve">המקור</w:t>
            </w:r>
          </w:p>
        </w:tc>
        <w:tc>
          <w:tcPr>
            <w:tcW w:type="dxa" w:w="3472"/>
            <w:tcBorders>
              <w:top w:val="single" w:color="888888" w:sz="4"/>
              <w:left w:val="single" w:color="888888" w:sz="4"/>
              <w:bottom w:val="single" w:color="888888" w:sz="4"/>
              <w:right w:val="single" w:color="888888" w:sz="4"/>
            </w:tcBorders>
            <w:shd w:fill="E7E6E6" w:color="auto" w:val="clear"/>
            <w:tcMar>
              <w:top w:type="dxa" w:w="60"/>
              <w:left w:type="dxa" w:w="80"/>
              <w:bottom w:type="dxa" w:w="60"/>
              <w:right w:type="dxa" w:w="80"/>
            </w:tcMar>
            <w:vAlign w:val="center"/>
          </w:tcPr>
          <w:p>
            <w:pPr>
              <w:bidi/>
              <w:spacing w:after="0" w:line="276"/>
              <w:jc w:val="start"/>
            </w:pPr>
            <w:r>
              <w:rPr>
                <w:rFonts w:ascii="Times New Roman" w:cs="David" w:eastAsia="David" w:hAnsi="Times New Roman"/>
                <w:b/>
                <w:bCs/>
                <w:i w:val="false"/>
                <w:iCs w:val="false"/>
                <w:noProof/>
                <w:sz w:val="20"/>
                <w:szCs w:val="20"/>
                <w:rtl/>
                <w:lang w:val="en-US" w:bidi="he-IL"/>
              </w:rPr>
              <w:t xml:space="preserve">במה עוסק המשל</w:t>
            </w:r>
          </w:p>
        </w:tc>
        <w:tc>
          <w:tcPr>
            <w:tcW w:type="dxa" w:w="2000"/>
            <w:tcBorders>
              <w:top w:val="single" w:color="888888" w:sz="4"/>
              <w:left w:val="single" w:color="888888" w:sz="4"/>
              <w:bottom w:val="single" w:color="888888" w:sz="4"/>
              <w:right w:val="single" w:color="888888" w:sz="4"/>
            </w:tcBorders>
            <w:shd w:fill="E7E6E6" w:color="auto" w:val="clear"/>
            <w:tcMar>
              <w:top w:type="dxa" w:w="60"/>
              <w:left w:type="dxa" w:w="80"/>
              <w:bottom w:type="dxa" w:w="60"/>
              <w:right w:type="dxa" w:w="80"/>
            </w:tcMar>
            <w:vAlign w:val="center"/>
          </w:tcPr>
          <w:p>
            <w:pPr>
              <w:bidi/>
              <w:spacing w:after="0" w:line="276"/>
              <w:jc w:val="start"/>
            </w:pPr>
            <w:r>
              <w:rPr>
                <w:rFonts w:ascii="Times New Roman" w:cs="David" w:eastAsia="David" w:hAnsi="Times New Roman"/>
                <w:b/>
                <w:bCs/>
                <w:i w:val="false"/>
                <w:iCs w:val="false"/>
                <w:noProof/>
                <w:sz w:val="20"/>
                <w:szCs w:val="20"/>
                <w:rtl/>
                <w:lang w:val="en-US" w:bidi="he-IL"/>
              </w:rPr>
              <w:t xml:space="preserve">התכונה שהחמור מייצג</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והכלבלב</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איזופוס, פרי 91; </w:t>
            </w:r>
            <w:r>
              <w:rPr>
                <w:rFonts w:ascii="Times New Roman" w:cs="David" w:eastAsia="David" w:hAnsi="Times New Roman"/>
                <w:b w:val="false"/>
                <w:bCs w:val="false"/>
                <w:i w:val="false"/>
                <w:iCs w:val="false"/>
                <w:noProof/>
                <w:sz w:val="20"/>
                <w:szCs w:val="20"/>
                <w:rtl w:val="false"/>
                <w:lang w:val="en-US" w:bidi="he-IL"/>
              </w:rPr>
              <w:t xml:space="preserve">ATU 214</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חמור מקנא בכלב המחמד ומנסה לקפוץ על אדוניו. מוכה.</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קנאה, אי־ידיעת מקומו</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בעור האריה</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איזופוס, פרי 188; אביאנוס 5; </w:t>
            </w:r>
            <w:r>
              <w:rPr>
                <w:rFonts w:ascii="Times New Roman" w:cs="David" w:eastAsia="David" w:hAnsi="Times New Roman"/>
                <w:b w:val="false"/>
                <w:bCs w:val="false"/>
                <w:i w:val="false"/>
                <w:iCs w:val="false"/>
                <w:noProof/>
                <w:sz w:val="20"/>
                <w:szCs w:val="20"/>
                <w:rtl w:val="false"/>
                <w:lang w:val="en-US" w:bidi="he-IL"/>
              </w:rPr>
              <w:t xml:space="preserve">ATU 214B</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חמור לובש עור אריה ומפחיד את הבריות עד שאוזניו או קולו מסגירים אותו.</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התחזות, גאווה</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האריה והחמור יוצאים לצוד</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איזופוס, פרי 151; פדרוס א, יא</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נוער והחיות נסות אל האריה. כששואל אם קולו יפה, האריה עונה שרק מי שאינו מכירו נבהל ממנו.</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התפארות בקול ריק</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נושא פסל האל</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איזופוס, פרי 182</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סבור שההשתחוויות לפסל שעל גבו מכוונות אליו.</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הערכה עצמית מוטעית</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נושא המלח</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איזופוס, פרי 180</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לומד שהמלח נמס במים, מנסה זאת עם ספוגים וטובע.</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ערמה חסרת הבנה</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האריה, השועל והחמור</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כלילה ודמנה</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מתפתה פעמיים ללכת אל האריה ונטרף. "לא היו לו לב ואוזניים".</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פתיות שאינה לומדת</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השור והחמור</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אלף לילה ולילה, סיפור המסגרת</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מייעץ לשור להתחלות, והעבודה מוטלת על החמור.</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ערמומיות שמתהפכת</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חמור, כלב ואדם (יד)</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ברכיה הנקדן</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מחקה את הכלב, מפיל את אדוניו מכיסאו ומוכה עד אבוסו.</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קנאה, שאיפה למעמד שאינו שלו</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חמור בעור ארי (מז)</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ברכיה הנקדן</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מולך על הארץ בעור אריה עד שאדוניו מזהה אותו ומפשיטו.</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גאווה, התחזות, שכחת המוצא</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חמור, דבורים וצרעה</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ברכיה הנקדן</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החמור מזמין את הצרעה לקרב, סותם את נקביו בעצת האריה ונכנע.</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זלזול בקטן, כוח בלי תחבולה</w:t>
            </w:r>
          </w:p>
        </w:tc>
      </w:tr>
      <w:tr>
        <w:trPr>
          <w:cantSplit/>
          <w:tblHeader w:val="false"/>
        </w:trPr>
        <w:tc>
          <w:tcPr>
            <w:tcW w:type="dxa" w:w="17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אריה וחמור (סה)</w:t>
            </w:r>
          </w:p>
        </w:tc>
        <w:tc>
          <w:tcPr>
            <w:tcW w:type="dxa" w:w="19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ברכיה הנקדן</w:t>
            </w:r>
          </w:p>
        </w:tc>
        <w:tc>
          <w:tcPr>
            <w:tcW w:type="dxa" w:w="3472"/>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האריה מקרב את החמור לציד. החמור סבור שהוא משנה למלך, מתפאר בקולו, והאריה משיב לו בבוז.</w:t>
            </w:r>
          </w:p>
        </w:tc>
        <w:tc>
          <w:tcPr>
            <w:tcW w:type="dxa" w:w="2000"/>
            <w:tcBorders>
              <w:top w:val="single" w:color="888888" w:sz="4"/>
              <w:left w:val="single" w:color="888888" w:sz="4"/>
              <w:bottom w:val="single" w:color="888888" w:sz="4"/>
              <w:right w:val="single" w:color="888888" w:sz="4"/>
            </w:tcBorders>
            <w:tcMar>
              <w:top w:type="dxa" w:w="60"/>
              <w:left w:type="dxa" w:w="80"/>
              <w:bottom w:type="dxa" w:w="60"/>
              <w:right w:type="dxa" w:w="80"/>
            </w:tcMar>
            <w:vAlign w:val="center"/>
          </w:tcPr>
          <w:p>
            <w:pPr>
              <w:bidi/>
              <w:spacing w:after="0" w:line="276"/>
              <w:jc w:val="start"/>
            </w:pPr>
            <w:r>
              <w:rPr>
                <w:rFonts w:ascii="Times New Roman" w:cs="David" w:eastAsia="David" w:hAnsi="Times New Roman"/>
                <w:b w:val="false"/>
                <w:bCs w:val="false"/>
                <w:i w:val="false"/>
                <w:iCs w:val="false"/>
                <w:noProof/>
                <w:sz w:val="20"/>
                <w:szCs w:val="20"/>
                <w:rtl/>
                <w:lang w:val="en-US" w:bidi="he-IL"/>
              </w:rPr>
              <w:t xml:space="preserve">גאוות הקול, שכחת השפלות</w:t>
            </w:r>
          </w:p>
        </w:tc>
      </w:tr>
    </w:tbl>
    <w:p>
      <w:pPr>
        <w:spacing w:after="120"/>
      </w:pP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2: היוצר, הספר וההקדמה</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2.1 רבי ברכיה בן נטרונאי הנקדן</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ברכיה בן נטרונאי הנקדן חי, ככל הנראה, בסוף המאה השתים עשרה ובראשית המאה השלוש עשרה, בין נורמנדי לאנגליה. ג'וזף ג'ייקובס הציע לזהותו עם "בנדיקטוס לה פונקטור" (</w:t>
      </w:r>
      <w:r>
        <w:rPr>
          <w:rFonts w:ascii="Times New Roman" w:cs="David" w:eastAsia="David" w:hAnsi="Times New Roman"/>
          <w:i w:val="false"/>
          <w:iCs w:val="false"/>
          <w:noProof/>
          <w:sz w:val="24"/>
          <w:szCs w:val="24"/>
          <w:rtl w:val="false"/>
          <w:lang w:val="en-US" w:bidi="he-IL"/>
        </w:rPr>
        <w:t xml:space="preserve">Benedictus le Puncteur), </w:t>
      </w:r>
      <w:r>
        <w:rPr>
          <w:rFonts w:ascii="Times New Roman" w:cs="David" w:eastAsia="David" w:hAnsi="Times New Roman"/>
          <w:i w:val="false"/>
          <w:iCs w:val="false"/>
          <w:noProof/>
          <w:sz w:val="24"/>
          <w:szCs w:val="24"/>
          <w:rtl/>
          <w:lang w:val="en-US" w:bidi="he-IL"/>
        </w:rPr>
        <w:t xml:space="preserve">יהודי מאוקספורד הנזכר במסמך אנגלי משנת 1194, והזיהוי מקובל על רוב החוקרים אף שאינו ודאי.</w:t>
      </w:r>
      <w:r>
        <w:rPr>
          <w:rStyle w:val="FootnoteReference"/>
        </w:rPr>
        <w:footnoteReference w:id="21"/>
      </w:r>
      <w:r>
        <w:rPr>
          <w:rFonts w:ascii="Times New Roman" w:cs="David" w:eastAsia="David" w:hAnsi="Times New Roman"/>
          <w:i w:val="false"/>
          <w:iCs w:val="false"/>
          <w:noProof/>
          <w:sz w:val="24"/>
          <w:szCs w:val="24"/>
          <w:rtl/>
          <w:lang w:val="en-US" w:bidi="he-IL"/>
        </w:rPr>
        <w:t xml:space="preserve"> הכינוי "הנקדן" מעיד על עיסוקו בניקוד ובמסורה, כלומר במלאכת הדיוק בטקסט המקראי, וזו עובדה חשובה להבנת סגנונו: אדם שמקצועו הוא הפסוק ניגש אל המשל החייתי מתוך הפסוק. מלבד משלי שועלים חיבר ברכיה את ספר המוסר "ספר המצרף", עיבד לעברית את "שאלות הטבע" של אדלרד מבאת' בשם "דודי ונכדי", ותרגם ספר על סגולות האבנים.</w:t>
      </w:r>
      <w:r>
        <w:rPr>
          <w:rStyle w:val="FootnoteReference"/>
        </w:rPr>
        <w:footnoteReference w:id="22"/>
      </w:r>
      <w:r>
        <w:rPr>
          <w:rFonts w:ascii="Times New Roman" w:cs="David" w:eastAsia="David" w:hAnsi="Times New Roman"/>
          <w:i w:val="false"/>
          <w:iCs w:val="false"/>
          <w:noProof/>
          <w:sz w:val="24"/>
          <w:szCs w:val="24"/>
          <w:rtl/>
          <w:lang w:val="en-US" w:bidi="he-IL"/>
        </w:rPr>
        <w:t xml:space="preserve"> הוא אפוא איש ביניים: בין התרבות הלטינית והצרפתית שסביבו ובין הספרייה העברית שבתוכו, ובמאה השתים עשרה, כשפרחו בצרפת ובאנגליה קובצי משלים בלטינית ובצרפתית עתיקה, כתב את קובץ המשלים שלו בעברית. עלי יסיף הראה שבאותן שנים בדיוק, 1170-1220 בקירוב, שהיו תור הזהב של האקסמפלום הנוצרי, אימץ גם ספר חסידים באשכנז את הסיפור הדידקטי הקצר ועיבר אותו, ושמשלי איזופוס ומשלי בעלי החיים של ימי הביניים נמנים עם מקורותיו של הז'אנר הזה.</w:t>
      </w:r>
      <w:r>
        <w:rPr>
          <w:rStyle w:val="FootnoteReference"/>
        </w:rPr>
        <w:footnoteReference w:id="23"/>
      </w:r>
      <w:r>
        <w:rPr>
          <w:rFonts w:ascii="Times New Roman" w:cs="David" w:eastAsia="David" w:hAnsi="Times New Roman"/>
          <w:i w:val="false"/>
          <w:iCs w:val="false"/>
          <w:noProof/>
          <w:sz w:val="24"/>
          <w:szCs w:val="24"/>
          <w:rtl/>
          <w:lang w:val="en-US" w:bidi="he-IL"/>
        </w:rPr>
        <w:t xml:space="preserve"> משלי שועלים הם אפוא חלק מתנועה רחבה יותר של אימוץ ז'אנרים דידקטיים אירופיים לעברית, ולא מקרה יחיד.</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2.2 הספר: משלי שועלים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"משלי שועלים" הוא קובץ של כמאה ועשרים משלי חיות (119 במהדורת הברמן), שנדפס לראשונה במנטובה בשנת שי"ז (1557), ואברהם מאיר הברמן הוציאו במהדורה מדעית בשנת תש"ו. משה הדס תרגמו לאנגלית בשם "משלי איזופוס היהודי", וחיים שורצבוים הקדיש לו מחקר השוואתי מקיף שבו נבדקו המקבילות של כל משל ומשל בפולקלור העולמי.</w:t>
      </w:r>
      <w:r>
        <w:rPr>
          <w:rStyle w:val="FootnoteReference"/>
        </w:rPr>
        <w:footnoteReference w:id="24"/>
      </w:r>
      <w:r>
        <w:rPr>
          <w:rFonts w:ascii="Times New Roman" w:cs="David" w:eastAsia="David" w:hAnsi="Times New Roman"/>
          <w:i w:val="false"/>
          <w:iCs w:val="false"/>
          <w:noProof/>
          <w:sz w:val="24"/>
          <w:szCs w:val="24"/>
          <w:rtl/>
          <w:lang w:val="en-US" w:bidi="he-IL"/>
        </w:rPr>
        <w:t xml:space="preserve"> יסיף הגדיר את האנתולוגיה הסיפורית העברית של ימי הביניים כסוגה בפני עצמה, שבה למלקט יש קול משלו הנשמע בהקדמה, בסדר הסיפורים ובנמשלים, וברכיה הוא דוגמה מובהקת: קובץ שמקורותיו זרים ועורכו נוכח בכל משל.</w:t>
      </w:r>
      <w:r>
        <w:rPr>
          <w:rStyle w:val="FootnoteReference"/>
        </w:rPr>
        <w:footnoteReference w:id="25"/>
      </w:r>
      <w:r>
        <w:rPr>
          <w:rFonts w:ascii="Times New Roman" w:cs="David" w:eastAsia="David" w:hAnsi="Times New Roman"/>
          <w:i w:val="false"/>
          <w:iCs w:val="false"/>
          <w:noProof/>
          <w:sz w:val="24"/>
          <w:szCs w:val="24"/>
          <w:rtl/>
          <w:lang w:val="en-US" w:bidi="he-IL"/>
        </w:rPr>
        <w:t xml:space="preserve"> השם עצמו לקוח מן התלמוד: על רבי מאיר נאמר שהיו לו שלוש מאות משלי שועלים (בבלי סנהדרין לח ע"ב), ועל רבן יוחנן בן זכאי שידע "משלות שועלים" (בבלי סוכה כח ע"א). ברכיה מציב את עצמו במודע כממשיך המסורת הזאת, אף על פי שרוב משליו לקוחים ממקורות לטיניים וצרפתיים: קובצי "רומולוס", שהם העיבודים הלטיניים של פדרוס, משלי אביאנוס, וכנראה גם קובץ המשלים הצרפתי של מארי דה פראנס. שורצבוים הראה שברכיה לא תרגם אלא עיבד: הוא משנה סיומים, מוסיף נמשלים, ומחליף את הצבע האלילי בצבע מקראי.</w:t>
      </w:r>
      <w:r>
        <w:rPr>
          <w:rStyle w:val="FootnoteReference"/>
        </w:rPr>
        <w:footnoteReference w:id="26"/>
      </w:r>
    </w:p>
    <w:p>
      <w:pPr>
        <w:bidi/>
        <w:spacing w:after="120" w:before="0" w:line="360"/>
        <w:jc w:val="both"/>
      </w:pPr>
      <w:r>
        <w:rPr>
          <w:rFonts w:ascii="Times New Roman" w:cs="David" w:eastAsia="David" w:hAnsi="Times New Roman"/>
          <w:i w:val="false"/>
          <w:iCs w:val="false"/>
          <w:noProof/>
          <w:sz w:val="24"/>
          <w:szCs w:val="24"/>
          <w:rtl/>
          <w:lang w:val="en-US" w:bidi="he-IL"/>
        </w:rPr>
        <w:t xml:space="preserve">המבנה של כל משל קבוע ברובו. הוא נפתח בחרוז מוסרי קצר, שהוא מעין כותרת רעיונית. אחריו בא גוף הסיפור בפרוזה מחורזת. "והמשל" הוא הנמשל, שבו מפרש המחבר את הסיפור על בני אדם. במשלים רבים באה גם חתימה בשיר שקול קצר הפותח ב"ואשא משלי ואומר". שניים מארבעת המשלים הנדונים בעבודה מכילים את כל ארבעת החלקים; במשל הצרעה ובמשל סה אין שיר חותם. הסגנון הוא פרוזה מחורזת שכמעט כל צלע שלה נשענת על שיבוץ, כלומר על שילוב לשון המקרא בתוך משפט חדש, לעיתים תוך שינוי משמעות. דן פגיס תיאר את השיבוץ כאמצעי מרכזי בפואטיקה העברית של ימי הביניים, שבו הקורא המשכיל מזהה את הפסוק ונהנה מן הפער בין ההקשר המקורי ובין ההקשר החדש.</w:t>
      </w:r>
      <w:r>
        <w:rPr>
          <w:rStyle w:val="FootnoteReference"/>
        </w:rPr>
        <w:footnoteReference w:id="27"/>
      </w:r>
      <w:r>
        <w:rPr>
          <w:rFonts w:ascii="Times New Roman" w:cs="David" w:eastAsia="David" w:hAnsi="Times New Roman"/>
          <w:i w:val="false"/>
          <w:iCs w:val="false"/>
          <w:noProof/>
          <w:sz w:val="24"/>
          <w:szCs w:val="24"/>
          <w:rtl/>
          <w:lang w:val="en-US" w:bidi="he-IL"/>
        </w:rPr>
        <w:t xml:space="preserve"> במשלי שועלים הפער הזה הוא לב העניין. כשחמור מדבר בלשונו של רחבעם, הקורא יודע איך זה ייגמר.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לעניין היחס בין המשל לנמשל מועילה הבחנתה של ענת שפירא, שנוסחה לגבי סדר אליהו: בין המשל הדרשני של חז"ל, הקצר והצמוד לפסוק, ובין המשל הנרטיבי-ספרותי, שיש בו עלילה מפותחת, דיאלוג ודמויות, ונמשלו אינו תלוי בפסוק אלא חי מכוחו של הסיפור.</w:t>
      </w:r>
      <w:r>
        <w:rPr>
          <w:rStyle w:val="FootnoteReference"/>
        </w:rPr>
        <w:footnoteReference w:id="28"/>
      </w:r>
      <w:r>
        <w:rPr>
          <w:rFonts w:ascii="Times New Roman" w:cs="David" w:eastAsia="David" w:hAnsi="Times New Roman"/>
          <w:i w:val="false"/>
          <w:iCs w:val="false"/>
          <w:noProof/>
          <w:sz w:val="24"/>
          <w:szCs w:val="24"/>
          <w:rtl/>
          <w:lang w:val="en-US" w:bidi="he-IL"/>
        </w:rPr>
        <w:t xml:space="preserve"> בוויכוח בין שטרן לבויארין על מעמד הנמשל טען בויארין שהנמשל אינו תוספת פרשנית למשל אלא חלק ממנגנון המשמעות שלו, ושלעיתים דווקא בו נמצא העושר.</w:t>
      </w:r>
      <w:r>
        <w:rPr>
          <w:rStyle w:val="FootnoteReference"/>
        </w:rPr>
        <w:footnoteReference w:id="29"/>
      </w:r>
      <w:r>
        <w:rPr>
          <w:rFonts w:ascii="Times New Roman" w:cs="David" w:eastAsia="David" w:hAnsi="Times New Roman"/>
          <w:i w:val="false"/>
          <w:iCs w:val="false"/>
          <w:noProof/>
          <w:sz w:val="24"/>
          <w:szCs w:val="24"/>
          <w:rtl/>
          <w:lang w:val="en-US" w:bidi="he-IL"/>
        </w:rPr>
        <w:t xml:space="preserve"> משליו של ברכיה שייכים בבירור לסוג השני שהגדירה שפירא, והוויכוח על הנמשל נוגע להם ישירות. הנמשל שלו, "והמשל ב...", אינו מפרש פסוק אלא מתרגם את הסיפור לטיפוס אנושי, והפסוקים נכנסים למשל לא כנושא הדרשה אלא כשיבוצים בתוך הסיפור עצמו.</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2.3 הקדמת המחבר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ברכיה פותח את ספרו בהקדמה מחורזת שבה הוא מסביר מדוע כתב. בלשון קודרת הוא מתאר דור שבו המשפט נהפך ואיש ישר אין, דור שגלגל המזל מרים בו שפלים ומשפיל גבוהים, ומצהיר שהמשלים נועדו להוכיח את בני דורו בדרך עקיפה, שכן תוכחה ישירה אינה נשמעת.</w:t>
      </w:r>
      <w:r>
        <w:rPr>
          <w:rStyle w:val="FootnoteReference"/>
        </w:rPr>
        <w:footnoteReference w:id="30"/>
      </w:r>
      <w:r>
        <w:rPr>
          <w:rFonts w:ascii="Times New Roman" w:cs="David" w:eastAsia="David" w:hAnsi="Times New Roman"/>
          <w:i w:val="false"/>
          <w:iCs w:val="false"/>
          <w:noProof/>
          <w:sz w:val="24"/>
          <w:szCs w:val="24"/>
          <w:rtl/>
          <w:lang w:val="en-US" w:bidi="he-IL"/>
        </w:rPr>
        <w:t xml:space="preserve"> התוכחה העקיפה היא בדיוק התפקיד שייחסו בימי הביניים לאקסמפלום: לשכנע ולתת דגם לחיקוי, לא רק להדגים.</w:t>
      </w:r>
      <w:r>
        <w:rPr>
          <w:rStyle w:val="FootnoteReference"/>
        </w:rPr>
        <w:footnoteReference w:id="31"/>
      </w:r>
      <w:r>
        <w:rPr>
          <w:rFonts w:ascii="Times New Roman" w:cs="David" w:eastAsia="David" w:hAnsi="Times New Roman"/>
          <w:i w:val="false"/>
          <w:iCs w:val="false"/>
          <w:noProof/>
          <w:sz w:val="24"/>
          <w:szCs w:val="24"/>
          <w:rtl/>
          <w:lang w:val="en-US" w:bidi="he-IL"/>
        </w:rPr>
        <w:t xml:space="preserve"> הוא מודה שהמשלים מצויים בכל לשון, אך טוען שהוא הוסיף עליהם ותיקנם. שתי נקודות בהקדמה חשובות לענייננו. הראשונה היא ההצדקה הדתית של הז'אנר: ברכיה נשען על שלמה, שאף הוא "וידבר על הבהמה ועל העוף" (מלכים א ה, יג), ועל משלי החכמים. השנייה היא הנימה החברתית: הרעה שבדור היא בעיקר גאוותם של מי שעלו לגדולה שלא בזכות. ארבעת משלי החמור שנבחרו לעבודה עוסקים בדיוק בכך, ואפשר לקרוא אותם כיישום של ההקדמה.</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2.4 ארבעת המשלים הנבחרים: סקירה ונמשל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"חמור, דבורים וצרעה". צרעה נכנסת לאוזנו של חמור. החמור, שאינו יכול לשאת את הזמזום, קורא לה לצאת ולהילחם בו פנים אל פנים, ונקבע מועד לקרב בין עדת הדבורים לחבורת החמורים. החמור נמלך באריה, והאריה מייעץ לו לסתום ברצועות את כל נקביו. במועד הקרב הצרעות מגלות שכל חור סתום, מתחבאות תחת הבטן ועוקצות שם. החמורים מתחככים בעצים עד שהרצועות ניתקות, הצרעות חודרות לחורים, והחמורים נכנעים: "הננו לכם לעבדים". הנמשל: המתגאה בגובהו ייכשל בידי הקטן בעל התחבולות, ואל יאמר אדם לקטן ממנו "קטני עבה ממתניך". החמור מייצג כאן את הכוח הגס שמזלזל בקטן ממנו.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"חמור בעור ארי" (משל מז). חמור מוצא עור אריה מופשט, לובש אותו ומטיל אימה על החיות, על הרועים ועל עובדי האדמה. הוא מסרב לחזור אל אדוניו ולשאת משא. אדוניו יוצא לחפשו, מזהה אותו על פי קומתו, זנבו ואוזניו, נוזף בו בנאום ארוך, מפשיט ממנו את העור ומעניש אותו במשא כפול. הנמשל: בן בליעל חסר שם שרוח גאווה נכנסה בו, שמכבדים אותו רק בגלל לבושו, ושכבודו יומר בקלון ברגע שיוכר מומו. החמור מייצג התחזות וגאווה של מי ששכח מאין בא.</w:t>
      </w:r>
    </w:p>
    <w:p>
      <w:pPr>
        <w:bidi/>
        <w:spacing w:after="120" w:before="0" w:line="360"/>
        <w:jc w:val="both"/>
      </w:pPr>
      <w:r>
        <w:rPr>
          <w:rFonts w:ascii="Times New Roman" w:cs="David" w:eastAsia="David" w:hAnsi="Times New Roman"/>
          <w:i w:val="false"/>
          <w:iCs w:val="false"/>
          <w:noProof/>
          <w:sz w:val="24"/>
          <w:szCs w:val="24"/>
          <w:rtl/>
          <w:lang w:val="en-US" w:bidi="he-IL"/>
        </w:rPr>
        <w:t xml:space="preserve">"חמור, כלב ואדם" (משל יד). כלב קטן חי בבית פקיד, אוכל מפתו ושוכב בחיקו. החמור שבבית מקנא ומחליט לעשות כמוהו: הוא רץ אל אדוניו, מלקק אותו, מחבק אותו ברגליו ונוער עליו עד שהוא מפיל אותו מכיסאו. האדון זועק, וכל בני הבית מכים את החמור ורודפים אותו עד אבוסו. הנמשל: איש גבה לב שרוצה למשול ונופל פתאום. החמור מייצג קנאה ואי־ידיעת מקומו, וברכיה חותם בהזכרת שאול, שיצא לחפש אתונות ומצא מלוכה.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"אריה וחמור" (משל סה). האריה קורא לחמור להראות לו את יקר תפארת גדולתו ולוקח אותו לציד. החמור מתגאה בלבו שהמלך בחר בו וכבר רואה את עצמו משנה למלך. הוא מבטיח להפחיד את הבהמות בקולו, והאריה מחלק ביניהם את התפקידים: החמור ישאג והאריה יטרוף. הנעירה מבריחה את הצאן והבקר, האריה טורף ושובע, ומצווה על החמור להפסיק. ליד הנבלה החמור מתפאר בקולו וברעמתו ומבקש להתמנות לצייד קבוע. האריה משיב: מי שמכיר את מוצאו אינו נבהל מקולו, ובזוי וקשה עורף כמוהו לא יצוד טרף ללביא; עוד יאמרו גוריו איך טרף בצאן ולא שבר את החמור. הנמשל: איש נכבד שמקרב אליו בזוי ונקלה, והבזוי מתגאה ואינו מכיר את שפלותו, ולשונו מדברת גדולות. תשובת החכם לכסיל היא שתיקה. החמור מייצג התפארות בקול ריק ושכחת השפלות.</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3: "חמור, דבורים וצרעה": ניתוח</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3.1 מבנה המשל ומהלך העלילה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המשל נפתח בחרוז המוסרי "אל תהי בז לכל דבר / כי לכל עת וזמן יגבר", ובנוי משלוש תנועות. הראשונה היא המצוקה: צרעה נחבאת באוזנו של החמור, והחמור רועש וגועש, מואס בחייו ונושא נאום. השנייה היא האתגר והעצה: החמור קורא לצרעה לצאת לקרב גלוי, הצרעה נענית בשמחה, נקבע מועד, והחמור הולך להימלך באריה שמייעץ לו לסתום את נקביו. השלישית היא הקרב והכניעה: הצרעות מוצאות את הפרצה, החמורים מנתקים בעצמם את הרצועות שהגנו עליהם, ונכנעים.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שני דברים בולטים במבנה. הראשון הוא ההתנפחות: מה שמתחיל כצרעה אחת באוזן של חמור אחד הופך למלחמה בין שני עמים, "עדת דבורים" מול "חבורת החמורים", עם מועד קבוע ומערכות ערוכות. החמור הוא שמנפח את העניין, וברכיה נותן לניפוח הזה צורה של דיפלומטיה מלחמתית. השני הוא מקומו של האריה. במשלי איזופוס האריה הוא לרוב הכוח הטורף; כאן הוא היועץ, מלך שמייעץ לנתינו. עצתו אינה טיפשית בפני עצמה, אך היא עצה של גדול שאינו מבין את דרכו של הקטן: לסתום את הגוף כולו. הכישלון אינו כישלון של האריה אלא של החמורים, שאינם מסוגלים לעמוד בעצה שקיבלו ומתחככים בעצים עד שהם מפרקים במו גופם את מגננתם.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3.2 השיבוצים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החרוז הפותח מלחים שני מקורות. "אל תהי בז לכל דבר" הוא לשונו של בן עזאי במשנה: "אל תהי בז לכל אדם ואל תהי מפליג לכל דבר, שאין לך אדם שאין לו שעה ואין לך דבר שאין לו מקום" (משנה אבות ד, ג). "כי לכל עת וזמן" מהדהד את "לכל זמן ועת לכל חפץ" (קהלת ג, א). המשנה מספקת את המסר, שגם לקטן יש שעה, וקהלת מספק את הצליל. הצרעה היא "הדבר" שיש לו שעה ומקום, ומקומה הוא, כפשוטו, אוזנו של החמור.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נאומו של החמור מורכב מלשונות מלכים. "אין זה כי אם רוח רעה" מזכיר את הרוח הרעה שבעתה את שאול (שמואל א טז, יד-טו), והצרעה באוזן היא אכן מעין רוח רעה שאין להיפטר ממנה. אבל השיבוץ המרכזי הוא "צאי נא והלחם בי / ונתראה פנים אל פנים". זו לשונו של אמציה מלך יהודה, ששלח אל יהואש מלך ישראל: "לכה נתראה פנים" (מלכים ב יד, ח). יהואש השיב לו במשל, משל החוח והארז: החוח שבלבנון ביקש את בת הארז לבנו, ועברה חיית השדה ורמסה את החוח. והוסיף: "הכה הכית את אדום ונשאך לבך, הכבד ושב בביתך ולמה תתגרה ברעה ונפלת" (שם, ט-י). אמציה לא שמע, יצא לקרב והובס. ברכיה שם בפי החמור את מילותיו של המלך שסירב להקשיב למשל, ובכך מכניס לתוך המשל שלו משל מקראי על קטן שהתגרה בגדול ונרמס, אך הפוך: אצל ברכיה הקטן מנצח. הקורא שמזהה את הפסוק יודע שמי שאומר "נתראה פנים" יפסיד.</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"מערכה מול מערכה" לקוח ממלחמת דוד וגלית: "ויערכו ישראל ופלשתים מערכה לקראת מערכה" (שמואל א יז, כא). גם שם קטן ניצח גדול, וגם שם הגדול לעג לקטן. עצת האריה, "איעצך ושמע בקולי", היא עצת יתרו למשה: "עתה שמע בקלי איעצך" (שמות יח, יט). ההשוואה בין האריה ליתרו מגחיכה את האריה, שעצתו, שלא כעצת יתרו, מכשילה. "ואתה תאזר מתניך" הוא ציווי ה' לירמיהו (ירמיהו א, יז), ו"מחצצים" הוא מילה נדירה משירת דבורה (שופטים ה, יא). כל אלה בונים סביב הקרב הנלעג מסגרת של מלחמת קודש.</w:t>
      </w:r>
    </w:p>
    <w:p>
      <w:pPr>
        <w:bidi/>
        <w:spacing w:after="120" w:before="0" w:line="360"/>
        <w:jc w:val="both"/>
      </w:pPr>
      <w:r>
        <w:rPr>
          <w:rFonts w:ascii="Times New Roman" w:cs="David" w:eastAsia="David" w:hAnsi="Times New Roman"/>
          <w:i w:val="false"/>
          <w:iCs w:val="false"/>
          <w:noProof/>
          <w:sz w:val="24"/>
          <w:szCs w:val="24"/>
          <w:rtl/>
          <w:lang w:val="en-US" w:bidi="he-IL"/>
        </w:rPr>
        <w:t xml:space="preserve">שיא השיבוצים נמצא בסיום. "ומתנכלים עליהם להמיתם" הוא לשון אחי יוסף: "ויתנכלו אתו להמיתו" (בראשית לז, יח). "עד אשר נתקו מוסרותם" מהדהד את "ננתקה את מוסרותימו" (תהלים ב, ג), אך בהיפוך: בתהלים הגויים מורדים ומנתקים את מוסרות ה', ואילו כאן החמורים מנתקים את הרצועות שהגנו עליהם ומביאים על עצמם את מפלתם. "ויכנע בעמל לבם" הוא ציטוט מדויק מתהלים קז, יב. "לא נהיה עוד ממרים וסוררים" נשען על "בן סורר ומורה" (דברים כא, יח) ועל "דור סורר ומרה" (תהלים עח, ח). והכניעה עצמה, "הננו לכם לעבדים", היא לשון אחי יוסף כשנפלו לפניו: "הננו לך לעבדים" (בראשית נ, יח). ברכיה משתמש בשני קצותיו של סיפור יוסף: החמורים מתנכלים כמו האחים בראשיתו ונכנעים כמו האחים בסופו. הקורא שמכיר את הסיפור מבין שמי שמתנכל יגיע ל"הננו לעבדים".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שואב את דימוייו מיחזקאל לא, נבואת הארז על אשור: "יען אשר גבהת בקומה ויתן צמרתו אל בין עבותים ורם לבבו בגבהו" (יחזקאל לא, י). "המתגאה בגבהו וברב דליותיו" הוא ארז הלבנון של יחזקאל, וכאן נסגר מעגל עם משל החוח והארז של יהואש. "אל תחטיא בשרך בלשונך" הוא קהלת ה, ה: "אל תתן את פיך לחטיא את בשרך". ואילו "קטני עבה ממתניך" הוא המשפט שיעצו הילדים לרחבעם לומר לעם: "קטני עבה ממתני אבי" (מלכים א יב, י), המשפט שפילג את הממלכה. "כי הרבה נוקשו ונשברו" הוא ישעיהו ח, טו: "וכשלו בם רבים ונפלו ונשברו ונוקשו ונלכדו". הנמשל מציב אפוא את החמור בשורה אחת עם אמציה, עם רחבעם ועם אשור: שלושה שגאוותם הפילה אותם, ושניים מהם נפלו בגלל מילה שאמרו לקטן מהם.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3.3 הפואטיקה של המשל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המשל עוסק ברעש, והחרוז שלו מרעיש. "וירעש ויגעש ובקולו נועֵר / הנה והנה הולך וסֹעֵר": ארבעה פעלים של רעש בשתי צלעות, שכולם נשמעים כמו נעירה. הקורא שומע את ההמולה שהחמור שומע. החריזה על סיומות הרבים, "דבורים / חמורים / סודרים / נקיקים / מתחזקים / לוחצים / נפרצים", בונה את ההמון, את הריבוי של הצרעות שנכנסות בכל חור. הצלעות קצרות, ולעיתים קצרות מאוד, "כל חור וחור / פנים ואחור", וקצב הצלעות מחקה את העקיצות.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הדיאלוג מנוגד בכוונה. החמור נושא נאום מפואר ומלא שאלות רטוריות: "היש לך כח ואונים / לצאת ולאסף עדת דבורים". הצרעה עונה בקצרה ובשמחה: "מי יתן והיה ככה". הגדול מרבה מילים והקטן ממעט, והמיעוט מנצח. האריה פותח את עצתו במילה "האזן". זה משחק מילים שברכיה אינו מסביר: החמור, שצרתו כולה באוזן, נדרש להאזין, והוא מאזין דווקא לעצה שתכשילו. הצרעה שבאוזן והעצה שבאוזן הן שני פנים של אותו כישלון בשמיעה.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יש במשל גם קומדיה גופנית גסה. "סתם וסגר ברצועות כל נקביך", "תחת הבטן נתחבאו", "כל חור וחור פנים ואחור": הגוף של החמור מוצג כאוסף של פתחים, והצבא הגדול מובס דרך הפתחים הקטנים. ההגזמה של החמור, שהפך צרעה למלחמה, מקבלת גמול בהגזמה של המספר, שהופך את הגוף לשדה קרב. ומעל הכול שולטת האירוניה של ההבטחה: האריה מבטיח "ומשלת בם ובך לא ימשלו", והמשל מסתיים ב"הננו לכם לעבדים".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3.4 הקשר בין המשל לנמשל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של ברכיה כללי: המתגאה בגובהו ייפול בידי הקטן בעל התחבולות, ואל יאמר אדם לקטן ממנו את דברי רחבעם. הסיפור אומר יותר מזה. הוא מוסיף את היועץ החזק שאינו מבין את הקטן; הוא מוסיף את העונש הקיבוצי, שכל החמורים נכנעים בגלל גאוותו של אחד; והוא מוסיף את המוטיב של האוזן ושל ההאזנה, שהנמשל אינו מזכיר כלל. אפשר לומר שהנמשל מתרגם את המשל ללשון החברה, לגדול ולקטן, ואילו המשל עצמו שומר על שכבה נוספת: השכבה של מי שאינו מסוגל להקשיב, ולכן מנפח את הקטן עד שהקטן מנצח אותו באמת.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התכונה שהחמור מייצג כאן אינה טיפשות. החמור אינו טיפש: הוא מארגן, קובע מועד, נמלך במלך, מתכונן. הוא מייצג את הכוח שאין לו תחבולה, את הגוף הגדול שאינו יכול לעמוד בגירוי קטן. הנמשל אומר זאת במפורש כשהוא נותן לקטן את "סבות תחבולותיו" ולגדול רק את "גבהו". גדול בגוף וקטן בתחבולה, זה החמור.</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4: "חמור בעור ארי" (משל מז): ניתוח</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4.1 מבנה המשל ומהלך העלילה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החרוז הפותח, "אם רוח גאוה נשבה בו / רוח חכמה אין בקרבו", מציב את שני המושגים שהמשל ינוע ביניהם: גאווה וחוכמה, כשתי רוחות שאינן שוכנות יחד בגוף אחד. העלילה בנויה בארבע תנועות. הראשונה היא המציאה וההתלבשות: החמור יוצא מבית אדוניו לרעות, מוצא עור אריה, פורש אותו על גופו, ולבו רם. השנייה היא האימה בארץ, וזו התנועה הארוכה ביותר: רועים עוזבים צאן, עובדי אדמה נסים, איש צועק לאחיו, וקול נשמע לאסוף חרב ורומח לצוד את האריה. השלישית היא החיפוש וההכרה: האדון יוצא, מכסה פניו באדרתו, רואה את "האריה" ומזהה בו את חמורו לפי קומתו, זנבו ואוזניו. הרביעית היא הנאום והעונש: האדון נושא נאום תוכחה ארוך, מצווה על החמור להוריד את עדיו, והחמור "לוקח כפליים במריו".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מה שמייחד את המשל של ברכיה לעומת איזופוס ואביאנוס הוא היחס בין הגילוי לעונש. אצל איזופוס החמור נחשף בגלל קולו או אוזניו, ובזה נגמר המשל. אצל ברכיה הגילוי הוא ראשיתו של נאום. יותר מרבע מן המשל הוא דברי האדון אל החמור, ונאום זה הוא הנושא העיקרי של הניתוח.</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4.2 השיבוצים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מיד עם ההתלבשות מופיע שיבוץ שמגדיר את החמור: "וירם לבבו ובגאוה ילך הלוך / מתנשא לאמר: אני אמלוך". זו לשון הכתוב על אדוניה בן חגית: "ואדניה בן חגית מתנשא לאמר אני אמלך" (מלכים א א, ה). אדוניה הוא הבן שלקח לעצמו מלכות שלא ניתנה לו, ואיבד בסוף את חייו. החמור מקבל אפוא, במילה הראשונה שהוא אומר, את זהותו של המתיימר למלכות. מיד אחר כך בא הפסוק שנותן לעבודה את שמה: "וחמור אבוס בעליו / לא ידע". ברכיה חוצה את הפסוק מישעיהו א, ג בשתי צלעות, כך שהחרוז מפריד בין "בעליו" ל"לא ידע", ובאותה חציה הופך את משמעותו: החמור של ישעיהו יודע את אבוס בעליו, והחמור של ברכיה אינו יודע. "עם אדניו הלך בקרי" הוא לשון התוכחה שבויקרא כו, כא, "ואם תלכו עמי קרי", והפסוק הזה מציב מאחורי האדון את הקדוש ברוך הוא. מרד החמור באדוניו נעשה, ברמז, מרד ישראל באלוהיו.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פחד הבריות מתואר במילותיה של מכת הברד. "שלח העז את מקנך / כי את אשר ימצא בשדה לא יחיה" הוא כמעט מילה במילה שמות ט, יט: "שלח העז את מקנך ואת כל אשר לך בשדה, כל האדם והבהמה אשר ימצא בשדה... ומתו". החמור המחופש הוא מכה ממכות מצרים. הקול הנשמע, "עלה אריה מסבכו", הוא ירמיהו ד, ז על נבוכדנאצר, ו"שימו איש חרבו על ירכו" הוא ציווי משה ללוויים אחרי חטא העגל (שמות לב, כז). זה השיבוץ הראשון מבין שלושה מפרשת העגל, והוא אינו מקרי: העם מתאזר נגד חיה כוזבת, כמו הלוויים שהתאזרו נגד עגל הזהב.</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האדון יוצא "וילט באדרתו פניו", כאליהו בחורב לפני ההתגלות (מלכים א יט, יג). ההתגלות שמצפה לו היא שהאריה הוא חמור. יש כאן גם התחפשות שכנגד: האדון מכסה את פניו כדי לחשוף את המחופש. ואז בא הנאום, ובו כמעט כל צלע היא נבואת תוכחה על גאוות מלכים ועמים. "יען גבה לבך" הוא הפתיחה לנבואה על נגיד צור שאמר "אל אני" (יחזקאל כח, ב). "ותתן חתיתך בארץ החיים" לקוח מקינת יחזקאל על הממלכות שירדו לשאול, אשור ועילם ומצרים, "אשר נתנו חתיתם בארץ חיים" (יחזקאל לב, כג-לב). "הלוך הלכת נטוי גרון" מעביר לחמור את גאוותן של בנות ציון, "ותלכנה נטויות גרון" (ישעיהו ג, טז). "זדון לבך השיאך" הוא עובדיה א, ג, על אדום היושב בחגווי הסלע ואומר "מי יורדני ארץ". החמור מוצג אפוא כצור, כאשור, כאדום וכבנות ציון בבת אחת, וההגזמה היא כמובן חלק מן הקומדיה: לשון שנועדה לאימפריות מופנית אל חמור.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הסיום של הנאום חוזר לפרשת העגל. "ועתה הורד את עדיך" הוא שמות לג, ה, "ועתה הורד עדיך מעליך", ו"ויתנצל החמור מעדיו" הוא שם, פסוק ו, "ויתנצלו בני ישראל את עדים מהר חורב". עור האריה הוא "עדי", תכשיט, וההפשטה שלו היא הפשטת ישראל אחרי העגל. "והצגתיך כיום הולדך" הוא הושע ב, ה, שם מאיים ה' על האישה הבוגדת "פן אפשיטנה ערמה והצגתיה כיום הולדה": שוב הפשטה. "ותדע מי אתה ומאין באת" הוא לשון עקביא בן מהללאל, "דע מאין באת ולאן אתה הולך" (משנה אבות ג, א), ובזה מתמצה חטאו של החמור: הוא לא קיים את מצוות עקביא. והעונש, "ויקח מאדניו כפלים במריו", הוא היפוך של פסוק הנחמה "כי לקחה מיד ה' כפלים בכל חטאתיה" (ישעיהו מ, ב). מה שבישעיהו הוא סוף העונש, אצל ברכיה הוא העונש עצמו, ושוב, "מיד ה'" הופך ל"מאדניו".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גם הנמשל בנוי משיבוצים. "בן נבל ובן בלי שם" הוא איוב ל, ח, "בני נבל גם בני בלי שם". "לא נכר בלכתו בחוצות" הוא איכה ד, ח. "ויתן צמרתו אל בין עבותים" ו"ויף בגבהו ואורך דליותיו" הם, פעם נוספת, ארז אשור מיחזקאל לא, ז-י, אותם פסוקים שברכיה השתמש בהם בנמשל של משל הצרעה. הופעת אותה נבואה בשני נמשלים על חמורים מלמדת שיחזקאל לא הוא אצל ברכיה הטקסט הקבוע לגאווה. "כבודו בקלון ימירו" הוא הושע ד, ז: "כבודם בקלון אמיר". בשיר החותם יש משחק מילים אחד: "בן בוז בלבשו בוץ", מי שראוי לבוז לובש בוץ, בד המלכים, ובין בוז לבוץ מפרידה אות אחת.</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4.3 הפואטיקה של המשל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האמצעי המרכזי במשל הוא המשלב הנבואי. ברכיה נותן לאדון את קולם של יחזקאל, ישעיהו, הושע ועובדיה, כך שהנאום הוא כמעט פסיפס של תוכחות. האפקט כפול. מצד אחד, החמור מקבל ממדים של אימפריה חוטאת, וזה מגוחך. מצד שני, הגיחוך אינו מבטל את הרצינות: כשהאדון מדבר בלשון הנביאים, המשל מקבל את הסמכות של הנבואה, והמסר על גאווה ונפילה מקבל תוקף שאין למשל איזופי. הפרוזה המחורזת מאפשרת את שני הדברים בבת אחת.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אמצעי שני הוא הפוליפוניה של הפחד. במקום לומר "וייראו כולם", ברכיה מביא קולות: הרועים, עובדי האדמה, "איש לאחיו צועק", "הקול נשמע", "ואדוניו אומר אל שכניו". כל קול מוסיף עוד עדות לכוחו של העור, וכל קול מכין את הנפילה. האנטי־קליימקס ניתן בחרוז עצמו: "כי חשבוהו לאריה והנה הוא חמור". החרוז "לשמור / חמור" מוריד את האריה לחמור בתוך צלע אחת, וזה הרגע שבו המספר קורץ לקורא, שיודע את האמת מן ההתחלה.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אמצעי שלישי הוא ההכרה, שהיא רגע דרמטי מובהק. ברכיה בוחר לה סימנים חזותיים, "בקומתו ובזנבו ובאזניו", ולא את הקול, שהוא סימן ההיכר במסורת האיזופית. הבחירה אינה מקרית: החמור של ברכיה אינו נכשל בגלל טעות רגעית, נעירה שפרצה, אלא בגלל מה שהוא, גופו. אי אפשר להסתיר קומה, זנב ואוזניים. "וכראותו אדוניו השפיל עיניו": החמור מוריד את עיניו, ומכאן ואילך הוא שותק. כל מילותיו של החמור במשל היו "אני אמלוך" ושבועתו, ומול נאום האדון אין לו תשובה.</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4.4 הקשר בין המשל לנמשל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מעביר את המשל מן היחס שבין חמור לאדונו אל היחס שבין אדם לחברה. הגיבור הוא "בן בלי שם", אדם ממוצא נמוך שאנשים שאינם מכירים אותו מכבדים אותו בגלל "לבוש ומחלצות". העור נעשה בגד, והאדון נעשה הציבור שיכיר בסוף את "מומו ומום אבותיו". הקשר בין השניים הדוק: בשני המקרים הזהות המזויפת נסמכת על כיסוי חיצוני, ובשני המקרים הגילוי הוא גילוי של גוף, של מוצא, של מה שאי אפשר לשנות. אבל המשל מוסיף מה שהנמשל משמיט: את האדון עצמו ואת המשא הכפול. בנמשל העונש הוא חברתי, "כבודו בקלון ימירו", ואילו במשל העונש הוא חזרה לעבודה, וקשה ממנה. הרובד התיאולוגי שיצרו השיבוצים, האדון כאלוהים והחמור כישראל החוטא, נעלם מן הנמשל לגמרי ונשאר רק למי שקרא את הפסוקים.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מתקשר ישירות להקדמת הספר: ברכיה התלונן שם על דור שבו עולים לגדולה מי שאינם ראויים. "בן בלי שם" הוא בדיוק האיש הזה. התכונה שהחמור מייצג במשל היא התחזות, אבל השורש שלה, לפי השיבוצים, הוא אי־ידיעה: "לא ידע" בישעיהו, "ותדע מי אתה ומאין באת" מאבות, ו"לא ידע נשא רגליו וראשו" בשיר החותם. החמור אינו יודע מי הוא, ולכן אינו יודע גם איך ללכת.</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5: "חמור, כלב ואדם" (משל יד): ניתוח</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5.1 מבנה המשל ומהלך העלילה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החרוז הפותח, "הקנאה תביא להתאוות / דבר בלתי יאות", מגדיר את המשל כמשל על קנאה, ומכאן שהתכונה שתידון היא הקנאה ולא הטיפשות. המשל בנוי מארבע תנועות. הראשונה היא האקספוזיציה של הכלב: כלב קטן בבית פקיד, שאוכל מפת אדוניו ושוכב בחיקו. השנייה, והארוכה ביותר, היא המונולוג הפנימי של החמור: "ויאמר החמור בלב". זה המשל היחיד מבין השלושה שבו הקורא נכנס לראשו של החמור ושומע את התכנון כולו, פועל אחר פועל, בלשון עתיד. השלישית היא הביצוע, בלשון עבר, פועל אחר פועל, ובסדר כמעט זהה. הרביעית היא התגובה: זעקת האדון, התקהלות בני הבית, המכות, והרדיפה עד האבוס.</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5.2 השיבוצים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תיאור הכלב לקוח מן המשל המפורסם ביותר במקרא, משל כבשת הרש של נתן הנביא: "מפתו תאכל ומכסו תשתה ובחיקו תשכב" (שמואל ב יב, ג). ברכיה מקצר: "פתו יאכל חיקו ישכב". השיבוץ עושה שני דברים. הוא מציב את הכלב במקומה של הכבשה האהובה, שהיא כמו בת לבעליה, ובכך מסביר את הקנאה. והוא מזכיר לקורא שמשל נתן היה משל על מי שלקח לעצמו את מה שאינו שלו. החמור, שרוצה את מקום הכלב, הוא במובן זה העשיר שחמד את הכבשה.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המונולוג של החמור עשוי אף הוא מן הפסוקים. "לא נופל אנכי מכלב" הוא לשון איוב אל רעיו: "לא נפל אנכי מכם" (איוב יב, ג; יג, ב). "ואשים עיני אצל עיניו / ואת פני למול פניו" מהדהד את אלישע המחיה את בן השונמית: "וישם פיו על פיו ועיניו על עיניו" (מלכים ב ד, לד). התמונה שהחמור מדמיין, גופו הגדול פרוש על אדוניו, נעשית מגוחכת פי כמה על רקע הפסוק. "מחוט ועד השרוך" הוא שבועת אברהם למלך סדום, "אם מחוט ועד שרוך נעל" (בראשית יד, כג), ו"בזה הדבר אבחן" הוא לשון יוסף לאחיו: "בזאת תבחנו" (בראשית מב, טו). החמור מנסח את ניסויו במילים של הצדיקים הגדולים, וזה חלק מן ההגזמה העצמית שלו.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התגובה בנויה כסצנה של סקילה קהילתית. "ותקהל כל העדה" הוא לשון התקהלות העדה במדבר (במדבר טז, יט; כ, ב). "וזה באבנים יסקל" הוא לשון הסקילה. ובתוך המכות נשמעת הוראה שהיא ציטוט מדויק מדברי ה' לשטן על איוב: "הנו בידך אך את נפשו שמר" (איוב ב, ו). המכים מצווים "הך אך את נפשו שמור": להכות את החמור אבל לא להרגו. גם כאן, כמו במשל מז, השיבוץ מרים את הסצנה הביתית לגובה של דרמה קוסמית, ובו זמנית משפיל אותה: החמור הוא איוב, ובני הבית הם השטן, ברשות. "הלם כל גוו וכרסו" משתמש בפועל "הלם" משירת דבורה, "והלמה סיסרא מחקה ראשו" (שופטים ה, כו). המרדף מסתיים "עד אבוסו", ובמילה זו נזכר שוב ישעיהו א, ג: האבוס הוא מקומו של החמור, ואליו מחזירים אותו.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מצטט את תהלים קא, ה, "גבה עינים ורחב לבב אתו לא אוכל", בהיפוך סדר: "רחב עינים וגבה לבב". "איש הולך שובב" הוא ישעיהו נז, יז, ו"פתע פתאם יבא כשל" נשען על "פתע פתאם יבוא שברה" (ישעיהו ל, יג). ואז ברכיה עושה דבר שאינו עושה בשני המשלים האחרים: הוא קורא בשם למקור המוסרי שלו. "ומשל שלמה לא נגרע / כי לא תהיה אחרית לרע", ציטוט ממשלי כד, כ. המשל החייתי מוצג במפורש כאישור למשל שלמה, ובזה ברכיה מקיים את מה שהבטיח בהקדמה: משליו הם המשך למשלי המלך החכם.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השיר החותם עוסק בפסוק אחד ממשלי ובסיפור אחד משמואל. "לפני שבר איש דרכיו מעקש / לפני כבוד שפלות לו למוקש" קורא מחדש את משלי יח, יב: "לפני שבר יגבה לב איש ולפני כבוד ענוה". במקור הענווה קודמת לכבוד; אצל ברכיה "שפלות", כלומר מעמדו הנמוך של האיש, היא מוקש למי שרודף כבוד. השפלות אינה הענווה. החמור שפל במעמדו ואינו עניו ברוחו, וזה בדיוק המוקש. ואז: "נא זכר מי מצא מלוכה ונבא / כאשר שב מן האתונות לבקש". שאול יצא לחפש את אתונות אביו, מלאכה שפלה, ומצא מלוכה ונבואה (שמואל א ט-י). הוא היה "מקטני שבטי ישראל" (שם ט, כא) ולא ביקש דבר. הניגוד לחמור מלא: מי שביקש אתונות מצא מלוכה, ומי שביקש חיק מצא מקל. והאתונות עצמן, כמובן, הן קרובות משפחתו של הגיבור.</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5.3 הפואטיקה של המשל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האמצעי המרכזי הוא המונולוג הפנימי והאירוניה הדרמטית הנובעת ממנו. החמור מנמק את תוכניתו נימוק אחר נימוק, והנימוקים הגיוניים בתוך עולמו: אם הכלב זוכה לחיבה כשהוא מלקק ומחבק ונובח, גם החמור יזכה בה. הקורא יודע מה שהחמור אינו יודע, שהחיבה אינה תלויה במעשה אלא במי שעושה אותו, והפער הזה בין ידיעת הקורא לידיעת הגיבור הוא מקור הצחוק. ברכיה מחזק את הפער בטכניקה של הכפלה: התוכנית בלשון עתיד, "ואחבקהו ואנשקהו / ובלשוני אלחכהו", והביצוע בלשון עבר, "וילחכהו סביב אזניו / ויחבקהו בשתי רגליו". הקורא רואה את התוכנית מתגשמת בדיוק, וההצלחה של הביצוע היא הכישלון.</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אמצעי שני הוא הקומדיה של הגודל. כל מה שהכלב הקטן עושה נהיה אלים כשהחמור עושה אותו. "ובצוארו חבקו כרביד / ומשאו עליו הכביד": החמור, בהמת המשא, נעשה בעצמו משא על אדוניו. זהו ההיפוך המרכזי של המשל, והוא מנוסח בחרוז אחד. גם "עולה ויורד", "מפה אל פה הקיפו", "מכסאו הדפו" מתארים אדם קבור תחת חיה. הכיסא, סמל מעמדו של הפקיד, מתהפך, ובני הבית באים עם רומח, מקל ואבנים כאילו מדובר בפלישה.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אמצעי שלישי הוא הרקע החברתי המדויק. הכלב חי "בית הפקיד מן הקריה", כלומר בביתו של איש מנהל עירוני, ואינו כלב עבודה אלא כלב מחמד של בעלי אמצעים. החמור הוא הפועל של אותו בית. הקנאה של החמור היא קנאה של מעמד, לא רק של חיבה, וברכיה, שהתלונן בהקדמה על סדרי החברה שנהפכו, רואה בה סכנה.</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5.4 הקשר בין המשל לנמשל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כאן הפער בין המשל לנמשל גדול משבשני המשלים האחרים. המשל מספר על חמור שרוצה אהבה: לשכב בחיק, להיות מוחבק. הנמשל מדבר על "איש הולך שובב... וישתרר בגאותו... וברצותו להיות מושל". החמור רוצה חיבה, והנמשל מדבר על שלטון. ברכיה קורא את הרצון לחיק כרצון לשררה, מפני שבבית הפקיד מקום החיק הוא מקום של מעמד: מי ששוכב בחיק האדון הוא הקרוב אליו ביותר. ובכל זאת, הקורא מרגיש שהנמשל צר מן המשל. המשל מעורר גם רחמים על החמור, שרצה להיאהב ונרדף באבנים, והנמשל אינו משאיר לרחמים מקום.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הגשר בין השניים הוא הזיכרון של שאול בשיר החותם. שאול מסביר את הנמשל: מלוכה אמיתית באה למי שאינו מבקש אותה, ומי שמבקש אותה בכוח, נופל. וכאן חוזר "המקום" מן החרוז הפותח של משל הצרעה: "אין לך דבר שאין לו מקום". מקומו של החמור הוא האבוס, והמשל מסתיים במילה "אבוסו". התכונה שהחמור מייצג היא קנאה, כפי שהכריז החרוז הפותח, אבל ביסודה שוב עומדת אי־ידיעת המקום: החמור אינו יודע שמה שמותר לכלב אסור לו, לא בגלל מעשיו אלא בגלל מהותו.</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6: "אריה וחמור" (משל סה): ניתוח</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6.1 מבנה המשל ומהלך העלילה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החרוז הפותח, "איש אשר מכיר מקומו / תגלה ערותו ולבו בל עמו", מציב את "המקום" במרכז, ובכך מקשר את המשל למשל הצרעה ולמשל הכלב. בנוסח שנמסר בכיתה החרוז קשה: "מכיר מקומו" ואחריו "תגלה ערותו", ואילו ההיגיון והנמשל, "ולא יכיר את שפלותו", מחייבים שלילה. ייתכן שיש לקרוא "אשר אינו מכיר מקומו", וייתכן שהחרוז אירוני. יש לבדוק את הנוסח במהדורת הברמן.</w:t>
      </w:r>
      <w:r>
        <w:rPr>
          <w:rStyle w:val="FootnoteReference"/>
        </w:rPr>
        <w:footnoteReference w:id="32"/>
      </w:r>
      <w:r>
        <w:rPr>
          <w:rFonts w:ascii="Times New Roman" w:cs="David" w:eastAsia="David" w:hAnsi="Times New Roman"/>
          <w:i w:val="false"/>
          <w:iCs w:val="false"/>
          <w:noProof/>
          <w:sz w:val="24"/>
          <w:szCs w:val="24"/>
          <w:rtl/>
          <w:lang w:val="en-US" w:bidi="he-IL"/>
        </w:rPr>
        <w:t xml:space="preserve"> "ולבו בל עמו" לקוח ממשלי כג, ז, "ולבו בל עמך", על הצר עין שמארח ולבו אינו עם אורחו, ו"תגלה ערותו" מהדהד את ישעיהו מז, ג, "תגל ערותך", על בת בבל שירדה מכיסאה.</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העלילה בנויה בחמש תנועות. הראשונה היא ההזמנה והגאווה: האריה קורא לחמור להראות לו את גדולתו, והחמור מפרש את ההזמנה כמינוי, "ועתה יקראו לי משנה למלך". השנייה היא חלוקת התפקידים: החמור מציע את קולו, והאריה מחלק, "אתה תשאג ואני אטרוף". השלישית היא הציד: הנעירה, המנוסה, הטריפה, והפקודה להשתיק. הרביעית היא הבקשה: ליד הנבלה החמור מתפאר בקולו וברעמתו ומבקש קביעות. החמישית היא התשובה: האריה מגדיר את החמור, "בזוי ושפל וקשה ערף", ומסיים באיום מרומז, שגוריו עוד ילעגו לו על שטרף בצאן ולא שבר את החמור. המשל נגמר בדברי האריה, ואין בו שיר חותם. גורל החמור אינו מסופר, אבל המשפט האחרון אומר אותו למי שמכיר את המקור.</w:t>
      </w:r>
    </w:p>
    <w:p>
      <w:pPr>
        <w:bidi/>
        <w:spacing w:after="120" w:before="0" w:line="360"/>
        <w:jc w:val="both"/>
      </w:pPr>
      <w:r>
        <w:rPr>
          <w:rFonts w:ascii="Times New Roman" w:cs="David" w:eastAsia="David" w:hAnsi="Times New Roman"/>
          <w:i w:val="false"/>
          <w:iCs w:val="false"/>
          <w:noProof/>
          <w:sz w:val="24"/>
          <w:szCs w:val="24"/>
          <w:rtl/>
          <w:lang w:val="en-US" w:bidi="he-IL"/>
        </w:rPr>
        <w:t xml:space="preserve">לעומת המקור, פדרוס א, יא, ברכיה שינה שני דברים. הוא הוסיף את המונולוג הפנימי של החמור בראשית המשל, שהופך את הגאווה מתגובה רגעית לתכונה, והוא הוסיף לתשובת האריה את הסיום המאיים. אצל פדרוס האריה עונה בהומור, "אילולא ידעתי מי אתה הייתי בורח גם אני"; אצל ברכיה ההומור נשאר, "מקולך לא יענה ומהמונך לא יחת", אבל אחריו בא הבוז ואחריו האיום.</w:t>
      </w:r>
      <w:r>
        <w:rPr>
          <w:rStyle w:val="FootnoteReference"/>
        </w:rPr>
        <w:footnoteReference w:id="33"/>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6.2 השיבוצים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הפתיחה כולה שאולה ממגילת אסתר. "יקר תפארת גדולתו" הוא מן המשתה של אחשורוש, "את עשר כבוד מלכותו ואת יקר תפארת גדלתו" (אסתר א, ד). ומחשבת החמור, "למי יחפץ המלך לעשות יקר יותר ממני", היא מילה במילה מחשבתו של המן: "ויאמר המן בלבו למי יחפץ המלך לעשות יקר יותר ממני" (אסתר ו, ו). גם "ויתגאה החמור בלבו לאמר" מקביל ל"ויאמר המן בלבו". המן חשב שהכבוד מיועד לו ונאלץ להוליך את מרדכי ברחוב, ומיד אחר כך נתלה. ואילו "משנה למלך" הוא תוארו של מרדכי בסוף המגילה (אסתר י, ג). החמור רואה את עצמו מרדכי, והפסוק שברכיה שם בלבו עושה אותו המן. הקורא יודע מן הרגע הראשון שהמינוי לא יבוא, ומה בא במקומו.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דברי ההתפארות של החמור עשויים מלשונות שנאמרו על האל. "מקולי יחפזון וינוסו מגערתי" הוא תהלים קד, ז, "מן גערתך ינוסון מן קול רעמך יחפזון", על המים שברחו מפני הבורא. "ואוריד לארץ נצחם" הוא ישעיהו סג, ו, מנאום הנקמה של ה' באדום. "ואלה המשפטים אשר תשים לפניהם" הוא שמות כא, א, פתיחת פרשת משפטים, ובפי החמור הפסוק שבו ה' נותן את החוקים למשה נעשה הצעה לאריה לקבוע חוקים לבהמות. "נגביר שפתנו אתנו מי אדון לנו" הוא תהלים יב, ה, מזמור על "לשון מדברת גדלות", ואותו מזמור חוזר בנמשל. "הלוא דברי ייטיבו עם הישר הולך" הוא מיכה ב, ז, מילה במילה. גם תשובת האריה הראשונה נעשית מלשון האל: "אתה תשגיא פעלך" הוא איוב לו, כד, ו"ובקול כמוני תרעם" הוא מן השאלה שה' שואל את איוב מן הסערה: "ואם זרוע כאל לך ובקול כמהו תרעם" (איוב מ, ט). האריה מציע לחמור לרעום בקול כמוהו, במילים שבהן האל לועג לאיוב שאין לו זרוע כאל. ההצעה היא לעג מן הרגע הראשון, והחמור אינו שומע אותו.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בשלב הציד מופיע שוב שמות ט. "ורב מהיות קולות" הוא בקשת פרעה ממשה בשעת הברד: "העתירו אל ה' ורב מהית קלת אלהים וברד" (שמות ט, כח). האריה מבקש מן החמור להפסיק את הנעירה במילים שבהן פרעה ביקש להפסיק את הרעמים. זה השימוש השני של ברכיה במכת הברד במשלי החמור, אחרי משל מז, וגם כאן היא משמשת לתאר קול חמור ככוח טבע. "ויהי לחרדת המחנה" הוא שמואל א יד, טו, על המהומה במחנה פלשתים, ו"מגמת פניהם" הוא חבקוק א, ט.</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ההתפארות ליד הנבלה עשויה מתיאור סוס המלחמה בנאום ה' לאיוב: "התלביש צוארו רעמה... הוד נחרו אימה" (איוב לט, יט-כ). החמור אומר "הלא שמעת הוד נחרי / וראית כי רעמה לבוש צוארי". הוא לוקח לעצמו את תיאור הסוס, בעל החיים היחיד שהאל עצמו מתפאר בו, ובאותה מילה, "רעמה", יש גם רעמת האריה וגם הרעם שהאריה הזמין אותו לרעום. "והיה כזה יום מחר" הוא ישעיהו נו, יב, מדברי הסובאים, ו"לא מהם ולא מהמהם" הוא יחזקאל ז, יא. ואילו האריה משיב בפסוק שנאמר על האריה עצמו: "כאשר יהגה האריה והכפיר על טרפו אשר יקרא עליו מלא רעים, מקולם לא יחת ומהמונם לא יענה" (ישעיהו לא, ד). האריה של ישעיהו אינו נבהל מהמון הרועים הצועקים עליו; האריה של ברכיה אינו נבהל מן החמור, ומודיע לו שכך גם כל מי שמכיר את מוצאו. "בזוי" הוא עובדיה א, ב, "בזוי אתה מאד", על אדום, שכבר שימש במשל מז. "קשה ערף" הוא כינויו של ישראל בחטא העגל (שמות לב, ט), ושוב מופיע העגל בשולי משל חמור. "התצוד ללביא טרף" הוא איוב לח, לט, מילה במילה, מן השאלות שה' שואל את איוב: האריה שואל את החמור את מה שהאל שאל את האדם. "בני שכולי" הוא ישעיהו מט, כ, "עוד יאמרו באזניך בני שכליך".</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הסיום כולו נשען על סיפור אחד: איש האלוהים מיהודה, שהאריה הרגו בדרך, "וחמור ואריה עמדים אצל הנבלה", ו"לא אכל האריה את הנבלה ולא שבר את החמור" (מלכים א יג, כד-כח). ברכיה מצטט את התמונה, "והחמור והאריה עומדים אצל הנבלה", ואת הפסוק, "ולא שברת את החמור". בסיפור המקראי הימנעות האריה מן החמור היא נס, אות לכך שהאריה שליח, וויי רואה בסיפור זה, יחד עם אתונו של בלעם, את הדוגמה המובהקת לבעלי חיים כשליחי האל בנבואה הקדומה.</w:t>
      </w:r>
      <w:r>
        <w:rPr>
          <w:rStyle w:val="FootnoteReference"/>
        </w:rPr>
        <w:footnoteReference w:id="34"/>
      </w:r>
      <w:r>
        <w:rPr>
          <w:rFonts w:ascii="Times New Roman" w:cs="David" w:eastAsia="David" w:hAnsi="Times New Roman"/>
          <w:i w:val="false"/>
          <w:iCs w:val="false"/>
          <w:noProof/>
          <w:sz w:val="24"/>
          <w:szCs w:val="24"/>
          <w:rtl/>
          <w:lang w:val="en-US" w:bidi="he-IL"/>
        </w:rPr>
        <w:t xml:space="preserve"> אצל ברכיה גורי האריה ילעגו לאביהם על אותו נס בדיוק, "איך טרפת בצאן ולא שברת את החמור". הנס הפך לחרפה, ומכאן שהאריה יתקן אותה. סופו של החמור אינו כתוב, אבל הפסוק כותב אותו.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מצטט את תהלים יב, ד, "לשון מדברת גדלות", ואת ישעיהו י, יג, "בחכמתי כי נבנותי", מנאום הגאווה של מלך אשור. אשור, שהיה ארז הלבנון בנמשלים של משל הצרעה ומשל מז, הוא כאן הלשון המתפארת. המשפט החותם, "שתיקת הכסיל היא תשובתו", אינו פסוק אלא פתגם חכמה. מקורו הקרוב הוא "מבחר הפנינים", קובץ הפתגמים המיוחס לשלמה אבן גבירול, שבשער השתיקה שלו נאמר ששתיקת החכם מפני הכסיל המתווכח עמו היא תשובה גדולה לו, שכן הכסיל מצטער על השתיקה יותר משהיה מצטער על תשובה.</w:t>
      </w:r>
      <w:r>
        <w:rPr>
          <w:rStyle w:val="FootnoteReference"/>
        </w:rPr>
        <w:footnoteReference w:id="35"/>
      </w:r>
      <w:r>
        <w:rPr>
          <w:rFonts w:ascii="Times New Roman" w:cs="David" w:eastAsia="David" w:hAnsi="Times New Roman"/>
          <w:i w:val="false"/>
          <w:iCs w:val="false"/>
          <w:noProof/>
          <w:sz w:val="24"/>
          <w:szCs w:val="24"/>
          <w:rtl/>
          <w:lang w:val="en-US" w:bidi="he-IL"/>
        </w:rPr>
        <w:t xml:space="preserve"> ברכיה הופך את הכיוון: אצלו השתיקה היא תשובתו של הכסיל, לא תשובת החכם, ואפשר לקרוא זאת כאירוניה על החמור שלא ידע לשתוק.</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6.3 הפואטיקה של המשל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המשל עוסק בקול, וכל מה שיש לחמור הוא קולו. האריה מגדיר זאת בחלוקת התפקידים, "אתה תשאג ואני אטרוף", והחלוקה עצמה היא החרוז: שאג מול טרף, אחז מול ערף. הקול נשאר קול, והטרף נשאר של הטורף. ברכיה בונה על כך רשת של מילים משורש שמ"ע: "שמני אל משמעתו", "להשמיע במרום קולך", "המון קולך השמיעם", "אל תשמיע עוד קולך", "הלא שמעת", "שמעני אדוני המלך". החמור רוצה להישמע, ובסוף האריה אומר לו שמי שמכיר אותו "מקולך לא יענה". השמיעה חוזרת כאן בהיפוך: במשל הצרעה החמור לא היה יכול לשמוע, וכאן איש אינו רוצה לשמוע אותו.</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האמצעי המרכזי הוא הפער בין שני רבדים של דיבור. החמור מדבר בלשון האל, בפסוקים של הבריאה, של הנקמה ושל מתן החוקים, והאריה עונה לו בשאלות שהאל שאל את איוב. ההגזמה של החמור נמדדת בפסוקיו: הוא מייחס לעצמו את "מן גערתך ינוסון" ואת "ואלה המשפטים". תשובת האריה קצרה, ובה שתי הגדרות ושאלה אחת: "בזוי ושפל וקשה ערף / התצוד ללביא טרף". השאלה הרטורית של איוב לח, שבמקור מזכירה לאדם שאינו יכול לצוד לאריה, מזכירה לחמור אותו הדבר. גם כאן, כמו במשל מז, המשלב הנבואי נותן לתשובה תוקף שאין למשל האיזופי.</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אמצעי שלישי הוא האירוניה של המונולוג הפנימי. החמור מפרש הזמנה כמינוי, "אותי בחר אין זר אתו", ואת ההזמנה לצעוק כהוכחה שהוא נחוץ. הקורא רואה את הפרשנות מתנפחת מן ההזמנה הראשונה ועד "משנה למלך", ורואה בו זמנית את הפסוק של המן שתלוי מעליה. ברכיה אינו מפרש. הוא מניח את "למי יחפץ המלך" ומשאיר לקורא לזכור מה קרה למי שחשב כך.</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6.4 הקשר בין המשל לנמשל</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הנמשל שונה משלושת הנמשלים הקודמים בנקודה אחת חשובה: הוא פותח בנכבד ולא בבזוי. "והמשל באיש נכבד אשר יקרב בזוי ונקלה", ורק אחר כך בא הבזוי המתגאה. האחריות מונחת קודם על מי שקירב. במשל זה האריה, שקרא לחמור, שהזמין אותו לרעום, ושבסוף מתבייש בו. הקשר בין המשל לנמשל הדוק: כמו במשל, גם בנמשל הגאווה "תצמח ותגלה" מתוך הקרבה, וכמו במשל, סופה בלשון מדברת גדולות, "כזאת וכזאת עשיתי". החמור אכן אומר "כזאת וכזאת": "ואפחיד הבהמות ואוריד לארץ נצחם".</w:t>
      </w:r>
    </w:p>
    <w:p>
      <w:pPr>
        <w:bidi/>
        <w:spacing w:after="120" w:before="0" w:line="360"/>
        <w:jc w:val="both"/>
      </w:pPr>
      <w:r>
        <w:rPr>
          <w:rFonts w:ascii="Times New Roman" w:cs="David" w:eastAsia="David" w:hAnsi="Times New Roman"/>
          <w:i w:val="false"/>
          <w:iCs w:val="false"/>
          <w:noProof/>
          <w:sz w:val="24"/>
          <w:szCs w:val="24"/>
          <w:rtl/>
          <w:lang w:val="en-US" w:bidi="he-IL"/>
        </w:rPr>
        <w:t xml:space="preserve">אבל יש פער אחד בין המשל לנמשל, והוא מעניין. הנמשל מסתיים בהמלצה על שתיקה: "שתיקת הכסיל היא תשובתו". האריה של המשל אינו שותק. הוא עונה, ותשובתו היא בוז ואיום. אפשר לומר שברכיה מציע בנמשל את מה שהאריה היה צריך לעשות, ואפשר לומר שבמשל האריה מגלם את הנכבד שטעה פעמיים: קירב את הבזוי ואחר כך ענה לו. כך או כך, הנמשל מוסיף על המשל שיפוט מוסרי גם על החזק, וזה חידוש לעומת המקור הלטיני, שבו האריה צודק בלבד. התכונה שהחמור מייצג היא גאוות הקול, ההתפארות במה שאינו כלום, ובעומקה שוב אי־ידיעת השפלות: "ולא יכיר את שפלותו", כלשון הנמשל, לעומת "מכיר מקומו" שבחרוז הפותח.</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פרק 7: סיכום ומסקנות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העבודה שאלה מהי התכונה שהחמור מייצג במשליו של ברכיה הנקדן, וכיצד נבנה הקשר בין המשל לנמשל. לארבעת המשלים ארבעה חרוזים פותחים שונים: זלזול בקטן, גאווה בלי חוכמה, קנאה, אי־הכרת המקום. אבל בארבעתם החמור עושה אותו הדבר: הוא מנסה להיות מה שאינו. שליט שאינו חושש מצרעה, אריה, כלב חיק, משנה למלך. בארבעתם הכישלון בא מן הגוף, מן האוזן שאי אפשר לסתום, מן האוזניים שמציצות מעור האריה, מן הגוף הכבד שנופל על האדון, מן הקול שאינו אלא נעירה. ובארבעתם הסוף הוא חזרה למקום: עבדות, משא כפול, אבוס, ובמשל סה, ברמז, שיני האריה. החמור של ברכיה אינו הכסיל של איזופוס. הוא מי שאינו יודע את מקומו, וברכיה מרחיק לכת ומסביר, דרך השיבוצים, שאי־ידיעת המקום היא חטא: "לא ידע" של ישעיהו, "דע מאין באת" של עקביא.</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הקשר בין המשל לנמשל נבנה בשלוש דרכים. הראשונה גלויה: הנמשל מתרגם את סיפור החיות ללשון החברה, לגדול ולקטן, לבן בלי שם ולמכבדיו, לאיש שרוצה למשול. השנייה היא השיבוץ, וזו הדרך העיקרית. הפסוקים שברכיה שם בפי החמור ובפי סובביו מציבים מאחוריו דמויות מקראיות שסופן ידוע: אמציה שאמר "נתראה פנים", רחבעם שאמר "קטני עבה ממתני", אדוניה שאמר "אני אמלך", המן שאמר "למי יחפץ המלך", נגיד צור, אדום, ארז אשור, בנות ציון נטויות הגרון. הקורא המשכיל קורא את הסוף בפסוק לפני שהסיפור מגיע אליו, והנמשל רק מאשר. במובן זה השיבוץ אצל ברכיה הוא אמצעי של הטרמה, לא של קישוט. במונחיו של שטרן, ארבעת הנמשלים הם משלי גנאי ואזהרה, ובמונחיה של שפירא הם נמשלים של משל נרטיבי, שאינם צמודים לפסוק אלא לטיפוס אנושי. הממצא על השיבוצים תומך דווקא בעמדת בויארין: אצל ברכיה המשמעות אינה מחכה לנמשל, היא נבנית כבר בתוך המשל, בפסוקים.</w:t>
      </w:r>
      <w:r>
        <w:rPr>
          <w:rStyle w:val="FootnoteReference"/>
        </w:rPr>
        <w:footnoteReference w:id="36"/>
      </w:r>
      <w:r>
        <w:rPr>
          <w:rFonts w:ascii="Times New Roman" w:cs="David" w:eastAsia="David" w:hAnsi="Times New Roman"/>
          <w:i w:val="false"/>
          <w:iCs w:val="false"/>
          <w:noProof/>
          <w:sz w:val="24"/>
          <w:szCs w:val="24"/>
          <w:rtl/>
          <w:lang w:val="en-US" w:bidi="he-IL"/>
        </w:rPr>
        <w:t xml:space="preserve"> השלישית היא השיר החותם, שמוסיף על הנמשל דוגמה מקראית מפורשת, שאול ואתונותיו, ובכך קושר את משל החיות למשל שלמה ולסיפור המקראי.</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העבודה העלתה גם ממצא שלא צפיתי בתחילתה. במשלים מז, יד ו-סה מסתתר מתחת לנמשל החברתי רובד תיאולוגי: האדון מדבר בלשון הנביאים, החמור "הולך בקרי" ו"לוקח כפליים", בני הבית מכים אותו במילים שנאמרו לשטן על איוב, והאריה שואל אותו את שאלות ה' לאיוב מן הסערה. הנמשל אינו מזכיר דבר מכל זה. ברכיה כותב אפוא בשתי שכבות: שכבה לכל קורא, שבה גאווה נענשת, ושכבה למי שיודע את הפסוקים, שבה מרד באדון הוא מרד בסדר שקבע האדון העליון. אפשר לקשור זאת להקדמת הספר, שבה תלונתו של ברכיה על דורו היא בו זמנית חברתית ודתית.</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ממצא נוסף נוגע לאוזן ולשמיעה. בשלושה מן המשלים האוזן של החמור היא מרכז: צרעה נכנסת בה, היא מציצה מעור האריה, והחמור מלקק את אדוניו "סביב אזניו". האריה אומר לחמור "האזן", ובמשל סה החמור רוצה רק "להשמיע" ומתבשר ש"מקולך לא יענה". החמור, שסימנו הגופני הוא האוזן הגדולה, הוא בעל החיים שאינו שומע ושאיש אינו רוצה לשמוע. ישעיהו אמר שהחמור יודע ועמי לא התבונן; ברכיה, שהיה נקדן ואיש של פסוקים, לוקח את החמור היודע של ישעיהו ועושה אותו לעם שאינו מתבונן.</w:t>
      </w:r>
    </w:p>
    <w:p>
      <w:pPr>
        <w:bidi/>
        <w:spacing w:after="120" w:before="0" w:line="360"/>
        <w:jc w:val="both"/>
      </w:pPr>
      <w:r>
        <w:rPr>
          <w:rFonts w:ascii="Times New Roman" w:cs="David" w:eastAsia="David" w:hAnsi="Times New Roman"/>
          <w:i w:val="false"/>
          <w:iCs w:val="false"/>
          <w:noProof/>
          <w:sz w:val="24"/>
          <w:szCs w:val="24"/>
          <w:rtl/>
          <w:lang w:val="en-US" w:bidi="he-IL"/>
        </w:rPr>
        <w:t xml:space="preserve">מבחינת ההשוואה למקורות, המסקנה היא שברכיה שינה את התכונה. החמור האיזופי טיפש; החמור של ברכיה גאה. זה עולה בקנה אחד עם מה שהראה שורצבוים על דרכו של ברכיה להוסיף לכל משל ממד מוסרי, ועם מה שיסיף מתאר כדרכו של המשל העברי לקבע לכל חיה תכונה אחת. אלא שאצל ברכיה התכונה אינה מקובעת אלא מנומקת: החמור גאה מפני שאינו יודע מי הוא. יש להוסיף שהאריה מופיע בשלושה מארבעת המשלים, כיועץ, כעור וכמלך, ובכולם הוא קנה המידה שהחמור נמדד בו ונכשל: הוא אינו יכול לעמוד בעצתו, ללבוש את עורו או לצוד בשבילו. הנמשל של משל סה אף מטיל חלק מן האחריות על האריה עצמו, ובכך ברכיה מרחיק לכת מעבר למקורו הלטיני.</w:t>
      </w:r>
    </w:p>
    <w:p>
      <w:pPr>
        <w:bidi/>
        <w:spacing w:after="120" w:before="0" w:line="360"/>
        <w:jc w:val="both"/>
      </w:pPr>
      <w:r>
        <w:rPr>
          <w:rFonts w:ascii="Times New Roman" w:cs="David" w:eastAsia="David" w:hAnsi="Times New Roman"/>
          <w:i w:val="false"/>
          <w:iCs w:val="false"/>
          <w:noProof/>
          <w:sz w:val="24"/>
          <w:szCs w:val="24"/>
          <w:rtl/>
          <w:lang w:val="en-US" w:bidi="he-IL"/>
        </w:rPr>
        <w:t xml:space="preserve">העבודה מוגבלת בכמה מובנים, וכל אחד מהם פותח כיוון להמשך. נותחו ארבעה משלים בלבד, ובמשלי שועלים יש חמורים נוספים. ההשוואה למארי דה פראנס נעשתה על פי תוכן ולא על פי הטקסט הצרפתי, ובדיקה צמודה של הנוסח יכולה להראות מה בדיוק שינה ברכיה. ולבסוף, השימוש החוזר ביחזקאל לא ובנאום אשור בישעיהו י בשלושה נמשלים מעלה שאלה רחבה יותר: האם יש לברכיה "פסוקי בית" קבועים לכל תכונה, שחוזרים לאורך הספר. בדיקה של כלל הנמשלים בספר לפי מקורותיהם המקראיים היא המחקר הבא שהעבודה הזאת מציעה.</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ביבליוגרפיה</w:t>
      </w:r>
    </w:p>
    <w:p>
      <w:pPr>
        <w:keepNext/>
        <w:bidi/>
        <w:spacing w:after="120" w:before="240" w:line="360"/>
        <w:jc w:val="start"/>
      </w:pPr>
      <w:r>
        <w:rPr>
          <w:rFonts w:ascii="Times New Roman" w:cs="David" w:eastAsia="David" w:hAnsi="Times New Roman"/>
          <w:b/>
          <w:bCs/>
          <w:i w:val="false"/>
          <w:iCs w:val="false"/>
          <w:noProof/>
          <w:sz w:val="26"/>
          <w:szCs w:val="26"/>
          <w:rtl/>
          <w:lang w:val="en-US" w:bidi="he-IL"/>
        </w:rPr>
        <w:t xml:space="preserve">מקורות ראשוניים</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איסופוס, </w:t>
      </w:r>
      <w:r>
        <w:rPr>
          <w:rFonts w:ascii="Times New Roman" w:cs="David" w:eastAsia="David" w:hAnsi="Times New Roman"/>
          <w:i/>
          <w:iCs/>
          <w:noProof/>
          <w:sz w:val="24"/>
          <w:szCs w:val="24"/>
          <w:rtl/>
          <w:lang w:val="en-US" w:bidi="he-IL"/>
        </w:rPr>
        <w:t xml:space="preserve">משלי איסופוס</w:t>
      </w:r>
      <w:r>
        <w:rPr>
          <w:rFonts w:ascii="Times New Roman" w:cs="David" w:eastAsia="David" w:hAnsi="Times New Roman"/>
          <w:i w:val="false"/>
          <w:iCs w:val="false"/>
          <w:noProof/>
          <w:sz w:val="24"/>
          <w:szCs w:val="24"/>
          <w:rtl/>
          <w:lang w:val="en-US" w:bidi="he-IL"/>
        </w:rPr>
        <w:t xml:space="preserve">, תרגם שלמה שפאן, ירושלים: מוסד ביאליק, תש"ך.</w:t>
      </w:r>
    </w:p>
    <w:p>
      <w:pPr>
        <w:bidi/>
        <w:spacing w:after="160" w:before="0" w:line="276"/>
        <w:ind w:start="709" w:hanging="709"/>
        <w:jc w:val="both"/>
      </w:pPr>
      <w:r>
        <w:rPr>
          <w:rFonts w:ascii="Times New Roman" w:cs="David" w:eastAsia="David" w:hAnsi="Times New Roman"/>
          <w:i/>
          <w:iCs/>
          <w:noProof/>
          <w:sz w:val="24"/>
          <w:szCs w:val="24"/>
          <w:rtl/>
          <w:lang w:val="en-US" w:bidi="he-IL"/>
        </w:rPr>
        <w:t xml:space="preserve">אלף לילה ולילה</w:t>
      </w:r>
      <w:r>
        <w:rPr>
          <w:rFonts w:ascii="Times New Roman" w:cs="David" w:eastAsia="David" w:hAnsi="Times New Roman"/>
          <w:i w:val="false"/>
          <w:iCs w:val="false"/>
          <w:noProof/>
          <w:sz w:val="24"/>
          <w:szCs w:val="24"/>
          <w:rtl/>
          <w:lang w:val="en-US" w:bidi="he-IL"/>
        </w:rPr>
        <w:t xml:space="preserve">, תרגם מערבית יוסף יואל ריבלין, כרך א, תל אביב: קרית ספר, תש"ז.</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ברכיה הנקדן, </w:t>
      </w:r>
      <w:r>
        <w:rPr>
          <w:rFonts w:ascii="Times New Roman" w:cs="David" w:eastAsia="David" w:hAnsi="Times New Roman"/>
          <w:i/>
          <w:iCs/>
          <w:noProof/>
          <w:sz w:val="24"/>
          <w:szCs w:val="24"/>
          <w:rtl/>
          <w:lang w:val="en-US" w:bidi="he-IL"/>
        </w:rPr>
        <w:t xml:space="preserve">משלי שועלים</w:t>
      </w:r>
      <w:r>
        <w:rPr>
          <w:rFonts w:ascii="Times New Roman" w:cs="David" w:eastAsia="David" w:hAnsi="Times New Roman"/>
          <w:i w:val="false"/>
          <w:iCs w:val="false"/>
          <w:noProof/>
          <w:sz w:val="24"/>
          <w:szCs w:val="24"/>
          <w:rtl/>
          <w:lang w:val="en-US" w:bidi="he-IL"/>
        </w:rPr>
        <w:t xml:space="preserve">, מהדורת א"מ הברמן, ירושלים ותל אביב: שוקן, תש"ו.</w:t>
      </w:r>
    </w:p>
    <w:p>
      <w:pPr>
        <w:bidi/>
        <w:spacing w:after="160" w:before="0" w:line="276"/>
        <w:ind w:start="709" w:hanging="709"/>
        <w:jc w:val="both"/>
      </w:pPr>
      <w:r>
        <w:rPr>
          <w:rFonts w:ascii="Times New Roman" w:cs="David" w:eastAsia="David" w:hAnsi="Times New Roman"/>
          <w:i/>
          <w:iCs/>
          <w:noProof/>
          <w:sz w:val="24"/>
          <w:szCs w:val="24"/>
          <w:rtl/>
          <w:lang w:val="en-US" w:bidi="he-IL"/>
        </w:rPr>
        <w:t xml:space="preserve">הקוראן</w:t>
      </w:r>
      <w:r>
        <w:rPr>
          <w:rFonts w:ascii="Times New Roman" w:cs="David" w:eastAsia="David" w:hAnsi="Times New Roman"/>
          <w:i w:val="false"/>
          <w:iCs w:val="false"/>
          <w:noProof/>
          <w:sz w:val="24"/>
          <w:szCs w:val="24"/>
          <w:rtl/>
          <w:lang w:val="en-US" w:bidi="he-IL"/>
        </w:rPr>
        <w:t xml:space="preserve">, תרגם מערבית אורי רובין, תל אביב: אוניברסיטת תל אביב, 2005.</w:t>
      </w:r>
    </w:p>
    <w:p>
      <w:pPr>
        <w:bidi/>
        <w:spacing w:after="160" w:before="0" w:line="276"/>
        <w:ind w:start="709" w:hanging="709"/>
        <w:jc w:val="both"/>
      </w:pPr>
      <w:r>
        <w:rPr>
          <w:rFonts w:ascii="Times New Roman" w:cs="David" w:eastAsia="David" w:hAnsi="Times New Roman"/>
          <w:i/>
          <w:iCs/>
          <w:noProof/>
          <w:sz w:val="24"/>
          <w:szCs w:val="24"/>
          <w:rtl/>
          <w:lang w:val="en-US" w:bidi="he-IL"/>
        </w:rPr>
        <w:t xml:space="preserve">מבחר הפנינים</w:t>
      </w:r>
      <w:r>
        <w:rPr>
          <w:rFonts w:ascii="Times New Roman" w:cs="David" w:eastAsia="David" w:hAnsi="Times New Roman"/>
          <w:i w:val="false"/>
          <w:iCs w:val="false"/>
          <w:noProof/>
          <w:sz w:val="24"/>
          <w:szCs w:val="24"/>
          <w:rtl/>
          <w:lang w:val="en-US" w:bidi="he-IL"/>
        </w:rPr>
        <w:t xml:space="preserve">, המיוחס לשלמה אבן גבירול, מהדורת א"מ הברמן, מרחביה: ספרית פועלים, תש"ז.</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Berechiah ha-Nakdan, </w:t>
      </w:r>
      <w:r>
        <w:rPr>
          <w:rFonts w:ascii="Times New Roman" w:cs="David" w:eastAsia="David" w:hAnsi="Times New Roman"/>
          <w:i/>
          <w:iCs/>
          <w:noProof/>
          <w:sz w:val="24"/>
          <w:szCs w:val="24"/>
          <w:rtl w:val="false"/>
          <w:lang w:val="en-US" w:bidi="he-IL"/>
        </w:rPr>
        <w:t xml:space="preserve">Fables of a Jewish Aesop</w:t>
      </w:r>
      <w:r>
        <w:rPr>
          <w:rFonts w:ascii="Times New Roman" w:cs="David" w:eastAsia="David" w:hAnsi="Times New Roman"/>
          <w:i w:val="false"/>
          <w:iCs w:val="false"/>
          <w:noProof/>
          <w:sz w:val="24"/>
          <w:szCs w:val="24"/>
          <w:rtl w:val="false"/>
          <w:lang w:val="en-US" w:bidi="he-IL"/>
        </w:rPr>
        <w:t xml:space="preserve">, trans. Moses Hadas, New York: Columbia University Press, 1967.</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Elliott, J. K., </w:t>
      </w:r>
      <w:r>
        <w:rPr>
          <w:rFonts w:ascii="Times New Roman" w:cs="David" w:eastAsia="David" w:hAnsi="Times New Roman"/>
          <w:i/>
          <w:iCs/>
          <w:noProof/>
          <w:sz w:val="24"/>
          <w:szCs w:val="24"/>
          <w:rtl w:val="false"/>
          <w:lang w:val="en-US" w:bidi="he-IL"/>
        </w:rPr>
        <w:t xml:space="preserve">The Apocryphal New Testament</w:t>
      </w:r>
      <w:r>
        <w:rPr>
          <w:rFonts w:ascii="Times New Roman" w:cs="David" w:eastAsia="David" w:hAnsi="Times New Roman"/>
          <w:i w:val="false"/>
          <w:iCs w:val="false"/>
          <w:noProof/>
          <w:sz w:val="24"/>
          <w:szCs w:val="24"/>
          <w:rtl w:val="false"/>
          <w:lang w:val="en-US" w:bidi="he-IL"/>
        </w:rPr>
        <w:t xml:space="preserve">, Oxford: Clarendon Press, 1993.</w:t>
      </w:r>
    </w:p>
    <w:p>
      <w:pPr>
        <w:keepNext/>
        <w:bidi/>
        <w:spacing w:after="120" w:before="240" w:line="360"/>
        <w:jc w:val="start"/>
      </w:pPr>
      <w:r>
        <w:rPr>
          <w:rFonts w:ascii="Times New Roman" w:cs="David" w:eastAsia="David" w:hAnsi="Times New Roman"/>
          <w:b/>
          <w:bCs/>
          <w:i w:val="false"/>
          <w:iCs w:val="false"/>
          <w:noProof/>
          <w:sz w:val="26"/>
          <w:szCs w:val="26"/>
          <w:rtl/>
          <w:lang w:val="en-US" w:bidi="he-IL"/>
        </w:rPr>
        <w:t xml:space="preserve">מחקרים</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יסיף, עלי, "הסיפור האקסמפלארי בספר חסידים", </w:t>
      </w:r>
      <w:r>
        <w:rPr>
          <w:rFonts w:ascii="Times New Roman" w:cs="David" w:eastAsia="David" w:hAnsi="Times New Roman"/>
          <w:i/>
          <w:iCs/>
          <w:noProof/>
          <w:sz w:val="24"/>
          <w:szCs w:val="24"/>
          <w:rtl/>
          <w:lang w:val="en-US" w:bidi="he-IL"/>
        </w:rPr>
        <w:t xml:space="preserve">תרביץ</w:t>
      </w:r>
      <w:r>
        <w:rPr>
          <w:rFonts w:ascii="Times New Roman" w:cs="David" w:eastAsia="David" w:hAnsi="Times New Roman"/>
          <w:i w:val="false"/>
          <w:iCs w:val="false"/>
          <w:noProof/>
          <w:sz w:val="24"/>
          <w:szCs w:val="24"/>
          <w:rtl/>
          <w:lang w:val="en-US" w:bidi="he-IL"/>
        </w:rPr>
        <w:t xml:space="preserve"> נז (תשמ"ח), עמ' 217-255.</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יסיף, עלי, </w:t>
      </w:r>
      <w:r>
        <w:rPr>
          <w:rFonts w:ascii="Times New Roman" w:cs="David" w:eastAsia="David" w:hAnsi="Times New Roman"/>
          <w:i/>
          <w:iCs/>
          <w:noProof/>
          <w:sz w:val="24"/>
          <w:szCs w:val="24"/>
          <w:rtl/>
          <w:lang w:val="en-US" w:bidi="he-IL"/>
        </w:rPr>
        <w:t xml:space="preserve">סיפור העם העברי: תולדותיו, סוגיו ומשמעותו</w:t>
      </w:r>
      <w:r>
        <w:rPr>
          <w:rFonts w:ascii="Times New Roman" w:cs="David" w:eastAsia="David" w:hAnsi="Times New Roman"/>
          <w:i w:val="false"/>
          <w:iCs w:val="false"/>
          <w:noProof/>
          <w:sz w:val="24"/>
          <w:szCs w:val="24"/>
          <w:rtl/>
          <w:lang w:val="en-US" w:bidi="he-IL"/>
        </w:rPr>
        <w:t xml:space="preserve">, ירושלים: מוסד ביאליק, תשנ"ד.</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פגיס, דן, </w:t>
      </w:r>
      <w:r>
        <w:rPr>
          <w:rFonts w:ascii="Times New Roman" w:cs="David" w:eastAsia="David" w:hAnsi="Times New Roman"/>
          <w:i/>
          <w:iCs/>
          <w:noProof/>
          <w:sz w:val="24"/>
          <w:szCs w:val="24"/>
          <w:rtl/>
          <w:lang w:val="en-US" w:bidi="he-IL"/>
        </w:rPr>
        <w:t xml:space="preserve">חידוש ומסורת בשירת החול העברית: ספרד ואיטליה</w:t>
      </w:r>
      <w:r>
        <w:rPr>
          <w:rFonts w:ascii="Times New Roman" w:cs="David" w:eastAsia="David" w:hAnsi="Times New Roman"/>
          <w:i w:val="false"/>
          <w:iCs w:val="false"/>
          <w:noProof/>
          <w:sz w:val="24"/>
          <w:szCs w:val="24"/>
          <w:rtl/>
          <w:lang w:val="en-US" w:bidi="he-IL"/>
        </w:rPr>
        <w:t xml:space="preserve">, ירושלים: כתר, 1976.</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שורצבוים, חיים, "טיפוסים פולקלוריים ומוטיבים עממיים בספר משלי שועלים לרבי ברכיה הנקדן", </w:t>
      </w:r>
      <w:r>
        <w:rPr>
          <w:rFonts w:ascii="Times New Roman" w:cs="David" w:eastAsia="David" w:hAnsi="Times New Roman"/>
          <w:i/>
          <w:iCs/>
          <w:noProof/>
          <w:sz w:val="24"/>
          <w:szCs w:val="24"/>
          <w:rtl/>
          <w:lang w:val="en-US" w:bidi="he-IL"/>
        </w:rPr>
        <w:t xml:space="preserve">דברי הקונגרס העולמי הרביעי למדעי היהדות</w:t>
      </w:r>
      <w:r>
        <w:rPr>
          <w:rFonts w:ascii="Times New Roman" w:cs="David" w:eastAsia="David" w:hAnsi="Times New Roman"/>
          <w:i w:val="false"/>
          <w:iCs w:val="false"/>
          <w:noProof/>
          <w:sz w:val="24"/>
          <w:szCs w:val="24"/>
          <w:rtl/>
          <w:lang w:val="en-US" w:bidi="he-IL"/>
        </w:rPr>
        <w:t xml:space="preserve">, כרך ב, ירושלים: האיגוד העולמי למדעי היהדות, תשכ"ה, עמ' 33-36.</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שטרן, דוד, "תפקידו של המשל בספרות חז"ל", </w:t>
      </w:r>
      <w:r>
        <w:rPr>
          <w:rFonts w:ascii="Times New Roman" w:cs="David" w:eastAsia="David" w:hAnsi="Times New Roman"/>
          <w:i/>
          <w:iCs/>
          <w:noProof/>
          <w:sz w:val="24"/>
          <w:szCs w:val="24"/>
          <w:rtl/>
          <w:lang w:val="en-US" w:bidi="he-IL"/>
        </w:rPr>
        <w:t xml:space="preserve">מחקרי ירושלים בספרות עברית</w:t>
      </w:r>
      <w:r>
        <w:rPr>
          <w:rFonts w:ascii="Times New Roman" w:cs="David" w:eastAsia="David" w:hAnsi="Times New Roman"/>
          <w:i w:val="false"/>
          <w:iCs w:val="false"/>
          <w:noProof/>
          <w:sz w:val="24"/>
          <w:szCs w:val="24"/>
          <w:rtl/>
          <w:lang w:val="en-US" w:bidi="he-IL"/>
        </w:rPr>
        <w:t xml:space="preserve"> ז (תשמ"ה), עמ' 90-102.</w:t>
      </w:r>
    </w:p>
    <w:p>
      <w:pPr>
        <w:bidi/>
        <w:spacing w:after="160" w:before="0" w:line="276"/>
        <w:ind w:start="709" w:hanging="709"/>
        <w:jc w:val="both"/>
      </w:pPr>
      <w:r>
        <w:rPr>
          <w:rFonts w:ascii="Times New Roman" w:cs="David" w:eastAsia="David" w:hAnsi="Times New Roman"/>
          <w:i w:val="false"/>
          <w:iCs w:val="false"/>
          <w:noProof/>
          <w:sz w:val="24"/>
          <w:szCs w:val="24"/>
          <w:rtl/>
          <w:lang w:val="en-US" w:bidi="he-IL"/>
        </w:rPr>
        <w:t xml:space="preserve">שפירא, ענת, "המשל הנרטיבי-ספרותי ב'סדר אליהו' לאור המשל הדרשני בספרות חז"ל", </w:t>
      </w:r>
      <w:r>
        <w:rPr>
          <w:rFonts w:ascii="Times New Roman" w:cs="David" w:eastAsia="David" w:hAnsi="Times New Roman"/>
          <w:i/>
          <w:iCs/>
          <w:noProof/>
          <w:sz w:val="24"/>
          <w:szCs w:val="24"/>
          <w:rtl/>
          <w:lang w:val="en-US" w:bidi="he-IL"/>
        </w:rPr>
        <w:t xml:space="preserve">מרקמים: תרבות, ספרות, פולקלור, לגלית חזן-רוקם</w:t>
      </w:r>
      <w:r>
        <w:rPr>
          <w:rFonts w:ascii="Times New Roman" w:cs="David" w:eastAsia="David" w:hAnsi="Times New Roman"/>
          <w:i w:val="false"/>
          <w:iCs w:val="false"/>
          <w:noProof/>
          <w:sz w:val="24"/>
          <w:szCs w:val="24"/>
          <w:rtl/>
          <w:lang w:val="en-US" w:bidi="he-IL"/>
        </w:rPr>
        <w:t xml:space="preserve">, כרך א (= </w:t>
      </w:r>
      <w:r>
        <w:rPr>
          <w:rFonts w:ascii="Times New Roman" w:cs="David" w:eastAsia="David" w:hAnsi="Times New Roman"/>
          <w:i/>
          <w:iCs/>
          <w:noProof/>
          <w:sz w:val="24"/>
          <w:szCs w:val="24"/>
          <w:rtl/>
          <w:lang w:val="en-US" w:bidi="he-IL"/>
        </w:rPr>
        <w:t xml:space="preserve">מחקרי ירושלים בספרות עברית</w:t>
      </w:r>
      <w:r>
        <w:rPr>
          <w:rFonts w:ascii="Times New Roman" w:cs="David" w:eastAsia="David" w:hAnsi="Times New Roman"/>
          <w:i w:val="false"/>
          <w:iCs w:val="false"/>
          <w:noProof/>
          <w:sz w:val="24"/>
          <w:szCs w:val="24"/>
          <w:rtl/>
          <w:lang w:val="en-US" w:bidi="he-IL"/>
        </w:rPr>
        <w:t xml:space="preserve"> כה), ירושלים: המכון למדעי היהדות ע"ש מנדל, תשע"ג, עמ' 133-151.</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Boyarin, Daniel, "An Exchange on the Mashal: Rhetoric and Interpretation: The Case of the Nimshal," </w:t>
      </w:r>
      <w:r>
        <w:rPr>
          <w:rFonts w:ascii="Times New Roman" w:cs="David" w:eastAsia="David" w:hAnsi="Times New Roman"/>
          <w:i/>
          <w:iCs/>
          <w:noProof/>
          <w:sz w:val="24"/>
          <w:szCs w:val="24"/>
          <w:rtl w:val="false"/>
          <w:lang w:val="en-US" w:bidi="he-IL"/>
        </w:rPr>
        <w:t xml:space="preserve">Prooftexts</w:t>
      </w:r>
      <w:r>
        <w:rPr>
          <w:rFonts w:ascii="Times New Roman" w:cs="David" w:eastAsia="David" w:hAnsi="Times New Roman"/>
          <w:i w:val="false"/>
          <w:iCs w:val="false"/>
          <w:noProof/>
          <w:sz w:val="24"/>
          <w:szCs w:val="24"/>
          <w:rtl w:val="false"/>
          <w:lang w:val="en-US" w:bidi="he-IL"/>
        </w:rPr>
        <w:t xml:space="preserve"> 5, no. 3 (1985): 269-276.</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Lawee, Eric, "The Sins of the Fauna in Midrash, Rashi, and Their Medieval Interlocutors," </w:t>
      </w:r>
      <w:r>
        <w:rPr>
          <w:rFonts w:ascii="Times New Roman" w:cs="David" w:eastAsia="David" w:hAnsi="Times New Roman"/>
          <w:i/>
          <w:iCs/>
          <w:noProof/>
          <w:sz w:val="24"/>
          <w:szCs w:val="24"/>
          <w:rtl w:val="false"/>
          <w:lang w:val="en-US" w:bidi="he-IL"/>
        </w:rPr>
        <w:t xml:space="preserve">Jewish Studies Quarterly</w:t>
      </w:r>
      <w:r>
        <w:rPr>
          <w:rFonts w:ascii="Times New Roman" w:cs="David" w:eastAsia="David" w:hAnsi="Times New Roman"/>
          <w:i w:val="false"/>
          <w:iCs w:val="false"/>
          <w:noProof/>
          <w:sz w:val="24"/>
          <w:szCs w:val="24"/>
          <w:rtl w:val="false"/>
          <w:lang w:val="en-US" w:bidi="he-IL"/>
        </w:rPr>
        <w:t xml:space="preserve"> 17, no. 1 (2010): 56-98.</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Schwarzbaum, Haim, </w:t>
      </w:r>
      <w:r>
        <w:rPr>
          <w:rFonts w:ascii="Times New Roman" w:cs="David" w:eastAsia="David" w:hAnsi="Times New Roman"/>
          <w:i/>
          <w:iCs/>
          <w:noProof/>
          <w:sz w:val="24"/>
          <w:szCs w:val="24"/>
          <w:rtl w:val="false"/>
          <w:lang w:val="en-US" w:bidi="he-IL"/>
        </w:rPr>
        <w:t xml:space="preserve">The Mishle Shu'alim (Fox Fables) of Rabbi Berechiah ha-Nakdan: A Study in Comparative Folklore and Fable Lore</w:t>
      </w:r>
      <w:r>
        <w:rPr>
          <w:rFonts w:ascii="Times New Roman" w:cs="David" w:eastAsia="David" w:hAnsi="Times New Roman"/>
          <w:i w:val="false"/>
          <w:iCs w:val="false"/>
          <w:noProof/>
          <w:sz w:val="24"/>
          <w:szCs w:val="24"/>
          <w:rtl w:val="false"/>
          <w:lang w:val="en-US" w:bidi="he-IL"/>
        </w:rPr>
        <w:t xml:space="preserve">, Kiron: Institute for Jewish and Arab Folklore Research, 1979.</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Stern, David, "Rhetoric and Midrash: The Case of the Mashal," </w:t>
      </w:r>
      <w:r>
        <w:rPr>
          <w:rFonts w:ascii="Times New Roman" w:cs="David" w:eastAsia="David" w:hAnsi="Times New Roman"/>
          <w:i/>
          <w:iCs/>
          <w:noProof/>
          <w:sz w:val="24"/>
          <w:szCs w:val="24"/>
          <w:rtl w:val="false"/>
          <w:lang w:val="en-US" w:bidi="he-IL"/>
        </w:rPr>
        <w:t xml:space="preserve">Prooftexts</w:t>
      </w:r>
      <w:r>
        <w:rPr>
          <w:rFonts w:ascii="Times New Roman" w:cs="David" w:eastAsia="David" w:hAnsi="Times New Roman"/>
          <w:i w:val="false"/>
          <w:iCs w:val="false"/>
          <w:noProof/>
          <w:sz w:val="24"/>
          <w:szCs w:val="24"/>
          <w:rtl w:val="false"/>
          <w:lang w:val="en-US" w:bidi="he-IL"/>
        </w:rPr>
        <w:t xml:space="preserve"> 1, no. 3 (1981): 261-291.</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Thompson, Stith, </w:t>
      </w:r>
      <w:r>
        <w:rPr>
          <w:rFonts w:ascii="Times New Roman" w:cs="David" w:eastAsia="David" w:hAnsi="Times New Roman"/>
          <w:i/>
          <w:iCs/>
          <w:noProof/>
          <w:sz w:val="24"/>
          <w:szCs w:val="24"/>
          <w:rtl w:val="false"/>
          <w:lang w:val="en-US" w:bidi="he-IL"/>
        </w:rPr>
        <w:t xml:space="preserve">Motif-Index of Folk-Literature</w:t>
      </w:r>
      <w:r>
        <w:rPr>
          <w:rFonts w:ascii="Times New Roman" w:cs="David" w:eastAsia="David" w:hAnsi="Times New Roman"/>
          <w:i w:val="false"/>
          <w:iCs w:val="false"/>
          <w:noProof/>
          <w:sz w:val="24"/>
          <w:szCs w:val="24"/>
          <w:rtl w:val="false"/>
          <w:lang w:val="en-US" w:bidi="he-IL"/>
        </w:rPr>
        <w:t xml:space="preserve">, 6 vols., Bloomington: Indiana University Press, 1955-1958.</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Uther, Hans-Jörg, </w:t>
      </w:r>
      <w:r>
        <w:rPr>
          <w:rFonts w:ascii="Times New Roman" w:cs="David" w:eastAsia="David" w:hAnsi="Times New Roman"/>
          <w:i/>
          <w:iCs/>
          <w:noProof/>
          <w:sz w:val="24"/>
          <w:szCs w:val="24"/>
          <w:rtl w:val="false"/>
          <w:lang w:val="en-US" w:bidi="he-IL"/>
        </w:rPr>
        <w:t xml:space="preserve">The Types of International Folktales: A Classification and Bibliography</w:t>
      </w:r>
      <w:r>
        <w:rPr>
          <w:rFonts w:ascii="Times New Roman" w:cs="David" w:eastAsia="David" w:hAnsi="Times New Roman"/>
          <w:i w:val="false"/>
          <w:iCs w:val="false"/>
          <w:noProof/>
          <w:sz w:val="24"/>
          <w:szCs w:val="24"/>
          <w:rtl w:val="false"/>
          <w:lang w:val="en-US" w:bidi="he-IL"/>
        </w:rPr>
        <w:t xml:space="preserve">, FF Communications 284-286, 3 vols., Helsinki: Academia Scientiarum Fennica, 2004.</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Way, Kenneth C., "Animals in the Prophetic World: Literary Reflections on Numbers 22 and 1 Kings 13," </w:t>
      </w:r>
      <w:r>
        <w:rPr>
          <w:rFonts w:ascii="Times New Roman" w:cs="David" w:eastAsia="David" w:hAnsi="Times New Roman"/>
          <w:i/>
          <w:iCs/>
          <w:noProof/>
          <w:sz w:val="24"/>
          <w:szCs w:val="24"/>
          <w:rtl w:val="false"/>
          <w:lang w:val="en-US" w:bidi="he-IL"/>
        </w:rPr>
        <w:t xml:space="preserve">Journal for the Study of the Old Testament</w:t>
      </w:r>
      <w:r>
        <w:rPr>
          <w:rFonts w:ascii="Times New Roman" w:cs="David" w:eastAsia="David" w:hAnsi="Times New Roman"/>
          <w:i w:val="false"/>
          <w:iCs w:val="false"/>
          <w:noProof/>
          <w:sz w:val="24"/>
          <w:szCs w:val="24"/>
          <w:rtl w:val="false"/>
          <w:lang w:val="en-US" w:bidi="he-IL"/>
        </w:rPr>
        <w:t xml:space="preserve"> 34, no. 1 (2009): 47-62.</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Way, Kenneth C., "Donkey Domain: Zechariah 9:9 and Lexical Semantics," </w:t>
      </w:r>
      <w:r>
        <w:rPr>
          <w:rFonts w:ascii="Times New Roman" w:cs="David" w:eastAsia="David" w:hAnsi="Times New Roman"/>
          <w:i/>
          <w:iCs/>
          <w:noProof/>
          <w:sz w:val="24"/>
          <w:szCs w:val="24"/>
          <w:rtl w:val="false"/>
          <w:lang w:val="en-US" w:bidi="he-IL"/>
        </w:rPr>
        <w:t xml:space="preserve">Journal of Biblical Literature</w:t>
      </w:r>
      <w:r>
        <w:rPr>
          <w:rFonts w:ascii="Times New Roman" w:cs="David" w:eastAsia="David" w:hAnsi="Times New Roman"/>
          <w:i w:val="false"/>
          <w:iCs w:val="false"/>
          <w:noProof/>
          <w:sz w:val="24"/>
          <w:szCs w:val="24"/>
          <w:rtl w:val="false"/>
          <w:lang w:val="en-US" w:bidi="he-IL"/>
        </w:rPr>
        <w:t xml:space="preserve"> 129, no. 1 (2010): 105-114.</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Way, Kenneth C., </w:t>
      </w:r>
      <w:r>
        <w:rPr>
          <w:rFonts w:ascii="Times New Roman" w:cs="David" w:eastAsia="David" w:hAnsi="Times New Roman"/>
          <w:i/>
          <w:iCs/>
          <w:noProof/>
          <w:sz w:val="24"/>
          <w:szCs w:val="24"/>
          <w:rtl w:val="false"/>
          <w:lang w:val="en-US" w:bidi="he-IL"/>
        </w:rPr>
        <w:t xml:space="preserve">Donkeys in the Biblical World: Ceremony and Symbol</w:t>
      </w:r>
      <w:r>
        <w:rPr>
          <w:rFonts w:ascii="Times New Roman" w:cs="David" w:eastAsia="David" w:hAnsi="Times New Roman"/>
          <w:i w:val="false"/>
          <w:iCs w:val="false"/>
          <w:noProof/>
          <w:sz w:val="24"/>
          <w:szCs w:val="24"/>
          <w:rtl w:val="false"/>
          <w:lang w:val="en-US" w:bidi="he-IL"/>
        </w:rPr>
        <w:t xml:space="preserve">, Winona Lake: Eisenbrauns, 2011.</w:t>
      </w:r>
    </w:p>
    <w:p>
      <w:pPr>
        <w:bidi w:val="false"/>
        <w:spacing w:after="160" w:before="0" w:line="276"/>
        <w:ind w:left="709" w:hanging="709"/>
        <w:jc w:val="left"/>
      </w:pPr>
      <w:r>
        <w:rPr>
          <w:rFonts w:ascii="Times New Roman" w:cs="David" w:eastAsia="David" w:hAnsi="Times New Roman"/>
          <w:i w:val="false"/>
          <w:iCs w:val="false"/>
          <w:noProof/>
          <w:sz w:val="24"/>
          <w:szCs w:val="24"/>
          <w:rtl w:val="false"/>
          <w:lang w:val="en-US" w:bidi="he-IL"/>
        </w:rPr>
        <w:t xml:space="preserve">Yassif, Eli, "The Hebrew Narrative Anthology in the Middle Ages," </w:t>
      </w:r>
      <w:r>
        <w:rPr>
          <w:rFonts w:ascii="Times New Roman" w:cs="David" w:eastAsia="David" w:hAnsi="Times New Roman"/>
          <w:i/>
          <w:iCs/>
          <w:noProof/>
          <w:sz w:val="24"/>
          <w:szCs w:val="24"/>
          <w:rtl w:val="false"/>
          <w:lang w:val="en-US" w:bidi="he-IL"/>
        </w:rPr>
        <w:t xml:space="preserve">Prooftexts</w:t>
      </w:r>
      <w:r>
        <w:rPr>
          <w:rFonts w:ascii="Times New Roman" w:cs="David" w:eastAsia="David" w:hAnsi="Times New Roman"/>
          <w:i w:val="false"/>
          <w:iCs w:val="false"/>
          <w:noProof/>
          <w:sz w:val="24"/>
          <w:szCs w:val="24"/>
          <w:rtl w:val="false"/>
          <w:lang w:val="en-US" w:bidi="he-IL"/>
        </w:rPr>
        <w:t xml:space="preserve"> 17, no. 2 (1997): 153-175.</w:t>
      </w:r>
    </w:p>
    <w:p>
      <w:pPr>
        <w:pStyle w:val="Heading1"/>
        <w:keepNext/>
        <w:pageBreakBefore/>
        <w:bidi/>
        <w:spacing w:after="360" w:before="0" w:line="360"/>
        <w:jc w:val="center"/>
      </w:pPr>
      <w:r>
        <w:rPr>
          <w:rFonts w:ascii="Times New Roman" w:cs="David" w:eastAsia="David" w:hAnsi="Times New Roman"/>
          <w:b/>
          <w:bCs/>
          <w:i w:val="false"/>
          <w:iCs w:val="false"/>
          <w:noProof/>
          <w:sz w:val="32"/>
          <w:szCs w:val="32"/>
          <w:rtl/>
          <w:lang w:val="en-US" w:bidi="he-IL"/>
        </w:rPr>
        <w:t xml:space="preserve">נספחים: המשלים הנדונים</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נספח א: חמור, דבורים וצרעה</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אַל תְּהִי בָז לְכָל דָּבָר / כִּי לַכֹּל עֵת וּזְמָן יִגְבָּר</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חֲמוֹר רֹעֶה בְאַחַד הֶהָרִים / וְהִנֵּה סְבִיבָיו עֲדַת דְּבוֹרִים / וְהַצִּרְעָה מְרַחֶפֶת לְפָנָיו / עַד אֲשֶׁר נֶחְבֵּאת בְּאַחַת מֵאָזְנָיו / וַיִּרְעַשׁ וַיִּגְעַשׁ וּבְקוֹלוֹ נוֹעֵר / הֵנָּה וָהֵנָּה הוֹלֵךְ וְסֹעֵר / וַיִּמְאַס בְּחַיָּיו וַיָּקָץ / כִּי הָיָה נָשׁוּךְ וְנֶעֱקָץ / וַיֵּצֶר לוֹ וְלִמְאֹד חָלָה / לְקוֹל הַהֲמוּלָה הַגְּדוֹלָה / וַיֹּאמַר: הַיּוֹם רַבּוּ עֹיְנַי / וּמַה הַקּוֹל אֲשֶׁר בְּאָזְנַי / אֵין זֶה כִּי אִם רוּחַ רָעָה / וְאִם אַתְּ בִּגְבוּלִי הַצִּרְעָה / מַה לָּךְ לִטְמֹן בְּחֻבִּי / צְאִי נָא וְהִלָּחֵם בִּי / וְנִתְרָאֶה פָּנִים אֶל פָּנִים / הֲיֵשׁ לָךְ כֹּחַ וְאוֹנִים / לָצֵאת וְלֶאֱסֹף עֲדַת דְּבוֹרִים / לְהִלָּחֵם בַּחֲבוּרַת הַחֲמוֹרִים / וַתַּעַן הַצִּרְעָה / מִי יִתֵּן וְהָיָה כָכָה / מַעֲרָכָה מוּל מַעֲרָכָה / וְנִלָּחֲמָה יַחַד בַּבִּקְעָה / צִרְעָה לַחֲמוֹר וַחֲמוֹר לְצִרְעָה / וְהַנָּצוּח יִבָּדֵל מִן הָעֵדָה / וַיַּעַן הַחֲמוֹר: יוֹם הַמּוֹעֵד נַגִּידָה / אֲשֶׁר נֵצֵא לַמִּלְחָמָה / וַיֻּגַּד הַמּוֹעֵד שָׁמָּה / וַיֵּלֶךְ הַחֲמוֹר לְהִמָּלֵךְ / בָּאֲרִי אֲשֶׁר עַל כֻּלָּם מוֹלֵךְ / וַיַּגֶּד לוֹ אֶת כָּל אֲשֶׁר קָרָהוּ / מִן הַצִּרְעָה אֲשֶׁר בָּאֹזֶן הֱצִיקַתְהוּ / וְהַמּוֹעֵד אֲשֶׁר לוֹ יָעָדָה / וְאֵיךְ לִבּוֹ חוֹנֶה בַחֲרָדָה / פֶּן תִּכָּנֵס שֵׁנִית בָּאֹזֶן / וַיֹּאמֶר לוֹ הָאֲרִי: הַאֲזֵן / אִיעָצְךָ וּשְׁמַע בְּקוֹלִי / וְלֹא יִקְרְךָ פֶּגַע וָחֹלִי / סְתֹם וּסְגֹר בִּרְצוּעוֹת כָּל נְקָבֶיךָ / אָז לֹא יוּכְלוּ לְךָ אֹיְבֶיךָ / וְכִרְאוֹתָם זֶה מִפָּנֶיךָ יִבָּהֲלוּ / וּמָשַׁלְתָּ בָּם וּבְךָ לֹא יִמְשֹׁלוּ / וְשִׁית אֶל הַמִּלְחָמָה פָנֶיךָ / וְאַתָּה תֶּאֱזֹר מָתְנֶיךָ / וַיַּעֲשׂוּ כֵן כָּל הַחֲמוֹרִים / וְלַמּוֹעֵד בָּאוּ מְחַצְצִים וְסֹדְרִים / וְהַצְּרָעִים נִלְחָמִים אִתָּם / וּבִרְאוֹתָם כִּי נִסְתַּם / כָּל חוֹר וָחוֹר / פָּנִים וְאָחוֹר / תַּחַת הַבֶּטֶן נִתְחַבְּאוּ / שָׁם גְּבוּרָתָם הֶרְאוּ / לְהַמְצִיא לַחֲמוֹרִים כִּפְלַיִם צָרוֹת / וְהַחֲמוֹרִים מִתְחַכְּכִים וְחוֹפְפִים עַל הָעֵצִים וְעַל הַצְּרוֹרוֹת / וּמִתְנַכְּלִים עֲלֵיהֶם לַהֲמִיתָם / עַד אֲשֶׁר נִתְּקוּ מוֹסְרוֹתָם / וַיֵּרָאוּ הַחוֹרִים וְהַנְּקִיקִים / וְהַצְּרָעִים לִכָּנֵס בָּם מִתְחַזְּקִים / וְנֹשְׁכִים וְעוֹקְצִים וְלוֹחֲצִים / מִפֶּה אֶל פֶּה נִפְרָצִים / וַיְהִי אָרְבָּם בְּקִרְבָּם / וַיַּכְנַע בֶּעָמָל לִבָּם / וַיֹּאמְרוּ לָהֶם הַחֲמוֹרִים / לֹא נִהְיֶה עוֹד מַמְרִים וְסוֹרֲרִים / הִנְנוּ לָכֶם לַעֲבָדִים / רַק תִּהְיוּ מֵעָלֵינוּ נִפְרָדִים.</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וְהַמָּשָׁל בְּמִתְגָּאֶה בְגָבְהוֹ וּבְרֹב דָּלִיּוֹתָיו / וְהַקָּטָן יִמְשֹׁל בּוֹ בְּסִבּוֹת תַּחְבֻּלוֹתָיו / עַל כֵּן אַל תַּחְטִיא בְשָׂרְךָ בִלְשׁוֹנֶךָ / לֵאמֹר לַקָּטָן: קָטָנִי עָבָה מִמָּתְנֶיךָ / כִּי הַרְבֵּה נוֹקְשׁוּ וְנִשְׁבְּרוּ בְּרֹב גַּאֲוָה / אֵין מִלְחָמָה טוֹבָה רַק מִלְחֶמֶת הַתַּאֲוָה.</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נספח ב: משל מז: חמור בעור ארי</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אִם רוּחַ גַּאֲוָה נָשְׁבָה בוֹ / רוּחַ חָכְמָה אֵין בְּקִרְבּוֹ</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חֲמוֹר מִבֵּית אֲדֹנָיו הָלַךְ לִרְעוֹת / עַל הֶהָרִים וְעַל הַגְּבָעוֹת / וַיִּמְצָא שָׁם עוֹר אֲרִי מָפְשָׁט / וַיֹּאבֶה לְלָבְשׁוֹ וְיָדָיו פָּשַׁט / לְהַשְׁלִיכוֹ לְפָנָיו וּלְאַחֲרָיו / עַל יָדָיו וְעַל חֶלְקַת צַוָּארָיו / וַיָּרָם לְבָבוֹ וּבְגַאֲוָה יֵלֵךְ הָלֹךְ / מִתְנַשֵּׂא לֵאמֹר: אֲנִי אֶמְלֹךְ / וַיֵּלֶךְ לְהַפְחִיד הַחַיּוֹת / עַל הֶהָרִים וְעַל הַגֵּאָיוֹת / וְכַאֲרִי יִטְרֹף לָהֶם אֹרֵב וְצֹדֶה / הָאָדָם וְהַבְּהֵמָה אֲשֶׁר יִמְצָא בַשָּׂדֶה / מִפַּחְדּוֹ הָרֹעִים צֹאנָם עָזְבוּ לִשְׁמוֹר / כִּי חֲשָׁבוּהוּ לְאַרְיֵה וְהִנֵּה הוּא חֲמוֹר / וְעֹבְדֵי הָאֲדָמָה מִפָּנָיו נָסְעוּ / גַּם הַצֹּאן וְהַבָּקָר אַל יִרְעוּ / וְאִישׁ לְאָחִיו צֹעֵק: שֹׁמֵעַ לִי הִנְּךָ / שְׁלַח הָעֵז אֶת מִקְנְךָ / כִּי אֶת אֲשֶׁר יִמָּצֵא בַשָּׂדֶה לֹא יִחְיֶה / וַיְהִי הַחֲמוֹר לָהֶם לְאַרְיֵה / וּמֵרֹב חֶדְוַת לִבּוֹ אֲשֶׁר חֲשָׁבוּהוּ לַאֲרִי / עִם אֲדֹנָיו הָלַךְ בְּקֶרִי / וַיֹּאמֶר כִּי מַשָּׂא לֹא יַשְׁלִיךְ עוֹד עָלָיו / וַחֲמוֹר אֵבוּס בְּעָלָיו / לֹא יָדַע, וְלֹא יָשׁוּב אֶל בֵּיתוֹ / אָכֵן יִתֵּן פַּחְדָּתוֹ / עַל כָּל הוֹלֵךְ אַרְבַּע / כִּי כֵן בִּגְאוֹנוֹ קָפַץ וְנִשְׁבַּע / וְהַקּוֹל נִשְׁמַע: עָלָה אַרְיֵה מִסֻּבְּכוֹ / שִׂימוּ אִישׁ חַרְבּוֹ עַל יְרֵכוֹ / בִּרְמָחִים וּבַחֲרָמִים לְסָבְבוֹ / אוּלַי נוּכַל נַכֶּה בוֹ / נְצוּדֵהוּ בַיַּעַר אוֹ בַשָּׁרוֹן / לַמֶּלֶךְ נִשְׁלְחֵהוּ דּוֹרוֹן / וַאֲדֹנָיו אוֹמֵר אֶל שְׁכֵנָיו: אָבַדְתִּי חֲמוֹרִי / וְאֵיכָכָה אֲבַקְשֶׁנּוּ פֶּן יִטְרְפֵנִי הָאֲרִי / וַיְהִי הַיּוֹם וַיֵּלֶךְ אֲדֹנָיו / וַיָּלֶט בְּאַדַּרְתּוֹ פָּנָיו / וַיָּבֹא בְּאַחַד הֶהָרִים / וַיַּרְא חֲמוֹרוֹ כַּאֲרִי בְּמִסְתָּרִים / לְהַפְחִיד כָּל רֹאֵי תָאֳרוֹ / וַיִּתְבּוֹנֵן כִּי הוּא חֲמוֹרוֹ / בְּקוֹמָתוֹ וּבִזְנָבוֹ וּבְאָזְנָיו / וְכִרְאוֹתוֹ אֲדֹנָיו הִשְׁפִּיל עֵינָיו / וַיֹּאמֶר לוֹ: יַעַן גָּבַהּ לִבְּךָ / יְהִי אָרְבְּךָ בְּקִרְבְּךָ / כַּאֲשֶׁר גָּבַרְתָּ לִשְׁפֹּךְ דַּם נְקִיִּים / וַתִּתֵּן חִתִּיתְךָ בְּאֶרֶץ הַחַיִּים / הָלֹךְ הָלַכְתָּ נְטוּי גָּרוֹן / חָלַמְתָּ וְתָבִין הַפִּתְרוֹן / זְדוֹן לִבְּךָ הִשִּׂיאֲךָ / לְהִתְנַכֵּר מֵאֲדֹנְךָ וּמִמַּשָּׂאֶךָ / תִּכְבַּד הָעֲבוֹדָה וְעֻלָּךְ / עַל עָפָר תְּהִי מֻשְׁלָךְ / וְלֹא תִרְדֹּף הַצֹּאן כַּאֲשֶׁר הוּא שִׁבְיְךָ / וְעַתָּה הוֹרֵד אֶת עֶדְיְךָ / וְהִצַּגְתִּיךָ כְּיוֹם הִוָּלְדְךָ / וְיַהֲפֹךְ הוֹדְךָ לְאֵידְךָ / וְתֵדַע מִי אַתָּה וּמֵאַיִן בָּאתָ / וְאִם אָבִיךָ מֶלֶךְ עַל הַחַיּוֹת רָאִיתָ / וַיִּתְנַצֵּל הַחֲמוֹר מֵעֶדְיוֹ / וַיִּקַּח מֵאֲדֹנָיו כִּפְלַיִם בְּמֶרְיוֹ.</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וְהַמָּשָׁל בְּבֶן־נָבָל וּבֶן־בְּלִי־שֵׁם / אֲשֶׁר יַעֲבֹר עָלָיו רוּחַ וְאָשֵׁם / וְרוּחַ גַּאֲוָה נָשְׁבָה בוֹ / וְכָל רוּחַ חָכְמָה אֵין בְּקִרְבּוֹ / וְעַם אֲשֶׁר לֹא יְדָעוּהוּ יַעַבְדוּהוּ / וּבְלֶכְתּוֹ וּבְשִׁבְתּוֹ יְכַבְּדוּהוּ / כִּי לֹא נִכָּר בְּלֶכְתּוֹ בַּחוּצוֹת / כִּי אִם בִּלְבוּשׁ וּמַחֲלָצוֹת / וְיִתְגָּאֶה עֲלֵיהֶם וְיֹאמַר: לַעֲבָדִים מְצָאתִים / וְיִתֵּן צַמַּרְתּוֹ אֶל בֵּין עֲבוֹתִים / וְיֵלֶךְ נְטוּי גָּרוֹן וְלֹא יִזְכֹּר מִי אֲבוֹתָיו / וַיִּיף בְּגָבְהוֹ וְאֹרֶךְ דָּלִיּוֹתָיו / וְאַחֲרֵי אֲשֶׁר מוּמוֹ וּמוּם אֲבוֹתָיו יַכִּירוּ / כְּבוֹדוֹ בְּקָלוֹן יָמִירוּ.</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וָאֶשָּׂא מְשָׁלִי וָאֹמַר: חֲמוֹר עוֹר הָאֲרִי מָצָא, לְבָשׁוֹ / וְהִפְחִיד דֹּב וְנָמֵר עֵת פְּגָשׁוֹ / וְכֵן בֶּן־בּוּז בְּלָבְשׁוֹ בּוּץ וְגָאָה / וְלֹא יָדַע נְשֹׂא רַגְלָיו וְרֹאשׁוֹ.</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נספח ג: משל יד: חמור, כלב ואדם</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הַקִּנְאָה תָבִיא לְהִתְאַוּוֹת / דָּבָר בִּלְתִּי יֵאוֹת</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כֶּלֶב קָטָן הָיָה / בֵּית הַפָּקִיד מִן הַקִּרְיָה / פִּתּוֹ יֹאכַל חֵיקוֹ יִשְׁכַּב / עִמּוֹ יֵלֵךְ הָעֵת יִרְכָּב / וּבַבַּיִת חֲמוֹר אֹרֵב / כִּי הָאָדוֹן הַכֶּלֶב יְקָרֵב / וְכִי יְשַׂחֵק בּוֹ לִרְגָעִים / כַּאֲשֶׁר הָיוּ שְׁנֵי רֵעִים / וַיֹּאמֶר הַחֲמוֹר בַּלֵּב / לֹא נוֹפֵל אָנֹכִי מִכֶּלֶב / אֵלֵךְ גַּם אֲנִי אֶל אֲדֹנִי / אוּלַי כַּכֶּלֶב יְקָרְבֵנִי / וַאֲחַבְּקֵהוּ וַאֲנַשְׁקֵהוּ / וּבִלְשׁוֹנִי אֲלַחֲכֵהוּ / וְאָשִׂים עֵינַי אֵצֶל עֵינָיו / וְאֶת פָּנַי לְמוּל פָּנָיו / וְאֶתְחַבֵּר אִתּוֹ / לְעֻמַּת מַחְבַּרְתּוֹ / וְכָל מַלְבּוּשָׁיו אֶגְאַל וְאֶדְרֹךְ / מֵחוּט וְעַד הַשְּׂרוֹךְ / וְלִמְצֹא חֵן עָלָיו אֶזְעַק / כַּאֲשֶׁר הַכֶּלֶב חָרַץ וְצָעַק / בְּזֶה הַדָּבָר אֶבָּחֵן / אִם אֲנִי כַכֶּלֶב אֶמְצָא חֵן / וְכַאֲשֶׁר בָּא אֲדֹנָיו הַבַּיְתָה / הַחֲמוֹר הִשְׁלִים לִבּוֹ עָלְתָה / וַיָרָץ מַהֵר אֵצֶל אֲדֹנָיו / וַיְלַחֲכֵהוּ סְבִיב אָזְנָיו / וַיְחַבְּקֵהוּ בִּשְׁתֵּי רַגְלָיו / וַיָּרֶם קוֹלוֹ עָלָיו / וְרֹאשׁוֹ אֶל רֹאשׁוֹ נִצְמָד / כַּאֲשֶׁר מִן הַכֶּלֶב לָמָד / הָאָדוֹן יָרֵא וְחָרֵד / כִּי הַחֲמוֹר בּוֹ עוֹלֶה וְיוֹרֵד / וּמִפֶּה אֶל פֶּה הִקִּיפוֹ / עַד כִּי מִכִּסְאוֹ הֲדָפוֹ / וּבְצַוָּארוֹ חִבְּקוֹ כִּרְבִיד / וּמַשָּׂאוֹ עָלָיו הִכְבִּיד / וַיֹּאמֶר הָאָדוֹן: מִי אִתִּי אֵלַי / הוֹצִיאוּ אֶת הַחֲמוֹר מֵעָלָי / כִּי גָדְלָה לוֹ הַחֲרָדָה / וַתִּקָּהֵל כָּל הָעֵדָה / זֶה בְּרֹמַח וְזֶה בְמַקֵּל / וְזֶה בַאֲבָנִים יְסַקֵּל / זֶה בְּשֵׁבֶט מַכֶּה הַחֲמוֹר / זֶה אוֹמֵר הַךְ אַךְ אֶת נַפְשׁוֹ שְׁמֹר / וַיִּרְדְּפוּ הַחֲמוֹר עַד אֲבוּסוֹ / הָלֹם כָּל גֵּווֹ וּכְרֵסוֹ.</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וְהַמָּשָׁל לְאִישׁ הוֹלֵךְ שׁוֹבָב / רְחַב עֵינַיִם וּגְבַהּ לֵבָב / וְיִשְׂתָּרֵר בְּגַאֲוָתוֹ / כִּי לֹא יִתָּכֵן לְאִישׁ כְּמוֹתוֹ / וּבִרְצוֹתוֹ לִהְיוֹת מוֹשֵׁל / פֶּתַע פִּתְאֹם יָבֹא כֹּשֶׁל / וְיֶהֶדֳפֶנּוּ מִמַּצָּבוֹ / וְאֵין אִישׁ מַאֲזִין אֶל נִיבוֹ / וּמְשַׁל שְׁלֹמֹה לֹא נִגְרָע / כִּי לֹא תִהְיֶה אַחֲרִית לָרָע.</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וָאֶשָּׂא מְשָׁלִי וָאֹמַר: לִפְנֵי שֵׁבֶר אִישׁ דְּרָכָיו מְעַקֵּשׁ / לִפְנֵי כָבוֹד שִׁפְלוּת לוֹ לְמוֹקֵשׁ / נָא זְכֹר מִי מָצָא מְלוּכָה וְנִבָּא / כַּאֲשֶׁר שָׁב מִן הָאֲתוֹנוֹת לְבַקֵּשׁ.</w:t>
      </w:r>
    </w:p>
    <w:p>
      <w:pPr>
        <w:pStyle w:val="Heading2"/>
        <w:keepNext/>
        <w:bidi/>
        <w:spacing w:after="120" w:before="240" w:line="360"/>
        <w:jc w:val="start"/>
      </w:pPr>
      <w:r>
        <w:rPr>
          <w:rFonts w:ascii="Times New Roman" w:cs="David" w:eastAsia="David" w:hAnsi="Times New Roman"/>
          <w:b/>
          <w:bCs/>
          <w:i w:val="false"/>
          <w:iCs w:val="false"/>
          <w:noProof/>
          <w:sz w:val="28"/>
          <w:szCs w:val="28"/>
          <w:rtl/>
          <w:lang w:val="en-US" w:bidi="he-IL"/>
        </w:rPr>
        <w:t xml:space="preserve">נספח ד: משל סה: אריה וחמור</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אִישׁ אֲשֶׁר מַכִּיר מְקוֹמוֹ / תִּגָּלֶה עֶרְוָתוֹ וְלִבּוֹ בַּל עִמּוֹ</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אַרְיֵה קָרָא לַחֲמוֹר לְהַרְאוֹתוֹ / אֶת יְקָר תִּפְאֶרֶת גְּדֻלָּתוֹ / וַיִּתְגָּאֶה הַחֲמוֹר בְּלִבּוֹ לֵאמֹר: מִי כָמוֹנִי / לְמִי יַחְפֹּץ הַמֶּלֶךְ לַעֲשׂוֹת יְקָר יוֹתֵר מִמֶּנִּי / בַּאֲשֶׁר אֲנִי לַחֲבוּרָתוֹ הוֹלֵךְ / וְעַתָּה יִקְרְאוּ לִי מִשְׁנֶה לַמֶּלֶךְ / כִּי שָׂמָנִי אֶל מִשְׁמַעְתּוֹ / אֹתִי בָחַר אֵין זָר אִתּוֹ / וַיֹּאמֶר לָאַרְיֵה: הִנֵּה עַל הַבְּהֵמוֹת אֶתֵּן חִתִּיתִי / מִקּוֹלִי יֵחָפְזוּן וְיָנוּסוּ מִגַּעֲרָתִי / וַיַּעַן הָאֲרִי: אַתָּה תַשְׂגִּיא פָעֳלֶךָ / לְהַשְׁמִיעַ בַּמָּרוֹם קוֹלֶךָ / וְנֵצֵא לִשְׁלֹל שָׁלָל רָב / וּפָנֶיךָ הֹלְכִים בַּקְּרָב / אַתָּה תִשְׁאַג וַאֲנִי אֶטְרֹף / תֹּאחֵז טֶרֶף וַאֲנִי אֶעֱרֹף / וַיֵּצְאוּ הַשָּׂדֶה וַיִּמְצְאוּ צֹאן וּבָקָר זְכָרִים / וַיָּשִׂימוּ מְגַמַּת פְּנֵיהֶם לִטְרֹף וּלְהַחֲרִים / וַיֹּאמֶר הָאֲרִי: הֲמוֹן קוֹלְךָ הַשְׁמִיעֵם / וּבְקוֹל כָּמוֹנִי תַּרְעֵם / וְהִנֵּה בְּקוֹלוֹ הַחֲמוֹר נֹעֵר / וְהַקּוֹל בְּמַחֲנֵיהֶם הֹלֵךְ וְסֹעֵר / וַתְּפוּצֶינָה בְקוֹלוֹ הָרְחֵלִים / מִשֵּׂתוֹ יָגוּרוּ אֵילִים / וַיְהִי לְחֶרְדַּת הַמַּחֲנֶה אֲשֶׁר הֹלֵךְ עַל אַרְבַּע / וּבְהַפְנוֹתָם לָנוּס וַיִּטְרֹף בָּם הָאֲרִי וַיֹּאכַל וַיִּשְׂבַּע / וַיָּנוּסוּ אָנֶה וְאָנָה לְקוֹל הֲמֻלּוֹת גְּדוֹלוֹת / וַיֹּאמֶר הָאֲרִי: אַל תַּשְׁמִיעַ עוֹד קוֹלְךָ וְרַב מִהְיֹת קוֹלוֹת / וַיְהִי כַאֲשֶׁר לִטְרֹף כִּלָּה / וְהַחֲמוֹר וְהָאַרְיֵה עֹמְדִים אֵצֶל הַנְּבֵלָה / וַיֹּאמֶר הַחֲמוֹר: הֲלֹא שָׁמַעְתָּ הוֹד נַחֲרִי / וְרָאִיתָ כִּי רַעְמָה לָבוּשׁ צַוָּארִי / בְּחָכְמָתְךָ אֹתִי תִבְחַר / וְהָיָה כָזֶה יוֹם מָחָר / וְאַפְחִיד הַבְּהֵמוֹת וְאוֹרִיד לָאָרֶץ נִצְחָם / וְלַמֶּלֶךְ אֵין שֹׁוֶה לְהַנִּיחָם / לֹא מֵהֶם וְלֹא מֶהֱמֵהֶם / וְאֵלֶּה הַמִּשְׁפָּטִים אֲשֶׁר תָּשִׂים לִפְנֵיהֶם / מִגַּעֲרָתִי יְנוּסוּן וְיֵחַתּוּ מִמֶּנּוּ / נַגְבִּיר שְׂפָתֵנוּ אִתָּנוּ מִי אָדוֹן לָנוּ / שְׁמָעֵנִי אֲדֹנִי הַמֶּלֶךְ / הֲלוֹא דְבָרַי יֵיטִיבוּ עִם הַיָּשָׁר הֹלֵךְ / וַיַּעַן לוֹ הָאֲרִי: הַמַּכִּיר תּוֹלַדְתְּךָ מִמַּעַל וּמִתָּחַת / מִקּוֹלְךָ לֹא יַעֲנֶה וּמֵהֲמוֹנְךָ לֹא יֵחָת / בָּזוּי וְשָׁפָל וּקְשֵׁה עֹרֶף / הֲתָצוּד לַלָּבִיא טֶרֶף / עוֹד יֹאמְרוּ בְאָזְנַי בְּנֵי שִׁכֻּלַי לֵאמֹר / אֵיךְ טָרַפְתָּ בַּצֹּאן וְלֹא שִׁבַּרְתָּ אֶת הַחֲמוֹר.</w:t>
      </w:r>
    </w:p>
    <w:p>
      <w:pPr>
        <w:bidi/>
        <w:spacing w:after="200" w:before="0" w:line="300"/>
        <w:ind w:start="709" w:end="709"/>
        <w:jc w:val="both"/>
      </w:pPr>
      <w:r>
        <w:rPr>
          <w:rFonts w:ascii="Times New Roman" w:cs="David" w:eastAsia="David" w:hAnsi="Times New Roman"/>
          <w:i w:val="false"/>
          <w:iCs w:val="false"/>
          <w:noProof/>
          <w:sz w:val="24"/>
          <w:szCs w:val="24"/>
          <w:rtl/>
          <w:lang w:val="en-US" w:bidi="he-IL"/>
        </w:rPr>
        <w:t xml:space="preserve">וְהַמָּשָׁל בְּאִישׁ נִכְבָּד אֲשֶׁר יְקָרֵב בָּזוּי וְנִקְלֶה / וְרוּחַ גְּאוֹנוֹ תִּצְמַח וְתִגָּלֶה / לְהִתְגָּאוֹת עַל חֶבְרָתוֹ / וְלֹא יַכִּיר אֶת שִׁפְלוּתוֹ / וּזְדוֹן לִבּוֹ בְהִתְגַּלּוֹת / לָשׁוֹן מְדַבֶּרֶת גְּדוֹלוֹת / בְּחָכְמָתִי כִּי נְבוּנוֹתִי / כָּזֹאת וְכָזֹאת עָשִׂיתִי / וְאָמַר הֶחָכָם בְּחָכְמָתוֹ / שְׁתִיקַת הַכְּסִיל הִיא תְשׁוּבָתוֹ.</w:t>
      </w:r>
    </w:p>
    <w:sectPr>
      <w:footerReference w:type="default" r:id="rId7"/>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David" w:eastAsia="David" w:hAnsi="Times New Roman"/>
        <w:noProof/>
        <w:sz w:val="22"/>
        <w:szCs w:val="22"/>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ברכיה הנקדן, </w:t>
      </w:r>
      <w:r>
        <w:rPr>
          <w:rFonts w:ascii="Times New Roman" w:cs="David" w:eastAsia="David" w:hAnsi="Times New Roman"/>
          <w:i/>
          <w:iCs/>
          <w:noProof/>
          <w:sz w:val="20"/>
          <w:szCs w:val="20"/>
          <w:rtl/>
          <w:lang w:val="en-US" w:bidi="he-IL"/>
        </w:rPr>
        <w:t xml:space="preserve">משלי שועלים</w:t>
      </w:r>
      <w:r>
        <w:rPr>
          <w:rFonts w:ascii="Times New Roman" w:cs="David" w:eastAsia="David" w:hAnsi="Times New Roman"/>
          <w:i w:val="false"/>
          <w:iCs w:val="false"/>
          <w:noProof/>
          <w:sz w:val="20"/>
          <w:szCs w:val="20"/>
          <w:rtl/>
          <w:lang w:val="en-US" w:bidi="he-IL"/>
        </w:rPr>
        <w:t xml:space="preserve">, מהדורת א"מ הברמן, ירושלים ותל אביב: שוקן, תש"ו. מספרי המשלים לאורך העבודה הם לפי מהדורה זו. מספרו של המשל "חמור, דבורים וצרעה" במהדורת הברמן יושלם [לוודא].</w:t>
      </w:r>
    </w:p>
  </w:footnote>
  <w:footnote w:id="2">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Kenneth C. Way, </w:t>
      </w:r>
      <w:r>
        <w:rPr>
          <w:rFonts w:ascii="Times New Roman" w:cs="David" w:eastAsia="David" w:hAnsi="Times New Roman"/>
          <w:i/>
          <w:iCs/>
          <w:noProof/>
          <w:sz w:val="20"/>
          <w:szCs w:val="20"/>
          <w:rtl w:val="false"/>
          <w:lang w:val="en-US" w:bidi="he-IL"/>
        </w:rPr>
        <w:t xml:space="preserve">Donkeys in the Biblical World: Ceremony and Symbol</w:t>
      </w:r>
      <w:r>
        <w:rPr>
          <w:rFonts w:ascii="Times New Roman" w:cs="David" w:eastAsia="David" w:hAnsi="Times New Roman"/>
          <w:i w:val="false"/>
          <w:iCs w:val="false"/>
          <w:noProof/>
          <w:sz w:val="20"/>
          <w:szCs w:val="20"/>
          <w:rtl w:val="false"/>
          <w:lang w:val="en-US" w:bidi="he-IL"/>
        </w:rPr>
        <w:t xml:space="preserve">, Winona Lake: Eisenbrauns, 2011, </w:t>
      </w:r>
      <w:r>
        <w:rPr>
          <w:rFonts w:ascii="Times New Roman" w:cs="David" w:eastAsia="David" w:hAnsi="Times New Roman"/>
          <w:i w:val="false"/>
          <w:iCs w:val="false"/>
          <w:noProof/>
          <w:sz w:val="20"/>
          <w:szCs w:val="20"/>
          <w:rtl/>
          <w:lang w:val="en-US" w:bidi="he-IL"/>
        </w:rPr>
        <w:t xml:space="preserve">בפרק על החמור בארכיאולוגיה של המזרח הקרוב.</w:t>
      </w:r>
    </w:p>
  </w:footnote>
  <w:footnote w:id="3">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Way, </w:t>
      </w:r>
      <w:r>
        <w:rPr>
          <w:rFonts w:ascii="Times New Roman" w:cs="David" w:eastAsia="David" w:hAnsi="Times New Roman"/>
          <w:i/>
          <w:iCs/>
          <w:noProof/>
          <w:sz w:val="20"/>
          <w:szCs w:val="20"/>
          <w:rtl w:val="false"/>
          <w:lang w:val="en-US" w:bidi="he-IL"/>
        </w:rPr>
        <w:t xml:space="preserve">Donkeys in the Biblical World</w:t>
      </w:r>
      <w:r>
        <w:rPr>
          <w:rFonts w:ascii="Times New Roman" w:cs="David" w:eastAsia="David" w:hAnsi="Times New Roman"/>
          <w:i w:val="false"/>
          <w:iCs w:val="false"/>
          <w:noProof/>
          <w:sz w:val="20"/>
          <w:szCs w:val="20"/>
          <w:rtl/>
          <w:lang w:val="en-US" w:bidi="he-IL"/>
        </w:rPr>
        <w:t xml:space="preserve">, בפרק על החמור בספרות המקראית.</w:t>
      </w:r>
    </w:p>
  </w:footnote>
  <w:footnote w:id="4">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Kenneth C. Way, "Animals in the Prophetic World: Literary Reflections on Numbers 22 and 1 Kings 13," </w:t>
      </w:r>
      <w:r>
        <w:rPr>
          <w:rFonts w:ascii="Times New Roman" w:cs="David" w:eastAsia="David" w:hAnsi="Times New Roman"/>
          <w:i/>
          <w:iCs/>
          <w:noProof/>
          <w:sz w:val="20"/>
          <w:szCs w:val="20"/>
          <w:rtl w:val="false"/>
          <w:lang w:val="en-US" w:bidi="he-IL"/>
        </w:rPr>
        <w:t xml:space="preserve">Journal for the Study of the Old Testament</w:t>
      </w:r>
      <w:r>
        <w:rPr>
          <w:rFonts w:ascii="Times New Roman" w:cs="David" w:eastAsia="David" w:hAnsi="Times New Roman"/>
          <w:i w:val="false"/>
          <w:iCs w:val="false"/>
          <w:noProof/>
          <w:sz w:val="20"/>
          <w:szCs w:val="20"/>
          <w:rtl w:val="false"/>
          <w:lang w:val="en-US" w:bidi="he-IL"/>
        </w:rPr>
        <w:t xml:space="preserve"> 34, no. 1 (2009): 47-62.</w:t>
      </w:r>
    </w:p>
  </w:footnote>
  <w:footnote w:id="5">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Kenneth C. Way, "Donkey Domain: Zechariah 9:9 and Lexical Semantics," </w:t>
      </w:r>
      <w:r>
        <w:rPr>
          <w:rFonts w:ascii="Times New Roman" w:cs="David" w:eastAsia="David" w:hAnsi="Times New Roman"/>
          <w:i/>
          <w:iCs/>
          <w:noProof/>
          <w:sz w:val="20"/>
          <w:szCs w:val="20"/>
          <w:rtl w:val="false"/>
          <w:lang w:val="en-US" w:bidi="he-IL"/>
        </w:rPr>
        <w:t xml:space="preserve">Journal of Biblical Literature</w:t>
      </w:r>
      <w:r>
        <w:rPr>
          <w:rFonts w:ascii="Times New Roman" w:cs="David" w:eastAsia="David" w:hAnsi="Times New Roman"/>
          <w:i w:val="false"/>
          <w:iCs w:val="false"/>
          <w:noProof/>
          <w:sz w:val="20"/>
          <w:szCs w:val="20"/>
          <w:rtl w:val="false"/>
          <w:lang w:val="en-US" w:bidi="he-IL"/>
        </w:rPr>
        <w:t xml:space="preserve"> 129, no. 1 (2010): 105-114.</w:t>
      </w:r>
    </w:p>
  </w:footnote>
  <w:footnote w:id="6">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עלי יסיף, </w:t>
      </w:r>
      <w:r>
        <w:rPr>
          <w:rFonts w:ascii="Times New Roman" w:cs="David" w:eastAsia="David" w:hAnsi="Times New Roman"/>
          <w:i/>
          <w:iCs/>
          <w:noProof/>
          <w:sz w:val="20"/>
          <w:szCs w:val="20"/>
          <w:rtl/>
          <w:lang w:val="en-US" w:bidi="he-IL"/>
        </w:rPr>
        <w:t xml:space="preserve">סיפור העם העברי: תולדותיו, סוגיו ומשמעותו</w:t>
      </w:r>
      <w:r>
        <w:rPr>
          <w:rFonts w:ascii="Times New Roman" w:cs="David" w:eastAsia="David" w:hAnsi="Times New Roman"/>
          <w:i w:val="false"/>
          <w:iCs w:val="false"/>
          <w:noProof/>
          <w:sz w:val="20"/>
          <w:szCs w:val="20"/>
          <w:rtl/>
          <w:lang w:val="en-US" w:bidi="he-IL"/>
        </w:rPr>
        <w:t xml:space="preserve">, ירושלים: מוסד ביאליק, תשנ"ד, בפרק על ספרות חז"ל.</w:t>
      </w:r>
    </w:p>
  </w:footnote>
  <w:footnote w:id="7">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דוד שטרן, "תפקידו של המשל בספרות חז"ל", </w:t>
      </w:r>
      <w:r>
        <w:rPr>
          <w:rFonts w:ascii="Times New Roman" w:cs="David" w:eastAsia="David" w:hAnsi="Times New Roman"/>
          <w:i/>
          <w:iCs/>
          <w:noProof/>
          <w:sz w:val="20"/>
          <w:szCs w:val="20"/>
          <w:rtl/>
          <w:lang w:val="en-US" w:bidi="he-IL"/>
        </w:rPr>
        <w:t xml:space="preserve">מחקרי ירושלים בספרות עברית</w:t>
      </w:r>
      <w:r>
        <w:rPr>
          <w:rFonts w:ascii="Times New Roman" w:cs="David" w:eastAsia="David" w:hAnsi="Times New Roman"/>
          <w:i w:val="false"/>
          <w:iCs w:val="false"/>
          <w:noProof/>
          <w:sz w:val="20"/>
          <w:szCs w:val="20"/>
          <w:rtl/>
          <w:lang w:val="en-US" w:bidi="he-IL"/>
        </w:rPr>
        <w:t xml:space="preserve"> ז (תשמ"ה), עמ' 90-102, בייחוד עמ' 97.</w:t>
      </w:r>
    </w:p>
  </w:footnote>
  <w:footnote w:id="8">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David Stern, "Rhetoric and Midrash: The Case of the Mashal," </w:t>
      </w:r>
      <w:r>
        <w:rPr>
          <w:rFonts w:ascii="Times New Roman" w:cs="David" w:eastAsia="David" w:hAnsi="Times New Roman"/>
          <w:i/>
          <w:iCs/>
          <w:noProof/>
          <w:sz w:val="20"/>
          <w:szCs w:val="20"/>
          <w:rtl w:val="false"/>
          <w:lang w:val="en-US" w:bidi="he-IL"/>
        </w:rPr>
        <w:t xml:space="preserve">Prooftexts</w:t>
      </w:r>
      <w:r>
        <w:rPr>
          <w:rFonts w:ascii="Times New Roman" w:cs="David" w:eastAsia="David" w:hAnsi="Times New Roman"/>
          <w:i w:val="false"/>
          <w:iCs w:val="false"/>
          <w:noProof/>
          <w:sz w:val="20"/>
          <w:szCs w:val="20"/>
          <w:rtl w:val="false"/>
          <w:lang w:val="en-US" w:bidi="he-IL"/>
        </w:rPr>
        <w:t xml:space="preserve"> 1, no. 3 (1981): 261-291.</w:t>
      </w:r>
    </w:p>
  </w:footnote>
  <w:footnote w:id="9">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Eric Lawee, "The Sins of the Fauna in Midrash, Rashi, and Their Medieval Interlocutors," </w:t>
      </w:r>
      <w:r>
        <w:rPr>
          <w:rFonts w:ascii="Times New Roman" w:cs="David" w:eastAsia="David" w:hAnsi="Times New Roman"/>
          <w:i/>
          <w:iCs/>
          <w:noProof/>
          <w:sz w:val="20"/>
          <w:szCs w:val="20"/>
          <w:rtl w:val="false"/>
          <w:lang w:val="en-US" w:bidi="he-IL"/>
        </w:rPr>
        <w:t xml:space="preserve">Jewish Studies Quarterly</w:t>
      </w:r>
      <w:r>
        <w:rPr>
          <w:rFonts w:ascii="Times New Roman" w:cs="David" w:eastAsia="David" w:hAnsi="Times New Roman"/>
          <w:i w:val="false"/>
          <w:iCs w:val="false"/>
          <w:noProof/>
          <w:sz w:val="20"/>
          <w:szCs w:val="20"/>
          <w:rtl w:val="false"/>
          <w:lang w:val="en-US" w:bidi="he-IL"/>
        </w:rPr>
        <w:t xml:space="preserve"> 17, no. 1 (2010): 56-98.</w:t>
      </w:r>
    </w:p>
  </w:footnote>
  <w:footnote w:id="10">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מספרי פרי, המפתח המקובל למשלי איזופוס, מובאים כפי שהם רשומים אצל </w:t>
      </w:r>
      <w:r>
        <w:rPr>
          <w:rFonts w:ascii="Times New Roman" w:cs="David" w:eastAsia="David" w:hAnsi="Times New Roman"/>
          <w:i w:val="false"/>
          <w:iCs w:val="false"/>
          <w:noProof/>
          <w:sz w:val="20"/>
          <w:szCs w:val="20"/>
          <w:rtl w:val="false"/>
          <w:lang w:val="en-US" w:bidi="he-IL"/>
        </w:rPr>
        <w:t xml:space="preserve">Haim Schwarzbaum, </w:t>
      </w:r>
      <w:r>
        <w:rPr>
          <w:rFonts w:ascii="Times New Roman" w:cs="David" w:eastAsia="David" w:hAnsi="Times New Roman"/>
          <w:i/>
          <w:iCs/>
          <w:noProof/>
          <w:sz w:val="20"/>
          <w:szCs w:val="20"/>
          <w:rtl w:val="false"/>
          <w:lang w:val="en-US" w:bidi="he-IL"/>
        </w:rPr>
        <w:t xml:space="preserve">The Mishle Shu'alim (Fox Fables) of Rabbi Berechiah ha-Nakdan: A Study in Comparative Folklore and Fable Lore</w:t>
      </w:r>
      <w:r>
        <w:rPr>
          <w:rFonts w:ascii="Times New Roman" w:cs="David" w:eastAsia="David" w:hAnsi="Times New Roman"/>
          <w:i w:val="false"/>
          <w:iCs w:val="false"/>
          <w:noProof/>
          <w:sz w:val="20"/>
          <w:szCs w:val="20"/>
          <w:rtl w:val="false"/>
          <w:lang w:val="en-US" w:bidi="he-IL"/>
        </w:rPr>
        <w:t xml:space="preserve">, Kiron: Institute for Jewish and Arab Folklore Research, 1979, </w:t>
      </w:r>
      <w:r>
        <w:rPr>
          <w:rFonts w:ascii="Times New Roman" w:cs="David" w:eastAsia="David" w:hAnsi="Times New Roman"/>
          <w:i w:val="false"/>
          <w:iCs w:val="false"/>
          <w:noProof/>
          <w:sz w:val="20"/>
          <w:szCs w:val="20"/>
          <w:rtl/>
          <w:lang w:val="en-US" w:bidi="he-IL"/>
        </w:rPr>
        <w:t xml:space="preserve">בדיון על כל משל. תרגום עברי: איסופוס, </w:t>
      </w:r>
      <w:r>
        <w:rPr>
          <w:rFonts w:ascii="Times New Roman" w:cs="David" w:eastAsia="David" w:hAnsi="Times New Roman"/>
          <w:i/>
          <w:iCs/>
          <w:noProof/>
          <w:sz w:val="20"/>
          <w:szCs w:val="20"/>
          <w:rtl/>
          <w:lang w:val="en-US" w:bidi="he-IL"/>
        </w:rPr>
        <w:t xml:space="preserve">משלי איסופוס</w:t>
      </w:r>
      <w:r>
        <w:rPr>
          <w:rFonts w:ascii="Times New Roman" w:cs="David" w:eastAsia="David" w:hAnsi="Times New Roman"/>
          <w:i w:val="false"/>
          <w:iCs w:val="false"/>
          <w:noProof/>
          <w:sz w:val="20"/>
          <w:szCs w:val="20"/>
          <w:rtl/>
          <w:lang w:val="en-US" w:bidi="he-IL"/>
        </w:rPr>
        <w:t xml:space="preserve">, תרגם שלמה שפאן, ירושלים: מוסד ביאליק, תש"ך.</w:t>
      </w:r>
    </w:p>
  </w:footnote>
  <w:footnote w:id="11">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lang w:val="en-US" w:bidi="he-IL"/>
        </w:rPr>
        <w:t xml:space="preserve">, בערכים של משלים יד ו-מז (הספר ערוך לפי מספרי המשלים); וכן חיים שורצבוים, "טיפוסים פולקלוריים ומוטיבים עממיים בספר משלי שועלים לרבי ברכיה הנקדן", </w:t>
      </w:r>
      <w:r>
        <w:rPr>
          <w:rFonts w:ascii="Times New Roman" w:cs="David" w:eastAsia="David" w:hAnsi="Times New Roman"/>
          <w:i/>
          <w:iCs/>
          <w:noProof/>
          <w:sz w:val="20"/>
          <w:szCs w:val="20"/>
          <w:rtl/>
          <w:lang w:val="en-US" w:bidi="he-IL"/>
        </w:rPr>
        <w:t xml:space="preserve">דברי הקונגרס העולמי הרביעי למדעי היהדות</w:t>
      </w:r>
      <w:r>
        <w:rPr>
          <w:rFonts w:ascii="Times New Roman" w:cs="David" w:eastAsia="David" w:hAnsi="Times New Roman"/>
          <w:i w:val="false"/>
          <w:iCs w:val="false"/>
          <w:noProof/>
          <w:sz w:val="20"/>
          <w:szCs w:val="20"/>
          <w:rtl/>
          <w:lang w:val="en-US" w:bidi="he-IL"/>
        </w:rPr>
        <w:t xml:space="preserve">, כרך ב, ירושלים: האיגוד העולמי למדעי היהדות, תשכ"ה, עמ' 33-36.</w:t>
      </w:r>
    </w:p>
  </w:footnote>
  <w:footnote w:id="12">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שורצבוים, "טיפוסים פולקלוריים", עמ' 33-34.</w:t>
      </w:r>
    </w:p>
  </w:footnote>
  <w:footnote w:id="13">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Hans-Jörg Uther, </w:t>
      </w:r>
      <w:r>
        <w:rPr>
          <w:rFonts w:ascii="Times New Roman" w:cs="David" w:eastAsia="David" w:hAnsi="Times New Roman"/>
          <w:i/>
          <w:iCs/>
          <w:noProof/>
          <w:sz w:val="20"/>
          <w:szCs w:val="20"/>
          <w:rtl w:val="false"/>
          <w:lang w:val="en-US" w:bidi="he-IL"/>
        </w:rPr>
        <w:t xml:space="preserve">The Types of International Folktales: A Classification and Bibliography</w:t>
      </w:r>
      <w:r>
        <w:rPr>
          <w:rFonts w:ascii="Times New Roman" w:cs="David" w:eastAsia="David" w:hAnsi="Times New Roman"/>
          <w:i w:val="false"/>
          <w:iCs w:val="false"/>
          <w:noProof/>
          <w:sz w:val="20"/>
          <w:szCs w:val="20"/>
          <w:rtl w:val="false"/>
          <w:lang w:val="en-US" w:bidi="he-IL"/>
        </w:rPr>
        <w:t xml:space="preserve">, FF Communications 284-286, Helsinki: Academia Scientiarum Fennica, 2004, vol. 1, nos. 214, 214B.</w:t>
      </w:r>
    </w:p>
  </w:footnote>
  <w:footnote w:id="14">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Stith Thompson, </w:t>
      </w:r>
      <w:r>
        <w:rPr>
          <w:rFonts w:ascii="Times New Roman" w:cs="David" w:eastAsia="David" w:hAnsi="Times New Roman"/>
          <w:i/>
          <w:iCs/>
          <w:noProof/>
          <w:sz w:val="20"/>
          <w:szCs w:val="20"/>
          <w:rtl w:val="false"/>
          <w:lang w:val="en-US" w:bidi="he-IL"/>
        </w:rPr>
        <w:t xml:space="preserve">Motif-Index of Folk-Literature</w:t>
      </w:r>
      <w:r>
        <w:rPr>
          <w:rFonts w:ascii="Times New Roman" w:cs="David" w:eastAsia="David" w:hAnsi="Times New Roman"/>
          <w:i w:val="false"/>
          <w:iCs w:val="false"/>
          <w:noProof/>
          <w:sz w:val="20"/>
          <w:szCs w:val="20"/>
          <w:rtl w:val="false"/>
          <w:lang w:val="en-US" w:bidi="he-IL"/>
        </w:rPr>
        <w:t xml:space="preserve">, 6 vols., Bloomington: Indiana University Press, 1955-1958, motifs J951.1 [</w:t>
      </w:r>
      <w:r>
        <w:rPr>
          <w:rFonts w:ascii="Times New Roman" w:cs="David" w:eastAsia="David" w:hAnsi="Times New Roman"/>
          <w:i w:val="false"/>
          <w:iCs w:val="false"/>
          <w:noProof/>
          <w:sz w:val="20"/>
          <w:szCs w:val="20"/>
          <w:rtl/>
          <w:lang w:val="en-US" w:bidi="he-IL"/>
        </w:rPr>
        <w:t xml:space="preserve">לוודא], </w:t>
      </w:r>
      <w:r>
        <w:rPr>
          <w:rFonts w:ascii="Times New Roman" w:cs="David" w:eastAsia="David" w:hAnsi="Times New Roman"/>
          <w:i w:val="false"/>
          <w:iCs w:val="false"/>
          <w:noProof/>
          <w:sz w:val="20"/>
          <w:szCs w:val="20"/>
          <w:rtl w:val="false"/>
          <w:lang w:val="en-US" w:bidi="he-IL"/>
        </w:rPr>
        <w:t xml:space="preserve">J2413, L315, L315.6.</w:t>
      </w:r>
    </w:p>
  </w:footnote>
  <w:footnote w:id="15">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שורצבוים, "טיפוסים פולקלוריים", עמ' 35, שם מובא הסיפור לפי הנוסח העברי של רבי יעקב בן אלעזר ומהדורת דרנבורג.</w:t>
      </w:r>
    </w:p>
  </w:footnote>
  <w:footnote w:id="16">
    <w:p>
      <w:pPr>
        <w:bidi/>
        <w:spacing w:after="60" w:line="240"/>
        <w:jc w:val="both"/>
      </w:pPr>
      <w:r>
        <w:rPr>
          <w:rStyle w:val="FootnoteReference"/>
        </w:rPr>
        <w:footnoteRef/>
      </w:r>
      <w:r>
        <w:rPr>
          <w:rFonts w:ascii="Times New Roman" w:cs="David" w:eastAsia="David" w:hAnsi="Times New Roman"/>
          <w:i/>
          <w:iCs/>
          <w:noProof/>
          <w:sz w:val="20"/>
          <w:szCs w:val="20"/>
          <w:rtl/>
          <w:lang w:val="en-US" w:bidi="he-IL"/>
        </w:rPr>
        <w:t xml:space="preserve">אלף לילה ולילה</w:t>
      </w:r>
      <w:r>
        <w:rPr>
          <w:rFonts w:ascii="Times New Roman" w:cs="David" w:eastAsia="David" w:hAnsi="Times New Roman"/>
          <w:i w:val="false"/>
          <w:iCs w:val="false"/>
          <w:noProof/>
          <w:sz w:val="20"/>
          <w:szCs w:val="20"/>
          <w:rtl/>
          <w:lang w:val="en-US" w:bidi="he-IL"/>
        </w:rPr>
        <w:t xml:space="preserve">, תרגם מערבית יוסף יואל ריבלין, כרך א, תל אביב: קרית ספר, תש"ז, סיפור המסגרת.</w:t>
      </w:r>
    </w:p>
  </w:footnote>
  <w:footnote w:id="17">
    <w:p>
      <w:pPr>
        <w:bidi/>
        <w:spacing w:after="60" w:line="240"/>
        <w:jc w:val="both"/>
      </w:pPr>
      <w:r>
        <w:rPr>
          <w:rStyle w:val="FootnoteReference"/>
        </w:rPr>
        <w:footnoteRef/>
      </w:r>
      <w:r>
        <w:rPr>
          <w:rFonts w:ascii="Times New Roman" w:cs="David" w:eastAsia="David" w:hAnsi="Times New Roman"/>
          <w:i w:val="false"/>
          <w:iCs w:val="false"/>
          <w:noProof/>
          <w:sz w:val="20"/>
          <w:szCs w:val="20"/>
          <w:rtl w:val="false"/>
          <w:lang w:val="en-US" w:bidi="he-IL"/>
        </w:rPr>
        <w:t xml:space="preserve">"L'âne qui veut jouer avec son maître", </w:t>
      </w:r>
      <w:r>
        <w:rPr>
          <w:rFonts w:ascii="Times New Roman" w:cs="David" w:eastAsia="David" w:hAnsi="Times New Roman"/>
          <w:i w:val="false"/>
          <w:iCs w:val="false"/>
          <w:noProof/>
          <w:sz w:val="20"/>
          <w:szCs w:val="20"/>
          <w:rtl/>
          <w:lang w:val="en-US" w:bidi="he-IL"/>
        </w:rPr>
        <w:t xml:space="preserve">משל 16 במהדורת רוקפור (1820); המספור משתנה בין המהדורות. המקבילה נדונה אצל </w:t>
      </w:r>
      <w:r>
        <w:rPr>
          <w:rFonts w:ascii="Times New Roman" w:cs="David" w:eastAsia="David" w:hAnsi="Times New Roman"/>
          <w:i w:val="false"/>
          <w:iCs w:val="false"/>
          <w:noProof/>
          <w:sz w:val="20"/>
          <w:szCs w:val="20"/>
          <w:rtl w:val="false"/>
          <w:lang w:val="en-US" w:bidi="he-IL"/>
        </w:rPr>
        <w:t xml:space="preserve">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lang w:val="en-US" w:bidi="he-IL"/>
        </w:rPr>
        <w:t xml:space="preserve">, בערך של משל יד.</w:t>
      </w:r>
    </w:p>
  </w:footnote>
  <w:footnote w:id="18">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J. K. Elliott, </w:t>
      </w:r>
      <w:r>
        <w:rPr>
          <w:rFonts w:ascii="Times New Roman" w:cs="David" w:eastAsia="David" w:hAnsi="Times New Roman"/>
          <w:i/>
          <w:iCs/>
          <w:noProof/>
          <w:sz w:val="20"/>
          <w:szCs w:val="20"/>
          <w:rtl w:val="false"/>
          <w:lang w:val="en-US" w:bidi="he-IL"/>
        </w:rPr>
        <w:t xml:space="preserve">The Apocryphal New Testament</w:t>
      </w:r>
      <w:r>
        <w:rPr>
          <w:rFonts w:ascii="Times New Roman" w:cs="David" w:eastAsia="David" w:hAnsi="Times New Roman"/>
          <w:i w:val="false"/>
          <w:iCs w:val="false"/>
          <w:noProof/>
          <w:sz w:val="20"/>
          <w:szCs w:val="20"/>
          <w:rtl w:val="false"/>
          <w:lang w:val="en-US" w:bidi="he-IL"/>
        </w:rPr>
        <w:t xml:space="preserve">, Oxford: Clarendon Press, 1993, Gospel of Pseudo-Matthew, ch. 14.</w:t>
      </w:r>
    </w:p>
  </w:footnote>
  <w:footnote w:id="19">
    <w:p>
      <w:pPr>
        <w:bidi/>
        <w:spacing w:after="60" w:line="240"/>
        <w:jc w:val="both"/>
      </w:pPr>
      <w:r>
        <w:rPr>
          <w:rStyle w:val="FootnoteReference"/>
        </w:rPr>
        <w:footnoteRef/>
      </w:r>
      <w:r>
        <w:rPr>
          <w:rFonts w:ascii="Times New Roman" w:cs="David" w:eastAsia="David" w:hAnsi="Times New Roman"/>
          <w:i/>
          <w:iCs/>
          <w:noProof/>
          <w:sz w:val="20"/>
          <w:szCs w:val="20"/>
          <w:rtl/>
          <w:lang w:val="en-US" w:bidi="he-IL"/>
        </w:rPr>
        <w:t xml:space="preserve">הקוראן</w:t>
      </w:r>
      <w:r>
        <w:rPr>
          <w:rFonts w:ascii="Times New Roman" w:cs="David" w:eastAsia="David" w:hAnsi="Times New Roman"/>
          <w:i w:val="false"/>
          <w:iCs w:val="false"/>
          <w:noProof/>
          <w:sz w:val="20"/>
          <w:szCs w:val="20"/>
          <w:rtl/>
          <w:lang w:val="en-US" w:bidi="he-IL"/>
        </w:rPr>
        <w:t xml:space="preserve">, תרגם מערבית אורי רובין, תל אביב: אוניברסיטת תל אביב, 2005, סורות 31, 62, 74. ההקשר הרביעי הוא סורה 2, פסוק 259, על האיש שחמורו הוחיה לאחר מאה שנה.</w:t>
      </w:r>
    </w:p>
  </w:footnote>
  <w:footnote w:id="20">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Uther, </w:t>
      </w:r>
      <w:r>
        <w:rPr>
          <w:rFonts w:ascii="Times New Roman" w:cs="David" w:eastAsia="David" w:hAnsi="Times New Roman"/>
          <w:i/>
          <w:iCs/>
          <w:noProof/>
          <w:sz w:val="20"/>
          <w:szCs w:val="20"/>
          <w:rtl w:val="false"/>
          <w:lang w:val="en-US" w:bidi="he-IL"/>
        </w:rPr>
        <w:t xml:space="preserve">Types of International Folktales</w:t>
      </w:r>
      <w:r>
        <w:rPr>
          <w:rFonts w:ascii="Times New Roman" w:cs="David" w:eastAsia="David" w:hAnsi="Times New Roman"/>
          <w:i w:val="false"/>
          <w:iCs w:val="false"/>
          <w:noProof/>
          <w:sz w:val="20"/>
          <w:szCs w:val="20"/>
          <w:rtl w:val="false"/>
          <w:lang w:val="en-US" w:bidi="he-IL"/>
        </w:rPr>
        <w:t xml:space="preserve">, no. 130.</w:t>
      </w:r>
    </w:p>
  </w:footnote>
  <w:footnote w:id="21">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Hadas, </w:t>
      </w:r>
      <w:r>
        <w:rPr>
          <w:rFonts w:ascii="Times New Roman" w:cs="David" w:eastAsia="David" w:hAnsi="Times New Roman"/>
          <w:i/>
          <w:iCs/>
          <w:noProof/>
          <w:sz w:val="20"/>
          <w:szCs w:val="20"/>
          <w:rtl w:val="false"/>
          <w:lang w:val="en-US" w:bidi="he-IL"/>
        </w:rPr>
        <w:t xml:space="preserve">Fables of a Jewish Aesop</w:t>
      </w:r>
      <w:r>
        <w:rPr>
          <w:rFonts w:ascii="Times New Roman" w:cs="David" w:eastAsia="David" w:hAnsi="Times New Roman"/>
          <w:i w:val="false"/>
          <w:iCs w:val="false"/>
          <w:noProof/>
          <w:sz w:val="20"/>
          <w:szCs w:val="20"/>
          <w:rtl w:val="false"/>
          <w:lang w:val="en-US" w:bidi="he-IL"/>
        </w:rPr>
        <w:t xml:space="preserve">, Introduction; 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val="false"/>
          <w:lang w:val="en-US" w:bidi="he-IL"/>
        </w:rPr>
        <w:t xml:space="preserve">, Introduction.</w:t>
      </w:r>
    </w:p>
  </w:footnote>
  <w:footnote w:id="22">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Hadas, </w:t>
      </w:r>
      <w:r>
        <w:rPr>
          <w:rFonts w:ascii="Times New Roman" w:cs="David" w:eastAsia="David" w:hAnsi="Times New Roman"/>
          <w:i/>
          <w:iCs/>
          <w:noProof/>
          <w:sz w:val="20"/>
          <w:szCs w:val="20"/>
          <w:rtl w:val="false"/>
          <w:lang w:val="en-US" w:bidi="he-IL"/>
        </w:rPr>
        <w:t xml:space="preserve">Fables of a Jewish Aesop</w:t>
      </w:r>
      <w:r>
        <w:rPr>
          <w:rFonts w:ascii="Times New Roman" w:cs="David" w:eastAsia="David" w:hAnsi="Times New Roman"/>
          <w:i w:val="false"/>
          <w:iCs w:val="false"/>
          <w:noProof/>
          <w:sz w:val="20"/>
          <w:szCs w:val="20"/>
          <w:rtl w:val="false"/>
          <w:lang w:val="en-US" w:bidi="he-IL"/>
        </w:rPr>
        <w:t xml:space="preserve">, Introduction.</w:t>
      </w:r>
    </w:p>
  </w:footnote>
  <w:footnote w:id="23">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עלי יסיף, "הסיפור האקסמפלארי בספר חסידים", </w:t>
      </w:r>
      <w:r>
        <w:rPr>
          <w:rFonts w:ascii="Times New Roman" w:cs="David" w:eastAsia="David" w:hAnsi="Times New Roman"/>
          <w:i/>
          <w:iCs/>
          <w:noProof/>
          <w:sz w:val="20"/>
          <w:szCs w:val="20"/>
          <w:rtl/>
          <w:lang w:val="en-US" w:bidi="he-IL"/>
        </w:rPr>
        <w:t xml:space="preserve">תרביץ</w:t>
      </w:r>
      <w:r>
        <w:rPr>
          <w:rFonts w:ascii="Times New Roman" w:cs="David" w:eastAsia="David" w:hAnsi="Times New Roman"/>
          <w:i w:val="false"/>
          <w:iCs w:val="false"/>
          <w:noProof/>
          <w:sz w:val="20"/>
          <w:szCs w:val="20"/>
          <w:rtl/>
          <w:lang w:val="en-US" w:bidi="he-IL"/>
        </w:rPr>
        <w:t xml:space="preserve"> נז (תשמ"ח), עמ' 217-255, בעמ' 220-221.</w:t>
      </w:r>
    </w:p>
  </w:footnote>
  <w:footnote w:id="24">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Berechiah ha-Nakdan, </w:t>
      </w:r>
      <w:r>
        <w:rPr>
          <w:rFonts w:ascii="Times New Roman" w:cs="David" w:eastAsia="David" w:hAnsi="Times New Roman"/>
          <w:i/>
          <w:iCs/>
          <w:noProof/>
          <w:sz w:val="20"/>
          <w:szCs w:val="20"/>
          <w:rtl w:val="false"/>
          <w:lang w:val="en-US" w:bidi="he-IL"/>
        </w:rPr>
        <w:t xml:space="preserve">Fables of a Jewish Aesop</w:t>
      </w:r>
      <w:r>
        <w:rPr>
          <w:rFonts w:ascii="Times New Roman" w:cs="David" w:eastAsia="David" w:hAnsi="Times New Roman"/>
          <w:i w:val="false"/>
          <w:iCs w:val="false"/>
          <w:noProof/>
          <w:sz w:val="20"/>
          <w:szCs w:val="20"/>
          <w:rtl w:val="false"/>
          <w:lang w:val="en-US" w:bidi="he-IL"/>
        </w:rPr>
        <w:t xml:space="preserve">, trans. Moses Hadas, New York: Columbia University Press, 1967; 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lang w:val="en-US" w:bidi="he-IL"/>
        </w:rPr>
        <w:t xml:space="preserve">.</w:t>
      </w:r>
    </w:p>
  </w:footnote>
  <w:footnote w:id="25">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Eli Yassif, "The Hebrew Narrative Anthology in the Middle Ages," </w:t>
      </w:r>
      <w:r>
        <w:rPr>
          <w:rFonts w:ascii="Times New Roman" w:cs="David" w:eastAsia="David" w:hAnsi="Times New Roman"/>
          <w:i/>
          <w:iCs/>
          <w:noProof/>
          <w:sz w:val="20"/>
          <w:szCs w:val="20"/>
          <w:rtl w:val="false"/>
          <w:lang w:val="en-US" w:bidi="he-IL"/>
        </w:rPr>
        <w:t xml:space="preserve">Prooftexts</w:t>
      </w:r>
      <w:r>
        <w:rPr>
          <w:rFonts w:ascii="Times New Roman" w:cs="David" w:eastAsia="David" w:hAnsi="Times New Roman"/>
          <w:i w:val="false"/>
          <w:iCs w:val="false"/>
          <w:noProof/>
          <w:sz w:val="20"/>
          <w:szCs w:val="20"/>
          <w:rtl w:val="false"/>
          <w:lang w:val="en-US" w:bidi="he-IL"/>
        </w:rPr>
        <w:t xml:space="preserve"> 17, no. 2 (1997): 153-175.</w:t>
      </w:r>
    </w:p>
  </w:footnote>
  <w:footnote w:id="26">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val="false"/>
          <w:lang w:val="en-US" w:bidi="he-IL"/>
        </w:rPr>
        <w:t xml:space="preserve">, Introduction; </w:t>
      </w:r>
      <w:r>
        <w:rPr>
          <w:rFonts w:ascii="Times New Roman" w:cs="David" w:eastAsia="David" w:hAnsi="Times New Roman"/>
          <w:i w:val="false"/>
          <w:iCs w:val="false"/>
          <w:noProof/>
          <w:sz w:val="20"/>
          <w:szCs w:val="20"/>
          <w:rtl/>
          <w:lang w:val="en-US" w:bidi="he-IL"/>
        </w:rPr>
        <w:t xml:space="preserve">שורצבוים, "טיפוסים פולקלוריים", עמ' 34-36.</w:t>
      </w:r>
    </w:p>
  </w:footnote>
  <w:footnote w:id="27">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דן פגיס, </w:t>
      </w:r>
      <w:r>
        <w:rPr>
          <w:rFonts w:ascii="Times New Roman" w:cs="David" w:eastAsia="David" w:hAnsi="Times New Roman"/>
          <w:i/>
          <w:iCs/>
          <w:noProof/>
          <w:sz w:val="20"/>
          <w:szCs w:val="20"/>
          <w:rtl/>
          <w:lang w:val="en-US" w:bidi="he-IL"/>
        </w:rPr>
        <w:t xml:space="preserve">חידוש ומסורת בשירת החול העברית: ספרד ואיטליה</w:t>
      </w:r>
      <w:r>
        <w:rPr>
          <w:rFonts w:ascii="Times New Roman" w:cs="David" w:eastAsia="David" w:hAnsi="Times New Roman"/>
          <w:i w:val="false"/>
          <w:iCs w:val="false"/>
          <w:noProof/>
          <w:sz w:val="20"/>
          <w:szCs w:val="20"/>
          <w:rtl/>
          <w:lang w:val="en-US" w:bidi="he-IL"/>
        </w:rPr>
        <w:t xml:space="preserve">, ירושלים: כתר, 1976, בדיון בשיבוץ.</w:t>
      </w:r>
    </w:p>
  </w:footnote>
  <w:footnote w:id="28">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ענת שפירא, "המשל הנרטיבי-ספרותי ב'סדר אליהו' לאור המשל הדרשני בספרות חז"ל", </w:t>
      </w:r>
      <w:r>
        <w:rPr>
          <w:rFonts w:ascii="Times New Roman" w:cs="David" w:eastAsia="David" w:hAnsi="Times New Roman"/>
          <w:i/>
          <w:iCs/>
          <w:noProof/>
          <w:sz w:val="20"/>
          <w:szCs w:val="20"/>
          <w:rtl/>
          <w:lang w:val="en-US" w:bidi="he-IL"/>
        </w:rPr>
        <w:t xml:space="preserve">מרקמים: תרבות, ספרות, פולקלור, לגלית חזן-רוקם</w:t>
      </w:r>
      <w:r>
        <w:rPr>
          <w:rFonts w:ascii="Times New Roman" w:cs="David" w:eastAsia="David" w:hAnsi="Times New Roman"/>
          <w:i w:val="false"/>
          <w:iCs w:val="false"/>
          <w:noProof/>
          <w:sz w:val="20"/>
          <w:szCs w:val="20"/>
          <w:rtl/>
          <w:lang w:val="en-US" w:bidi="he-IL"/>
        </w:rPr>
        <w:t xml:space="preserve">, כרך א (= </w:t>
      </w:r>
      <w:r>
        <w:rPr>
          <w:rFonts w:ascii="Times New Roman" w:cs="David" w:eastAsia="David" w:hAnsi="Times New Roman"/>
          <w:i/>
          <w:iCs/>
          <w:noProof/>
          <w:sz w:val="20"/>
          <w:szCs w:val="20"/>
          <w:rtl/>
          <w:lang w:val="en-US" w:bidi="he-IL"/>
        </w:rPr>
        <w:t xml:space="preserve">מחקרי ירושלים בספרות עברית</w:t>
      </w:r>
      <w:r>
        <w:rPr>
          <w:rFonts w:ascii="Times New Roman" w:cs="David" w:eastAsia="David" w:hAnsi="Times New Roman"/>
          <w:i w:val="false"/>
          <w:iCs w:val="false"/>
          <w:noProof/>
          <w:sz w:val="20"/>
          <w:szCs w:val="20"/>
          <w:rtl/>
          <w:lang w:val="en-US" w:bidi="he-IL"/>
        </w:rPr>
        <w:t xml:space="preserve"> כה), ירושלים: המכון למדעי היהדות ע"ש מנדל, תשע"ג, עמ' 133-151, בעמ' 133-135, 150.</w:t>
      </w:r>
    </w:p>
  </w:footnote>
  <w:footnote w:id="29">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Daniel Boyarin, "An Exchange on the Mashal: Rhetoric and Interpretation: The Case of the Nimshal," </w:t>
      </w:r>
      <w:r>
        <w:rPr>
          <w:rFonts w:ascii="Times New Roman" w:cs="David" w:eastAsia="David" w:hAnsi="Times New Roman"/>
          <w:i/>
          <w:iCs/>
          <w:noProof/>
          <w:sz w:val="20"/>
          <w:szCs w:val="20"/>
          <w:rtl w:val="false"/>
          <w:lang w:val="en-US" w:bidi="he-IL"/>
        </w:rPr>
        <w:t xml:space="preserve">Prooftexts</w:t>
      </w:r>
      <w:r>
        <w:rPr>
          <w:rFonts w:ascii="Times New Roman" w:cs="David" w:eastAsia="David" w:hAnsi="Times New Roman"/>
          <w:i w:val="false"/>
          <w:iCs w:val="false"/>
          <w:noProof/>
          <w:sz w:val="20"/>
          <w:szCs w:val="20"/>
          <w:rtl w:val="false"/>
          <w:lang w:val="en-US" w:bidi="he-IL"/>
        </w:rPr>
        <w:t xml:space="preserve"> 5, no. 3 (1985): 269-276.</w:t>
      </w:r>
    </w:p>
  </w:footnote>
  <w:footnote w:id="30">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ברכיה הנקדן, </w:t>
      </w:r>
      <w:r>
        <w:rPr>
          <w:rFonts w:ascii="Times New Roman" w:cs="David" w:eastAsia="David" w:hAnsi="Times New Roman"/>
          <w:i/>
          <w:iCs/>
          <w:noProof/>
          <w:sz w:val="20"/>
          <w:szCs w:val="20"/>
          <w:rtl/>
          <w:lang w:val="en-US" w:bidi="he-IL"/>
        </w:rPr>
        <w:t xml:space="preserve">משלי שועלים</w:t>
      </w:r>
      <w:r>
        <w:rPr>
          <w:rFonts w:ascii="Times New Roman" w:cs="David" w:eastAsia="David" w:hAnsi="Times New Roman"/>
          <w:i w:val="false"/>
          <w:iCs w:val="false"/>
          <w:noProof/>
          <w:sz w:val="20"/>
          <w:szCs w:val="20"/>
          <w:rtl/>
          <w:lang w:val="en-US" w:bidi="he-IL"/>
        </w:rPr>
        <w:t xml:space="preserve">, הקדמת המחבר, מהדורת הברמן [לוודא עמודים וציטוט מדויק].</w:t>
      </w:r>
    </w:p>
  </w:footnote>
  <w:footnote w:id="31">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יסיף, "הסיפור האקסמפלארי", עמ' 220.</w:t>
      </w:r>
    </w:p>
  </w:footnote>
  <w:footnote w:id="32">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ברכיה הנקדן, </w:t>
      </w:r>
      <w:r>
        <w:rPr>
          <w:rFonts w:ascii="Times New Roman" w:cs="David" w:eastAsia="David" w:hAnsi="Times New Roman"/>
          <w:i/>
          <w:iCs/>
          <w:noProof/>
          <w:sz w:val="20"/>
          <w:szCs w:val="20"/>
          <w:rtl/>
          <w:lang w:val="en-US" w:bidi="he-IL"/>
        </w:rPr>
        <w:t xml:space="preserve">משלי שועלים</w:t>
      </w:r>
      <w:r>
        <w:rPr>
          <w:rFonts w:ascii="Times New Roman" w:cs="David" w:eastAsia="David" w:hAnsi="Times New Roman"/>
          <w:i w:val="false"/>
          <w:iCs w:val="false"/>
          <w:noProof/>
          <w:sz w:val="20"/>
          <w:szCs w:val="20"/>
          <w:rtl/>
          <w:lang w:val="en-US" w:bidi="he-IL"/>
        </w:rPr>
        <w:t xml:space="preserve">, משל סה, מהדורת הברמן [לוודא נוסח החרוז הפותח].</w:t>
      </w:r>
    </w:p>
  </w:footnote>
  <w:footnote w:id="33">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פדרוס א, יא (פרי 151), לפי </w:t>
      </w:r>
      <w:r>
        <w:rPr>
          <w:rFonts w:ascii="Times New Roman" w:cs="David" w:eastAsia="David" w:hAnsi="Times New Roman"/>
          <w:i w:val="false"/>
          <w:iCs w:val="false"/>
          <w:noProof/>
          <w:sz w:val="20"/>
          <w:szCs w:val="20"/>
          <w:rtl w:val="false"/>
          <w:lang w:val="en-US" w:bidi="he-IL"/>
        </w:rPr>
        <w:t xml:space="preserve">Schwarzbaum, </w:t>
      </w:r>
      <w:r>
        <w:rPr>
          <w:rFonts w:ascii="Times New Roman" w:cs="David" w:eastAsia="David" w:hAnsi="Times New Roman"/>
          <w:i/>
          <w:iCs/>
          <w:noProof/>
          <w:sz w:val="20"/>
          <w:szCs w:val="20"/>
          <w:rtl w:val="false"/>
          <w:lang w:val="en-US" w:bidi="he-IL"/>
        </w:rPr>
        <w:t xml:space="preserve">Mishle Shu'alim</w:t>
      </w:r>
      <w:r>
        <w:rPr>
          <w:rFonts w:ascii="Times New Roman" w:cs="David" w:eastAsia="David" w:hAnsi="Times New Roman"/>
          <w:i w:val="false"/>
          <w:iCs w:val="false"/>
          <w:noProof/>
          <w:sz w:val="20"/>
          <w:szCs w:val="20"/>
          <w:rtl/>
          <w:lang w:val="en-US" w:bidi="he-IL"/>
        </w:rPr>
        <w:t xml:space="preserve">, בערך של משל סה.</w:t>
      </w:r>
    </w:p>
  </w:footnote>
  <w:footnote w:id="34">
    <w:p>
      <w:pPr>
        <w:bidi w:val="false"/>
        <w:spacing w:after="60" w:line="240"/>
        <w:jc w:val="left"/>
      </w:pPr>
      <w:r>
        <w:rPr>
          <w:rStyle w:val="FootnoteReference"/>
        </w:rPr>
        <w:footnoteRef/>
      </w:r>
      <w:r>
        <w:rPr>
          <w:rFonts w:ascii="Times New Roman" w:cs="David" w:eastAsia="David" w:hAnsi="Times New Roman"/>
          <w:i w:val="false"/>
          <w:iCs w:val="false"/>
          <w:noProof/>
          <w:sz w:val="20"/>
          <w:szCs w:val="20"/>
          <w:rtl w:val="false"/>
          <w:lang w:val="en-US" w:bidi="he-IL"/>
        </w:rPr>
        <w:t xml:space="preserve">Way, "Animals in the Prophetic World," </w:t>
      </w:r>
      <w:r>
        <w:rPr>
          <w:rFonts w:ascii="Times New Roman" w:cs="David" w:eastAsia="David" w:hAnsi="Times New Roman"/>
          <w:i w:val="false"/>
          <w:iCs w:val="false"/>
          <w:noProof/>
          <w:sz w:val="20"/>
          <w:szCs w:val="20"/>
          <w:rtl/>
          <w:lang w:val="en-US" w:bidi="he-IL"/>
        </w:rPr>
        <w:t xml:space="preserve">בדיון במלכים א יג.</w:t>
      </w:r>
    </w:p>
  </w:footnote>
  <w:footnote w:id="35">
    <w:p>
      <w:pPr>
        <w:bidi/>
        <w:spacing w:after="60" w:line="240"/>
        <w:jc w:val="both"/>
      </w:pPr>
      <w:r>
        <w:rPr>
          <w:rStyle w:val="FootnoteReference"/>
        </w:rPr>
        <w:footnoteRef/>
      </w:r>
      <w:r>
        <w:rPr>
          <w:rFonts w:ascii="Times New Roman" w:cs="David" w:eastAsia="David" w:hAnsi="Times New Roman"/>
          <w:i/>
          <w:iCs/>
          <w:noProof/>
          <w:sz w:val="20"/>
          <w:szCs w:val="20"/>
          <w:rtl/>
          <w:lang w:val="en-US" w:bidi="he-IL"/>
        </w:rPr>
        <w:t xml:space="preserve">מבחר הפנינים</w:t>
      </w:r>
      <w:r>
        <w:rPr>
          <w:rFonts w:ascii="Times New Roman" w:cs="David" w:eastAsia="David" w:hAnsi="Times New Roman"/>
          <w:i w:val="false"/>
          <w:iCs w:val="false"/>
          <w:noProof/>
          <w:sz w:val="20"/>
          <w:szCs w:val="20"/>
          <w:rtl/>
          <w:lang w:val="en-US" w:bidi="he-IL"/>
        </w:rPr>
        <w:t xml:space="preserve">, המיוחס לשלמה אבן גבירול, מהדורת א"מ הברמן, מרחביה: ספרית פועלים, תש"ז, שער השתיקה. והשווה משלי יז, כח: "גם אויל מחריש חכם יחשב".</w:t>
      </w:r>
    </w:p>
  </w:footnote>
  <w:footnote w:id="36">
    <w:p>
      <w:pPr>
        <w:bidi/>
        <w:spacing w:after="60" w:line="240"/>
        <w:jc w:val="both"/>
      </w:pPr>
      <w:r>
        <w:rPr>
          <w:rStyle w:val="FootnoteReference"/>
        </w:rPr>
        <w:footnoteRef/>
      </w:r>
      <w:r>
        <w:rPr>
          <w:rFonts w:ascii="Times New Roman" w:cs="David" w:eastAsia="David" w:hAnsi="Times New Roman"/>
          <w:i w:val="false"/>
          <w:iCs w:val="false"/>
          <w:noProof/>
          <w:sz w:val="20"/>
          <w:szCs w:val="20"/>
          <w:rtl/>
          <w:lang w:val="en-US" w:bidi="he-IL"/>
        </w:rPr>
        <w:t xml:space="preserve">שטרן, "תפקידו של המשל", עמ' 97; שפירא, "המשל הנרטיבי-ספרותי", עמ' 150; </w:t>
      </w:r>
      <w:r>
        <w:rPr>
          <w:rFonts w:ascii="Times New Roman" w:cs="David" w:eastAsia="David" w:hAnsi="Times New Roman"/>
          <w:i w:val="false"/>
          <w:iCs w:val="false"/>
          <w:noProof/>
          <w:sz w:val="20"/>
          <w:szCs w:val="20"/>
          <w:rtl w:val="false"/>
          <w:lang w:val="en-US" w:bidi="he-IL"/>
        </w:rPr>
        <w:t xml:space="preserve">Boyarin, "An Exchange on the Mashal," pp. 269-272.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noProof/>
        <w:sz w:val="24"/>
        <w:szCs w:val="24"/>
        <w:lang w:val="en-US" w:bidi="he-I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David" w:eastAsia="David" w:hAnsi="Times New Roman"/>
      <w:b/>
      <w:bCs/>
      <w:sz w:val="32"/>
      <w:szCs w:val="32"/>
    </w:rPr>
  </w:style>
  <w:style w:type="paragraph" w:styleId="Heading2">
    <w:name w:val="Heading 2"/>
    <w:basedOn w:val="Normal"/>
    <w:next w:val="Normal"/>
    <w:qFormat/>
    <w:pPr>
      <w:outlineLvl w:val="1"/>
    </w:pPr>
    <w:rPr>
      <w:rFonts w:ascii="Times New Roman" w:cs="David" w:eastAsia="David"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f55ffcbdb7a96452bb9a29f1e27e0375b128c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דמות החמור במשלי שועלים לרבי ברכיה הנקדן</dc:title>
  <dc:creator>Seminar</dc:creator>
  <cp:lastModifiedBy>Un-named</cp:lastModifiedBy>
  <cp:revision>1</cp:revision>
  <dcterms:created xsi:type="dcterms:W3CDTF">2026-10-05T18:03:46.519Z</dcterms:created>
  <dcterms:modified xsi:type="dcterms:W3CDTF">2026-10-05T18:03:46.519Z</dcterms:modified>
</cp:coreProperties>
</file>

<file path=docProps/custom.xml><?xml version="1.0" encoding="utf-8"?>
<Properties xmlns="http://schemas.openxmlformats.org/officeDocument/2006/custom-properties" xmlns:vt="http://schemas.openxmlformats.org/officeDocument/2006/docPropsVTypes"/>
</file>