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r>
        <w:rPr>
          <w:rFonts w:ascii="David" w:cs="David" w:eastAsia="David" w:hAnsi="David"/>
          <w:b/>
          <w:bCs/>
          <w:sz w:val="28"/>
          <w:szCs w:val="28"/>
          <w:rtl/>
          <w:lang w:val="en-US" w:bidi="he-IL"/>
        </w:rPr>
        <w:t xml:space="preserve">הקריה האקדמית אונו</w:t>
      </w:r>
    </w:p>
    <w:p>
      <w:pPr>
        <w:bidi/>
        <w:spacing w:after="120" w:before="0" w:line="360"/>
        <w:jc w:val="center"/>
      </w:pPr>
      <w:r>
        <w:rPr>
          <w:rFonts w:ascii="David" w:cs="David" w:eastAsia="David" w:hAnsi="David"/>
          <w:sz w:val="24"/>
          <w:szCs w:val="24"/>
          <w:rtl/>
          <w:lang w:val="en-US" w:bidi="he-IL"/>
        </w:rPr>
        <w:t xml:space="preserve">הפקולטה למדעי הרוח והחברה</w:t>
      </w:r>
    </w:p>
    <w:p>
      <w:pPr>
        <w:bidi/>
        <w:spacing w:after="1400" w:before="0" w:line="360"/>
        <w:jc w:val="center"/>
      </w:pPr>
      <w:r>
        <w:rPr>
          <w:rFonts w:ascii="David" w:cs="David" w:eastAsia="David" w:hAnsi="David"/>
          <w:sz w:val="24"/>
          <w:szCs w:val="24"/>
          <w:rtl/>
          <w:lang w:val="en-US" w:bidi="he-IL"/>
        </w:rPr>
        <w:t xml:space="preserve">התוכנית לתואר שני בחינוך</w:t>
      </w:r>
    </w:p>
    <w:p>
      <w:pPr>
        <w:bidi/>
        <w:spacing w:after="120" w:before="0" w:line="360"/>
        <w:jc w:val="center"/>
      </w:pPr>
      <w:r>
        <w:rPr>
          <w:rFonts w:ascii="David" w:cs="David" w:eastAsia="David" w:hAnsi="David"/>
          <w:b/>
          <w:bCs/>
          <w:sz w:val="32"/>
          <w:szCs w:val="32"/>
          <w:rtl/>
          <w:lang w:val="en-US" w:bidi="he-I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lang w:val="en-US" w:bidi="he-I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lang w:val="en-US" w:bidi="he-IL"/>
        </w:rPr>
        <w:t xml:space="preserve">עבודה סמינריונית עיונית</w:t>
      </w:r>
    </w:p>
    <w:p>
      <w:pPr>
        <w:bidi/>
        <w:spacing w:after="120" w:before="0" w:line="360"/>
        <w:jc w:val="center"/>
      </w:pPr>
      <w:r>
        <w:rPr>
          <w:rFonts w:ascii="David" w:cs="David" w:eastAsia="David" w:hAnsi="David"/>
          <w:sz w:val="24"/>
          <w:szCs w:val="24"/>
          <w:rtl/>
          <w:lang w:val="en-US" w:bidi="he-IL"/>
        </w:rPr>
        <w:t xml:space="preserve">שם הקורס: סמינר בחינוך המיוחד (7618)</w:t>
      </w:r>
    </w:p>
    <w:p>
      <w:pPr>
        <w:bidi/>
        <w:spacing w:after="600" w:before="0" w:line="360"/>
        <w:jc w:val="center"/>
      </w:pPr>
      <w:r>
        <w:rPr>
          <w:rFonts w:ascii="David" w:cs="David" w:eastAsia="David" w:hAnsi="David"/>
          <w:sz w:val="24"/>
          <w:szCs w:val="24"/>
          <w:rtl/>
          <w:lang w:val="en-US" w:bidi="he-IL"/>
        </w:rPr>
        <w:t xml:space="preserve">שם המרצה: ד"ר נאילה תלס מחאגנה</w:t>
      </w:r>
    </w:p>
    <w:p>
      <w:pPr>
        <w:bidi/>
        <w:spacing w:after="120" w:before="0" w:line="360"/>
        <w:jc w:val="center"/>
      </w:pPr>
      <w:r>
        <w:rPr>
          <w:rFonts w:ascii="David" w:cs="David" w:eastAsia="David" w:hAnsi="David"/>
          <w:sz w:val="24"/>
          <w:szCs w:val="24"/>
          <w:rtl/>
          <w:lang w:val="en-US" w:bidi="he-IL"/>
        </w:rPr>
        <w:t xml:space="preserve">מגישה: הייכל מרווה</w:t>
      </w:r>
    </w:p>
    <w:p>
      <w:pPr>
        <w:bidi/>
        <w:spacing w:after="600" w:before="0" w:line="360"/>
        <w:jc w:val="center"/>
      </w:pPr>
      <w:r>
        <w:rPr>
          <w:rFonts w:ascii="David" w:cs="David" w:eastAsia="David" w:hAnsi="David"/>
          <w:sz w:val="24"/>
          <w:szCs w:val="24"/>
          <w:rtl/>
          <w:lang w:val="en-US" w:bidi="he-IL"/>
        </w:rPr>
        <w:t xml:space="preserve">ת"ז: 205769862</w:t>
      </w:r>
    </w:p>
    <w:p>
      <w:pPr>
        <w:bidi/>
        <w:spacing w:after="120" w:before="0" w:line="360"/>
        <w:jc w:val="center"/>
      </w:pPr>
      <w:r>
        <w:rPr>
          <w:rFonts w:ascii="David" w:cs="David" w:eastAsia="David" w:hAnsi="David"/>
          <w:sz w:val="24"/>
          <w:szCs w:val="24"/>
          <w:rtl/>
          <w:lang w:val="en-US" w:bidi="he-I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\z \u </w:instrText>
          </w:r>
          <w:r>
            <w:fldChar w:fldCharType="separate"/>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1. מבוא</w:t>
          </w:r>
          <w:r>
            <w:rPr>
              <w:rFonts w:ascii="David" w:hAnsi="David" w:cs="David"/>
              <w:sz w:val="24"/>
              <w:szCs w:val="24"/>
              <w:lang w:val="en-US" w:bidi="he-IL"/>
            </w:rPr>
            <w:tab/>
          </w:r>
          <w:r>
            <w:rPr>
              <w:rFonts w:ascii="David" w:hAnsi="David" w:cs="David"/>
              <w:sz w:val="24"/>
              <w:szCs w:val="24"/>
              <w:lang w:val="en-US" w:bidi="he-IL"/>
            </w:rPr>
            <w:t>3</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1.1 הצגת הנושא וההקשר הכללי</w:t>
          </w:r>
          <w:r>
            <w:rPr>
              <w:rFonts w:ascii="David" w:hAnsi="David" w:cs="David"/>
              <w:sz w:val="24"/>
              <w:szCs w:val="24"/>
              <w:lang w:val="en-US" w:bidi="he-IL"/>
            </w:rPr>
            <w:tab/>
          </w:r>
          <w:r>
            <w:rPr>
              <w:rFonts w:ascii="David" w:hAnsi="David" w:cs="David"/>
              <w:sz w:val="24"/>
              <w:szCs w:val="24"/>
              <w:lang w:val="en-US" w:bidi="he-IL"/>
            </w:rPr>
            <w:t>3</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1.2 מיקוד בסוגיה הנחקרת</w:t>
          </w:r>
          <w:r>
            <w:rPr>
              <w:rFonts w:ascii="David" w:hAnsi="David" w:cs="David"/>
              <w:sz w:val="24"/>
              <w:szCs w:val="24"/>
              <w:lang w:val="en-US" w:bidi="he-IL"/>
            </w:rPr>
            <w:tab/>
          </w:r>
          <w:r>
            <w:rPr>
              <w:rFonts w:ascii="David" w:hAnsi="David" w:cs="David"/>
              <w:sz w:val="24"/>
              <w:szCs w:val="24"/>
              <w:lang w:val="en-US" w:bidi="he-IL"/>
            </w:rPr>
            <w:t>3</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1.3 הגדרת מושגים מרכזיים</w:t>
          </w:r>
          <w:r>
            <w:rPr>
              <w:rFonts w:ascii="David" w:hAnsi="David" w:cs="David"/>
              <w:sz w:val="24"/>
              <w:szCs w:val="24"/>
              <w:lang w:val="en-US" w:bidi="he-IL"/>
            </w:rPr>
            <w:tab/>
          </w:r>
          <w:r>
            <w:rPr>
              <w:rFonts w:ascii="David" w:hAnsi="David" w:cs="David"/>
              <w:sz w:val="24"/>
              <w:szCs w:val="24"/>
              <w:lang w:val="en-US" w:bidi="he-IL"/>
            </w:rPr>
            <w:t>4</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1.4 הבעיה המרכזית, חשיבות הנושא והפער העיוני</w:t>
          </w:r>
          <w:r>
            <w:rPr>
              <w:rFonts w:ascii="David" w:hAnsi="David" w:cs="David"/>
              <w:sz w:val="24"/>
              <w:szCs w:val="24"/>
              <w:lang w:val="en-US" w:bidi="he-IL"/>
            </w:rPr>
            <w:tab/>
          </w:r>
          <w:r>
            <w:rPr>
              <w:rFonts w:ascii="David" w:hAnsi="David" w:cs="David"/>
              <w:sz w:val="24"/>
              <w:szCs w:val="24"/>
              <w:lang w:val="en-US" w:bidi="he-IL"/>
            </w:rPr>
            <w:t>4</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1.5 מטרות העבודה</w:t>
          </w:r>
          <w:r>
            <w:rPr>
              <w:rFonts w:ascii="David" w:hAnsi="David" w:cs="David"/>
              <w:sz w:val="24"/>
              <w:szCs w:val="24"/>
              <w:lang w:val="en-US" w:bidi="he-IL"/>
            </w:rPr>
            <w:tab/>
          </w:r>
          <w:r>
            <w:rPr>
              <w:rFonts w:ascii="David" w:hAnsi="David" w:cs="David"/>
              <w:sz w:val="24"/>
              <w:szCs w:val="24"/>
              <w:lang w:val="en-US" w:bidi="he-IL"/>
            </w:rPr>
            <w:t>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1.6 שאלת המחקר</w:t>
          </w:r>
          <w:r>
            <w:rPr>
              <w:rFonts w:ascii="David" w:hAnsi="David" w:cs="David"/>
              <w:sz w:val="24"/>
              <w:szCs w:val="24"/>
              <w:lang w:val="en-US" w:bidi="he-IL"/>
            </w:rPr>
            <w:tab/>
          </w:r>
          <w:r>
            <w:rPr>
              <w:rFonts w:ascii="David" w:hAnsi="David" w:cs="David"/>
              <w:sz w:val="24"/>
              <w:szCs w:val="24"/>
              <w:lang w:val="en-US" w:bidi="he-IL"/>
            </w:rPr>
            <w:t>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1.7 רציונל העבודה</w:t>
          </w:r>
          <w:r>
            <w:rPr>
              <w:rFonts w:ascii="David" w:hAnsi="David" w:cs="David"/>
              <w:sz w:val="24"/>
              <w:szCs w:val="24"/>
              <w:lang w:val="en-US" w:bidi="he-IL"/>
            </w:rPr>
            <w:tab/>
          </w:r>
          <w:r>
            <w:rPr>
              <w:rFonts w:ascii="David" w:hAnsi="David" w:cs="David"/>
              <w:sz w:val="24"/>
              <w:szCs w:val="24"/>
              <w:lang w:val="en-US" w:bidi="he-IL"/>
            </w:rPr>
            <w:t>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1.8 מבנה העבודה</w:t>
          </w:r>
          <w:r>
            <w:rPr>
              <w:rFonts w:ascii="David" w:hAnsi="David" w:cs="David"/>
              <w:sz w:val="24"/>
              <w:szCs w:val="24"/>
              <w:lang w:val="en-US" w:bidi="he-IL"/>
            </w:rPr>
            <w:tab/>
          </w:r>
          <w:r>
            <w:rPr>
              <w:rFonts w:ascii="David" w:hAnsi="David" w:cs="David"/>
              <w:sz w:val="24"/>
              <w:szCs w:val="24"/>
              <w:lang w:val="en-US" w:bidi="he-IL"/>
            </w:rPr>
            <w:t>6</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2. סקירת ספרות</w:t>
          </w:r>
          <w:r>
            <w:rPr>
              <w:rFonts w:ascii="David" w:hAnsi="David" w:cs="David"/>
              <w:sz w:val="24"/>
              <w:szCs w:val="24"/>
              <w:lang w:val="en-US" w:bidi="he-IL"/>
            </w:rPr>
            <w:tab/>
          </w:r>
          <w:r>
            <w:rPr>
              <w:rFonts w:ascii="David" w:hAnsi="David" w:cs="David"/>
              <w:sz w:val="24"/>
              <w:szCs w:val="24"/>
              <w:lang w:val="en-US" w:bidi="he-IL"/>
            </w:rPr>
            <w:t>7</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2.1 תפקודים ניהוליים בגיל הגן ופרופיל הילדים על הרצף האוטיסטי</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2.1.1 מהם תפקודים ניהוליים ומדוע גיל הגן הוא תקופה מכרעת</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2.1.2 השאלה הטרמינולוגית: "תפקוד גבוה" מול רמת תמיכה</w:t>
          </w:r>
          <w:r>
            <w:rPr>
              <w:rFonts w:ascii="David" w:hAnsi="David" w:cs="David"/>
              <w:sz w:val="24"/>
              <w:szCs w:val="24"/>
              <w:lang w:val="en-US" w:bidi="he-IL"/>
            </w:rPr>
            <w:tab/>
          </w:r>
          <w:r>
            <w:rPr>
              <w:rFonts w:ascii="David" w:hAnsi="David" w:cs="David"/>
              <w:sz w:val="24"/>
              <w:szCs w:val="24"/>
              <w:lang w:val="en-US" w:bidi="he-IL"/>
            </w:rPr>
            <w:t>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2.1.3 הפרופיל הניהולי של ילדי גן על הרצף</w:t>
          </w:r>
          <w:r>
            <w:rPr>
              <w:rFonts w:ascii="David" w:hAnsi="David" w:cs="David"/>
              <w:sz w:val="24"/>
              <w:szCs w:val="24"/>
              <w:lang w:val="en-US" w:bidi="he-IL"/>
            </w:rPr>
            <w:tab/>
          </w:r>
          <w:r>
            <w:rPr>
              <w:rFonts w:ascii="David" w:hAnsi="David" w:cs="David"/>
              <w:sz w:val="24"/>
              <w:szCs w:val="24"/>
              <w:lang w:val="en-US" w:bidi="he-IL"/>
            </w:rPr>
            <w:t>9</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2.1.4 הקשר בין תפקודים ניהוליים לשפה ולתקשורת חברתית</w:t>
          </w:r>
          <w:r>
            <w:rPr>
              <w:rFonts w:ascii="David" w:hAnsi="David" w:cs="David"/>
              <w:sz w:val="24"/>
              <w:szCs w:val="24"/>
              <w:lang w:val="en-US" w:bidi="he-IL"/>
            </w:rPr>
            <w:tab/>
          </w:r>
          <w:r>
            <w:rPr>
              <w:rFonts w:ascii="David" w:hAnsi="David" w:cs="David"/>
              <w:sz w:val="24"/>
              <w:szCs w:val="24"/>
              <w:lang w:val="en-US" w:bidi="he-IL"/>
            </w:rPr>
            <w:t>10</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2.1.5 הערכה בגיל הגן: מה מודדים ומי מודד</w:t>
          </w:r>
          <w:r>
            <w:rPr>
              <w:rFonts w:ascii="David" w:hAnsi="David" w:cs="David"/>
              <w:sz w:val="24"/>
              <w:szCs w:val="24"/>
              <w:lang w:val="en-US" w:bidi="he-IL"/>
            </w:rPr>
            <w:tab/>
          </w:r>
          <w:r>
            <w:rPr>
              <w:rFonts w:ascii="David" w:hAnsi="David" w:cs="David"/>
              <w:sz w:val="24"/>
              <w:szCs w:val="24"/>
              <w:lang w:val="en-US" w:bidi="he-IL"/>
            </w:rPr>
            <w:t>10</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2.2 הצוות הפרא-רפואי בגן: תפקידים, מודלים של התערבות ושיתוף פעולה</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2.2.1 ההקשר הישראלי: גני תקשורת, שילוב והורים</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2.2.2 ריפוי בעיסוק בגן: ממודל רפואי למודל אקולוגי</w:t>
          </w:r>
          <w:r>
            <w:rPr>
              <w:rFonts w:ascii="David" w:hAnsi="David" w:cs="David"/>
              <w:sz w:val="24"/>
              <w:szCs w:val="24"/>
              <w:lang w:val="en-US" w:bidi="he-IL"/>
            </w:rPr>
            <w:tab/>
          </w:r>
          <w:r>
            <w:rPr>
              <w:rFonts w:ascii="David" w:hAnsi="David" w:cs="David"/>
              <w:sz w:val="24"/>
              <w:szCs w:val="24"/>
              <w:lang w:val="en-US" w:bidi="he-IL"/>
            </w:rPr>
            <w:t>12</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2.2.3 גישות מטה-קוגניטיביות בריפוי בעיסוק: CO-OP</w:t>
          </w:r>
          <w:r>
            <w:rPr>
              <w:rFonts w:ascii="David" w:hAnsi="David" w:cs="David"/>
              <w:sz w:val="24"/>
              <w:szCs w:val="24"/>
              <w:lang w:val="en-US" w:bidi="he-IL"/>
            </w:rPr>
            <w:tab/>
          </w:r>
          <w:r>
            <w:rPr>
              <w:rFonts w:ascii="David" w:hAnsi="David" w:cs="David"/>
              <w:sz w:val="24"/>
              <w:szCs w:val="24"/>
              <w:lang w:val="en-US" w:bidi="he-IL"/>
            </w:rPr>
            <w:t>13</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2.2.4 קלינאות תקשורת בגן: מהי ההתערבות ומי מבצע אותה</w:t>
          </w:r>
          <w:r>
            <w:rPr>
              <w:rFonts w:ascii="David" w:hAnsi="David" w:cs="David"/>
              <w:sz w:val="24"/>
              <w:szCs w:val="24"/>
              <w:lang w:val="en-US" w:bidi="he-IL"/>
            </w:rPr>
            <w:tab/>
          </w:r>
          <w:r>
            <w:rPr>
              <w:rFonts w:ascii="David" w:hAnsi="David" w:cs="David"/>
              <w:sz w:val="24"/>
              <w:szCs w:val="24"/>
              <w:lang w:val="en-US" w:bidi="he-IL"/>
            </w:rPr>
            <w:t>14</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2.2.5 שיתוף פעולה בין-מקצועי: מה מקדם ומה חוסם</w:t>
          </w:r>
          <w:r>
            <w:rPr>
              <w:rFonts w:ascii="David" w:hAnsi="David" w:cs="David"/>
              <w:sz w:val="24"/>
              <w:szCs w:val="24"/>
              <w:lang w:val="en-US" w:bidi="he-IL"/>
            </w:rPr>
            <w:tab/>
          </w:r>
          <w:r>
            <w:rPr>
              <w:rFonts w:ascii="David" w:hAnsi="David" w:cs="David"/>
              <w:sz w:val="24"/>
              <w:szCs w:val="24"/>
              <w:lang w:val="en-US" w:bidi="he-IL"/>
            </w:rPr>
            <w:t>15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2.3 תרומת ההתערבויות לתפקודים ניהוליים: ממצאים, מחלוקות ופערים</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2.3.1 התערבויות בריפוי בעיסוק עם יעד ניהולי מפורש</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2.3.2 התערבויות של קלינאות תקשורת: פרגמטיקה ומה שמאחוריה</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2.3.3 התערבויות מתווכות בגן: משחק, בובה ושיר</w:t>
          </w:r>
          <w:r>
            <w:rPr>
              <w:rFonts w:ascii="David" w:hAnsi="David" w:cs="David"/>
              <w:sz w:val="24"/>
              <w:szCs w:val="24"/>
              <w:lang w:val="en-US" w:bidi="he-IL"/>
            </w:rPr>
            <w:tab/>
          </w:r>
          <w:r>
            <w:rPr>
              <w:rFonts w:ascii="David" w:hAnsi="David" w:cs="David"/>
              <w:sz w:val="24"/>
              <w:szCs w:val="24"/>
              <w:lang w:val="en-US" w:bidi="he-IL"/>
            </w:rPr>
            <w:t>17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2.3.4 הפרספקטיבה ההתייחסותית: חרדה ונוקשות</w:t>
          </w:r>
          <w:r>
            <w:rPr>
              <w:rFonts w:ascii="David" w:hAnsi="David" w:cs="David"/>
              <w:sz w:val="24"/>
              <w:szCs w:val="24"/>
              <w:lang w:val="en-US" w:bidi="he-IL"/>
            </w:rPr>
            <w:tab/>
          </w:r>
          <w:r>
            <w:rPr>
              <w:rFonts w:ascii="David" w:hAnsi="David" w:cs="David"/>
              <w:sz w:val="24"/>
              <w:szCs w:val="24"/>
              <w:lang w:val="en-US" w:bidi="he-IL"/>
            </w:rPr>
            <w:t>18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2.3.5 נקודות הסכמה, הבדלים וסתירות בין המחקרים</w:t>
          </w:r>
          <w:r>
            <w:rPr>
              <w:rFonts w:ascii="David" w:hAnsi="David" w:cs="David"/>
              <w:sz w:val="24"/>
              <w:szCs w:val="24"/>
              <w:lang w:val="en-US" w:bidi="he-IL"/>
            </w:rPr>
            <w:tab/>
          </w:r>
          <w:r>
            <w:rPr>
              <w:rFonts w:ascii="David" w:hAnsi="David" w:cs="David"/>
              <w:sz w:val="24"/>
              <w:szCs w:val="24"/>
              <w:lang w:val="en-US" w:bidi="he-IL"/>
            </w:rPr>
            <w:t>19</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3. דיון</w:t>
          </w:r>
          <w:r>
            <w:rPr>
              <w:rFonts w:ascii="David" w:hAnsi="David" w:cs="David"/>
              <w:sz w:val="24"/>
              <w:szCs w:val="24"/>
              <w:lang w:val="en-US" w:bidi="he-IL"/>
            </w:rPr>
            <w:tab/>
          </w:r>
          <w:r>
            <w:rPr>
              <w:rFonts w:ascii="David" w:hAnsi="David" w:cs="David"/>
              <w:sz w:val="24"/>
              <w:szCs w:val="24"/>
              <w:lang w:val="en-US" w:bidi="he-IL"/>
            </w:rPr>
            <w:t>22</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4. סיכום ומסקנות</w:t>
          </w:r>
          <w:r>
            <w:rPr>
              <w:rFonts w:ascii="David" w:hAnsi="David" w:cs="David"/>
              <w:sz w:val="24"/>
              <w:szCs w:val="24"/>
              <w:lang w:val="en-US" w:bidi="he-IL"/>
            </w:rPr>
            <w:tab/>
          </w:r>
          <w:r>
            <w:rPr>
              <w:rFonts w:ascii="David" w:hAnsi="David" w:cs="David"/>
              <w:sz w:val="24"/>
              <w:szCs w:val="24"/>
              <w:lang w:val="en-US" w:bidi="he-IL"/>
            </w:rPr>
            <w:t>28</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רשימת מקורות</w:t>
          </w:r>
          <w:r>
            <w:rPr>
              <w:rFonts w:ascii="David" w:hAnsi="David" w:cs="David"/>
              <w:sz w:val="24"/>
              <w:szCs w:val="24"/>
              <w:lang w:val="en-US" w:bidi="he-IL"/>
            </w:rPr>
            <w:tab/>
          </w:r>
          <w:r>
            <w:rPr>
              <w:rFonts w:ascii="David" w:hAnsi="David" w:cs="David"/>
              <w:sz w:val="24"/>
              <w:szCs w:val="24"/>
              <w:lang w:val="en-US" w:bidi="he-IL"/>
            </w:rPr>
            <w:t>30</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lang w:val="en-US" w:bidi="he-IL"/>
        </w:rPr>
        <w:t xml:space="preserve">1. מבוא</w:t>
      </w:r>
    </w:p>
    <w:p>
      <w:pPr>
        <w:pStyle w:val="Heading2"/>
        <w:bidi/>
        <w:spacing w:after="120" w:before="240" w:line="360"/>
        <w:jc w:val="right"/>
      </w:pPr>
      <w:r>
        <w:rPr>
          <w:rFonts w:ascii="David" w:cs="David" w:eastAsia="David" w:hAnsi="David"/>
          <w:b/>
          <w:bCs/>
          <w:sz w:val="28"/>
          <w:szCs w:val="28"/>
          <w:rtl/>
          <w:lang w:val="en-US" w:bidi="he-IL"/>
        </w:rPr>
        <w:t xml:space="preserve">1.1 הצגת הנושא וההקשר הכללי</w:t>
      </w:r>
    </w:p>
    <w:p>
      <w:pPr>
        <w:bidi/>
        <w:spacing w:after="120" w:line="360" w:lineRule="auto"/>
        <w:ind w:firstLine="720"/>
        <w:jc w:val="both"/>
      </w:pPr>
      <w:r>
        <w:rPr>
          <w:rFonts w:ascii="David" w:cs="David" w:eastAsia="David" w:hAnsi="David"/>
          <w:sz w:val="24"/>
          <w:szCs w:val="24"/>
          <w:rtl/>
          <w:lang w:val="en-US" w:bidi="he-I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הקשיים האלה אינם קשיים בידע. הם קשיים בתפקודים הניהוליים, מערכת של יכולות קוגניטיביות שמאפשרת לילד לווסת את התנהגותו, להחזיק מידע בראש ולשנות כיוון כשהמצב משתנה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בגיל הגן התפקודים הניהוליים מתפתחים במהירות, והם מנבאים מוכנות לבית הספר יותר מאשר מנת משכל או ידע אקדמי מוקדם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אצל ילדים על הרצף האוטיסטי ללא לקות שכלית, הפער בין היכולת השכלית לבין התפקוד היומיומי בגן נובע במידה רבה מהתחום הזה.</w:t>
      </w:r>
    </w:p>
    <w:p>
      <w:pPr>
        <w:bidi/>
        <w:spacing w:after="120" w:line="360" w:lineRule="auto"/>
        <w:ind w:firstLine="720"/>
        <w:jc w:val="both"/>
      </w:pPr>
      <w:r>
        <w:rPr>
          <w:rFonts w:ascii="David" w:cs="David" w:eastAsia="David" w:hAnsi="David"/>
          <w:sz w:val="24"/>
          <w:szCs w:val="24"/>
          <w:rtl/>
          <w:lang w:val="en-US" w:bidi="he-IL"/>
        </w:rPr>
        <w:t xml:space="preserve">במסגרות החינוך בישראל, הן בגני התקשורת והן בגנים הרגילים שבהם משולבים ילדים על הרצף, פועל לצד הגננת צוות פרא-רפואי: מרפאות בעיסוק, קלינאיות תקשורת ולעיתים גם פיזיותרפיסטיות. הצוות הזה מגיע לגן לשעות מוגדרות, עובד עם הילדים באופן פרטני או קבוצתי, ולעיתים גם מדריך את הצוות החינוכי. השאלה מה בדיוק תורמת העבודה הזאת לתפקודים הניהוליים של הילדים, ובאילו תנאים התרומה מתממשת, אינה זוכה למענה ישיר בספרות. הספרות על תפקודים ניהוליים באוטיזם עוסקת בעיקר במדידה ובפרופיל,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pStyle w:val="Heading2"/>
        <w:bidi/>
        <w:spacing w:after="120" w:before="240" w:line="360"/>
        <w:jc w:val="right"/>
      </w:pPr>
      <w:r>
        <w:rPr>
          <w:rFonts w:ascii="David" w:cs="David" w:eastAsia="David" w:hAnsi="David"/>
          <w:b/>
          <w:bCs/>
          <w:sz w:val="28"/>
          <w:szCs w:val="28"/>
          <w:rtl/>
          <w:lang w:val="en-US" w:bidi="he-IL"/>
        </w:rPr>
        <w:t xml:space="preserve">1.2 מיקוד בסוגיה הנחקרת</w:t>
      </w:r>
    </w:p>
    <w:p>
      <w:pPr>
        <w:bidi/>
        <w:spacing w:after="120" w:line="360" w:lineRule="auto"/>
        <w:ind w:firstLine="720"/>
        <w:jc w:val="both"/>
      </w:pPr>
      <w:r>
        <w:rPr>
          <w:rFonts w:ascii="David" w:cs="David" w:eastAsia="David" w:hAnsi="David"/>
          <w:sz w:val="24"/>
          <w:szCs w:val="24"/>
          <w:rtl/>
          <w:lang w:val="en-US" w:bidi="he-IL"/>
        </w:rPr>
        <w:t xml:space="preserve">העבודה הנוכחית מבקשת לבנות את החיבור הזה. היא נשענת בעיקר על ספרות מחקרית מהשנים 2020 עד 2025, בעברית ובאנגלית, לצד מקורות יסוד ותיקים יותר, ובוחנת מה ידוע על תרומת ההתערבויות הפרא-רפואיות לקידום תפקודים ניהוליים אצל ילדי גן על הרצף האוטיסטי ללא לקות שכלית, ומה עדיין אינו ידוע. הבחירה במונח "אוטיזם בתפקוד גבוה" בכותרת העבודה נובעת מהשכיחות שלו בשיח המקצועי בישראל. במדריך האבחוני העדכני המונח אינו מופיע, והאבחנה מוגדרת לפי רמת התמיכה הנדרשת ולפי קיומה או היעדרה של לקות שכלית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בגוף העבודה ייעשה שימוש במונח "ילדים על הרצף האוטיסטי ללא לקות שכלית", והשאלה הטרמינולוגית תידון בפרק הראשון של הסקירה.</w:t>
      </w:r>
    </w:p>
    <w:p>
      <w:pPr>
        <w:pStyle w:val="Heading2"/>
        <w:bidi/>
        <w:spacing w:after="120" w:before="240" w:line="360"/>
        <w:jc w:val="right"/>
      </w:pPr>
      <w:r>
        <w:rPr>
          <w:rFonts w:ascii="David" w:cs="David" w:eastAsia="David" w:hAnsi="David"/>
          <w:b/>
          <w:bCs/>
          <w:sz w:val="28"/>
          <w:szCs w:val="28"/>
          <w:rtl/>
          <w:lang w:val="en-US" w:bidi="he-IL"/>
        </w:rPr>
        <w:t xml:space="preserve">1.3 הגדרת מושגים מרכזיים</w:t>
      </w:r>
    </w:p>
    <w:p>
      <w:pPr>
        <w:bidi/>
        <w:spacing w:after="120" w:line="360" w:lineRule="auto"/>
        <w:ind w:firstLine="720"/>
        <w:jc w:val="both"/>
      </w:pPr>
      <w:r>
        <w:rPr>
          <w:rFonts w:ascii="David" w:cs="David" w:eastAsia="David" w:hAnsi="David"/>
          <w:sz w:val="24"/>
          <w:szCs w:val="24"/>
          <w:rtl/>
          <w:lang w:val="en-US" w:bidi="he-IL"/>
        </w:rPr>
        <w:t xml:space="preserve">תפקודים ניהוליים הם משפחה של תהליכים קוגניטיביים מלמעלה למטה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גבוהים יותר כמו תכנון, חשיבה מופשטת ופתרון בעיות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העבודה הזאת מתייחסת לארבעה תפקודים: עכבה, זיכרון עבודה, גמישות מחשבתית ותכנון, משום שאלה ארבעת התפקודים שכלי ההערכה המקובלים בגיל הגן מודדים.</w:t>
      </w:r>
    </w:p>
    <w:p>
      <w:pPr>
        <w:bidi/>
        <w:spacing w:after="120" w:line="360" w:lineRule="auto"/>
        <w:ind w:firstLine="720"/>
        <w:jc w:val="both"/>
      </w:pPr>
      <w:r>
        <w:rPr>
          <w:rFonts w:ascii="David" w:cs="David" w:eastAsia="David" w:hAnsi="David"/>
          <w:sz w:val="24"/>
          <w:szCs w:val="24"/>
          <w:rtl/>
          <w:lang w:val="en-US" w:bidi="he-IL"/>
        </w:rPr>
        <w:t xml:space="preserve">הצוות הפרא-רפואי בגן, לצורך העבודה הזאת,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ולא משום שאינם חשובים אלא משום שהספרות עליהם בהקשר של תפקודים ניהוליים בגיל הגן דלה עוד יותר.</w:t>
      </w:r>
    </w:p>
    <w:p>
      <w:pPr>
        <w:bidi/>
        <w:spacing w:after="120" w:line="360" w:lineRule="auto"/>
        <w:ind w:firstLine="720"/>
        <w:jc w:val="both"/>
      </w:pPr>
      <w:r>
        <w:rPr>
          <w:rFonts w:ascii="David" w:cs="David" w:eastAsia="David" w:hAnsi="David"/>
          <w:sz w:val="24"/>
          <w:szCs w:val="24"/>
          <w:rtl/>
          <w:lang w:val="en-US" w:bidi="he-IL"/>
        </w:rPr>
        <w:t xml:space="preserve">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נמצאת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בישראל ילדים אלה לומדים בגני תקשורת, בגנים רגילים בליווי סייעת ושעות טיפול, או במסגרות משולבות.</w:t>
      </w:r>
    </w:p>
    <w:p>
      <w:pPr>
        <w:pStyle w:val="Heading2"/>
        <w:bidi/>
        <w:spacing w:after="120" w:before="240" w:line="360"/>
        <w:jc w:val="right"/>
      </w:pPr>
      <w:r>
        <w:rPr>
          <w:rFonts w:ascii="David" w:cs="David" w:eastAsia="David" w:hAnsi="David"/>
          <w:b/>
          <w:bCs/>
          <w:sz w:val="28"/>
          <w:szCs w:val="28"/>
          <w:rtl/>
          <w:lang w:val="en-US" w:bidi="he-IL"/>
        </w:rPr>
        <w:t xml:space="preserve">1.4 הבעיה המרכזית, חשיבות הנושא והפער העיוני</w:t>
      </w:r>
    </w:p>
    <w:p>
      <w:pPr>
        <w:bidi/>
        <w:spacing w:after="120" w:line="360" w:lineRule="auto"/>
        <w:ind w:firstLine="720"/>
        <w:jc w:val="both"/>
      </w:pPr>
      <w:r>
        <w:rPr>
          <w:rFonts w:ascii="David" w:cs="David" w:eastAsia="David" w:hAnsi="David"/>
          <w:sz w:val="24"/>
          <w:szCs w:val="24"/>
          <w:rtl/>
          <w:lang w:val="en-US" w:bidi="he-IL"/>
        </w:rPr>
        <w:t xml:space="preserve">הבעיה המרכזית שהעבודה עוסקת בה היא פער כפול. הפער הראשון הוא אצל הילד: בין יכולת שכלית תקינה לבין תפקוד ניהולי פגוע, שמתבטא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העבודה מבקשת לצמצם את הפער השני כדי שאפשר יהיה לפעול על הראשון.</w:t>
      </w:r>
    </w:p>
    <w:p>
      <w:pPr>
        <w:bidi/>
        <w:spacing w:after="120" w:line="360" w:lineRule="auto"/>
        <w:ind w:firstLine="720"/>
        <w:jc w:val="both"/>
      </w:pPr>
      <w:r>
        <w:rPr>
          <w:rFonts w:ascii="David" w:cs="David" w:eastAsia="David" w:hAnsi="David"/>
          <w:sz w:val="24"/>
          <w:szCs w:val="24"/>
          <w:rtl/>
          <w:lang w:val="en-US" w:bidi="he-IL"/>
        </w:rPr>
        <w:t xml:space="preserve">שלוש סיבות הופכות את הנושא לדחוף. הראשונה היא ההתפתחותית: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אם התפקודים הניהוליים הם מנבא, הם גם יעד להתערבות מוקדמת.</w:t>
      </w:r>
    </w:p>
    <w:p>
      <w:pPr>
        <w:bidi/>
        <w:spacing w:after="120" w:line="360" w:lineRule="auto"/>
        <w:ind w:firstLine="720"/>
        <w:jc w:val="both"/>
      </w:pPr>
      <w:r>
        <w:rPr>
          <w:rFonts w:ascii="David" w:cs="David" w:eastAsia="David" w:hAnsi="David"/>
          <w:sz w:val="24"/>
          <w:szCs w:val="24"/>
          <w:rtl/>
          <w:lang w:val="en-US" w:bidi="he-IL"/>
        </w:rPr>
        <w:t xml:space="preserve">הסיבה השנייה היא מערכתית. הצוות הפרא-רפואי כבר נמצא בגן. השאלה אינה אם להוסיף משאב אלא כיצד להשתמש במשאב קיים באופן שמכוון לתפקודים הניהוליים. סקר שנערך בישראל בקרב מורות ומרפאות בעיסוק מצא שרוב גדול משתי הקבוצות מכיר בחשיבותה של התערבות בתוך הכיתה, ושכמעט כל המרפאות בעיסוק רצו ליישם אותה (שטנגר ופדה, 2020). הרצון קיים. מה שחסר הוא ידע מאורגן על מה עובד ולמה.</w:t>
      </w:r>
    </w:p>
    <w:p>
      <w:pPr>
        <w:bidi/>
        <w:spacing w:after="120" w:line="360" w:lineRule="auto"/>
        <w:ind w:firstLine="720"/>
        <w:jc w:val="both"/>
      </w:pPr>
      <w:r>
        <w:rPr>
          <w:rFonts w:ascii="David" w:cs="David" w:eastAsia="David" w:hAnsi="David"/>
          <w:sz w:val="24"/>
          <w:szCs w:val="24"/>
          <w:rtl/>
          <w:lang w:val="en-US" w:bidi="he-IL"/>
        </w:rPr>
        <w:t xml:space="preserve">הסיבה השלישית היא הפער בספרות עצמה.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האוטיסטי, והספרות הישראלית עוסקת בעיקר בהורים, בשילוב ובתפקידי המקצועות הטיפוליים. העבודה הזאת מנסה לקרוא את שני גופי הידע יחד.</w:t>
      </w:r>
    </w:p>
    <w:p>
      <w:pPr>
        <w:pStyle w:val="Heading2"/>
        <w:bidi/>
        <w:spacing w:after="120" w:before="240" w:line="360"/>
        <w:jc w:val="right"/>
      </w:pPr>
      <w:r>
        <w:rPr>
          <w:rFonts w:ascii="David" w:cs="David" w:eastAsia="David" w:hAnsi="David"/>
          <w:b/>
          <w:bCs/>
          <w:sz w:val="28"/>
          <w:szCs w:val="28"/>
          <w:rtl/>
          <w:lang w:val="en-US" w:bidi="he-IL"/>
        </w:rPr>
        <w:t xml:space="preserve">1.5 מטרות העבודה</w:t>
      </w:r>
    </w:p>
    <w:p>
      <w:pPr>
        <w:bidi/>
        <w:spacing w:after="120" w:line="360" w:lineRule="auto"/>
        <w:ind w:firstLine="720"/>
        <w:jc w:val="both"/>
      </w:pPr>
      <w:r>
        <w:rPr>
          <w:rFonts w:ascii="David" w:cs="David" w:eastAsia="David" w:hAnsi="David"/>
          <w:sz w:val="24"/>
          <w:szCs w:val="24"/>
          <w:rtl/>
          <w:lang w:val="en-US" w:bidi="he-IL"/>
        </w:rPr>
        <w:t xml:space="preserve">לעבודה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w:t>
      </w:r>
    </w:p>
    <w:p>
      <w:pPr>
        <w:pStyle w:val="Heading2"/>
        <w:bidi/>
        <w:spacing w:after="120" w:before="240" w:line="360"/>
        <w:jc w:val="right"/>
      </w:pPr>
      <w:r>
        <w:rPr>
          <w:rFonts w:ascii="David" w:cs="David" w:eastAsia="David" w:hAnsi="David"/>
          <w:b/>
          <w:bCs/>
          <w:sz w:val="28"/>
          <w:szCs w:val="28"/>
          <w:rtl/>
          <w:lang w:val="en-US" w:bidi="he-IL"/>
        </w:rPr>
        <w:t xml:space="preserve">1.6 שאלת המחקר</w:t>
      </w:r>
    </w:p>
    <w:p>
      <w:pPr>
        <w:bidi/>
        <w:spacing w:after="120" w:line="360" w:lineRule="auto"/>
        <w:ind w:firstLine="720"/>
        <w:jc w:val="both"/>
      </w:pPr>
      <w:r>
        <w:rPr>
          <w:rFonts w:ascii="David" w:cs="David" w:eastAsia="David" w:hAnsi="David"/>
          <w:sz w:val="24"/>
          <w:szCs w:val="24"/>
          <w:rtl/>
          <w:lang w:val="en-US" w:bidi="he-IL"/>
        </w:rPr>
        <w:t xml:space="preserve">שאלת המחקר המרכזית: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pStyle w:val="Heading2"/>
        <w:bidi/>
        <w:spacing w:after="120" w:before="240" w:line="360"/>
        <w:jc w:val="right"/>
      </w:pPr>
      <w:r>
        <w:rPr>
          <w:rFonts w:ascii="David" w:cs="David" w:eastAsia="David" w:hAnsi="David"/>
          <w:b/>
          <w:bCs/>
          <w:sz w:val="28"/>
          <w:szCs w:val="28"/>
          <w:rtl/>
          <w:lang w:val="en-US" w:bidi="he-IL"/>
        </w:rPr>
        <w:t xml:space="preserve">1.7 רציונל העבודה</w:t>
      </w:r>
    </w:p>
    <w:p>
      <w:pPr>
        <w:bidi/>
        <w:spacing w:after="120" w:line="360" w:lineRule="auto"/>
        <w:ind w:firstLine="720"/>
        <w:jc w:val="both"/>
      </w:pPr>
      <w:r>
        <w:rPr>
          <w:rFonts w:ascii="David" w:cs="David" w:eastAsia="David" w:hAnsi="David"/>
          <w:sz w:val="24"/>
          <w:szCs w:val="24"/>
          <w:rtl/>
          <w:lang w:val="en-US" w:bidi="he-IL"/>
        </w:rPr>
        <w:t xml:space="preserve">הרציונל לבחירת שאלה עיונית ולא אמפירית הוא כפול. ראשית, לפני שמודדים תרומה בשטח יש לברר מה הספרות כבר יודעת, ואיזו טענה אפשר לבסס עליה. שנית, הפיצול בין גופי הידע השונים, ספרות המדידה, ספרות ההתערבות וספרות ההקשר הישראלי, הוא בעצמו הבעיה שהעבודה מנסה לפתור, ופתרונה דורש אינטגרציה ולא איסוף נתונים נוסף.</w:t>
      </w:r>
    </w:p>
    <w:p>
      <w:pPr>
        <w:pStyle w:val="Heading2"/>
        <w:bidi/>
        <w:spacing w:after="120" w:before="240" w:line="360"/>
        <w:jc w:val="right"/>
      </w:pPr>
      <w:r>
        <w:rPr>
          <w:rFonts w:ascii="David" w:cs="David" w:eastAsia="David" w:hAnsi="David"/>
          <w:b/>
          <w:bCs/>
          <w:sz w:val="28"/>
          <w:szCs w:val="28"/>
          <w:rtl/>
          <w:lang w:val="en-US" w:bidi="he-IL"/>
        </w:rPr>
        <w:t xml:space="preserve">1.8 מבנה העבודה</w:t>
      </w:r>
    </w:p>
    <w:p>
      <w:pPr>
        <w:bidi/>
        <w:spacing w:after="120" w:line="360" w:lineRule="auto"/>
        <w:ind w:firstLine="720"/>
        <w:jc w:val="both"/>
      </w:pPr>
      <w:r>
        <w:rPr>
          <w:rFonts w:ascii="David" w:cs="David" w:eastAsia="David" w:hAnsi="David"/>
          <w:sz w:val="24"/>
          <w:szCs w:val="24"/>
          <w:rtl/>
          <w:lang w:val="en-US" w:bidi="he-IL"/>
        </w:rPr>
        <w:t xml:space="preserve">סקירת הספרות בנויה משלוש תמות. התמה הראשונה עוסקת בתפקודים ניהוליים בגיל הגן ובפרופיל שלהם אצל ילדים על הרצף, כולל שאלת המדידה. התמה השנייה עוסקת בצוות הפרא-רפואי בגן: תפקידיו, מודלי ההתערבות שלו והספרות על שיתוף פעולה בינו לבין הצוות החינוכי, עם דגש על ההקשר הישראלי. התמה השלישית בוחנת את הממצאים על תרומת ההתערבויות לתפקודים הניהוליים, את המחלוקות ואת הפערים. פרק הדיון חוזר לשאלת המחקר ומציע מענה מנומק, ופרק הסיכום מציג מסקנות והמלצות ליישום ולמחקר המשך.</w:t>
      </w:r>
    </w:p>
    <w:p>
      <w:r>
        <w:br w:type="page"/>
      </w:r>
    </w:p>
    <w:p>
      <w:pPr>
        <w:pStyle w:val="Heading1"/>
        <w:bidi/>
        <w:spacing w:after="240" w:before="240" w:line="360"/>
        <w:jc w:val="right"/>
      </w:pPr>
      <w:r>
        <w:rPr>
          <w:rFonts w:ascii="David" w:cs="David" w:eastAsia="David" w:hAnsi="David"/>
          <w:b/>
          <w:bCs/>
          <w:sz w:val="32"/>
          <w:szCs w:val="32"/>
          <w:rtl/>
          <w:lang w:val="en-US" w:bidi="he-IL"/>
        </w:rPr>
        <w:t xml:space="preserve">2. סקירת ספרות</w:t>
      </w:r>
    </w:p>
    <w:p>
      <w:pPr>
        <w:pStyle w:val="Heading2"/>
        <w:bidi/>
        <w:spacing w:after="120" w:before="240" w:line="360"/>
        <w:jc w:val="right"/>
      </w:pPr>
      <w:r>
        <w:rPr>
          <w:rFonts w:ascii="David" w:cs="David" w:eastAsia="David" w:hAnsi="David"/>
          <w:b/>
          <w:bCs/>
          <w:sz w:val="28"/>
          <w:szCs w:val="28"/>
          <w:rtl/>
          <w:lang w:val="en-US" w:bidi="he-I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lang w:val="en-US" w:bidi="he-IL"/>
        </w:rPr>
        <w:t xml:space="preserve">2.1.1 מהם תפקודים ניהוליים ומדוע גיל הגן הוא תקופה מכרעת</w:t>
      </w:r>
    </w:p>
    <w:p>
      <w:pPr>
        <w:bidi/>
        <w:spacing w:after="120" w:line="360" w:lineRule="auto"/>
        <w:ind w:firstLine="720"/>
        <w:jc w:val="both"/>
      </w:pPr>
      <w:r>
        <w:rPr>
          <w:rFonts w:ascii="David" w:cs="David" w:eastAsia="David" w:hAnsi="David"/>
          <w:sz w:val="24"/>
          <w:szCs w:val="24"/>
          <w:rtl/>
          <w:lang w:val="en-US" w:bidi="he-IL"/>
        </w:rPr>
        <w:t xml:space="preserve">המונח תפקודים ניהוליים מתאר מערכת ולא יכולת אחת. 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ind w:firstLine="720"/>
        <w:jc w:val="both"/>
      </w:pPr>
      <w:r>
        <w:rPr>
          <w:rFonts w:ascii="David" w:cs="David" w:eastAsia="David" w:hAnsi="David"/>
          <w:sz w:val="24"/>
          <w:szCs w:val="24"/>
          <w:rtl/>
          <w:lang w:val="en-US" w:bidi="he-I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שתי הנקודות האלה ילוו את הסקירה.</w:t>
      </w:r>
    </w:p>
    <w:p>
      <w:pPr>
        <w:bidi/>
        <w:spacing w:after="120" w:line="360" w:lineRule="auto"/>
        <w:ind w:firstLine="720"/>
        <w:jc w:val="both"/>
      </w:pPr>
      <w:r>
        <w:rPr>
          <w:rFonts w:ascii="David" w:cs="David" w:eastAsia="David" w:hAnsi="David"/>
          <w:sz w:val="24"/>
          <w:szCs w:val="24"/>
          <w:rtl/>
          <w:lang w:val="en-US" w:bidi="he-I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lang w:val="en-US" w:bidi="he-IL"/>
        </w:rPr>
        <w:t xml:space="preserve">(DCCS)</w:t>
      </w:r>
      <w:r>
        <w:rPr>
          <w:rFonts w:ascii="David" w:cs="David" w:eastAsia="David" w:hAnsi="David"/>
          <w:sz w:val="24"/>
          <w:szCs w:val="24"/>
          <w:rtl/>
          <w:lang w:val="en-US" w:bidi="he-I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ind w:firstLine="720"/>
        <w:jc w:val="both"/>
      </w:pPr>
      <w:r>
        <w:rPr>
          <w:rFonts w:ascii="David" w:cs="David" w:eastAsia="David" w:hAnsi="David"/>
          <w:sz w:val="24"/>
          <w:szCs w:val="24"/>
          <w:rtl/>
          <w:lang w:val="en-US" w:bidi="he-I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lang w:val="en-US" w:bidi="he-IL"/>
        </w:rPr>
        <w:t xml:space="preserve">2.1.2 השאלה הטרמינולוגית: "תפקוד גבוה" מול רמת תמיכה</w:t>
      </w:r>
    </w:p>
    <w:p>
      <w:pPr>
        <w:bidi/>
        <w:spacing w:after="120" w:line="360" w:lineRule="auto"/>
        <w:ind w:firstLine="720"/>
        <w:jc w:val="both"/>
      </w:pPr>
      <w:r>
        <w:rPr>
          <w:rFonts w:ascii="David" w:cs="David" w:eastAsia="David" w:hAnsi="David"/>
          <w:sz w:val="24"/>
          <w:szCs w:val="24"/>
          <w:rtl/>
          <w:lang w:val="en-US" w:bidi="he-I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ילד ש"בתפקוד גבוה" בשפה היומיומית הוא לרוב ילד ללא לקות שכלית ברמת תמיכה 1.</w:t>
      </w:r>
    </w:p>
    <w:p>
      <w:pPr>
        <w:bidi/>
        <w:spacing w:after="120" w:line="360" w:lineRule="auto"/>
        <w:ind w:firstLine="720"/>
        <w:jc w:val="both"/>
      </w:pPr>
      <w:r>
        <w:rPr>
          <w:rFonts w:ascii="David" w:cs="David" w:eastAsia="David" w:hAnsi="David"/>
          <w:sz w:val="24"/>
          <w:szCs w:val="24"/>
          <w:rtl/>
          <w:lang w:val="en-US" w:bidi="he-I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ind w:firstLine="720"/>
        <w:jc w:val="both"/>
      </w:pPr>
      <w:r>
        <w:rPr>
          <w:rFonts w:ascii="David" w:cs="David" w:eastAsia="David" w:hAnsi="David"/>
          <w:sz w:val="24"/>
          <w:szCs w:val="24"/>
          <w:rtl/>
          <w:lang w:val="en-US" w:bidi="he-I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ind w:firstLine="720"/>
        <w:jc w:val="both"/>
      </w:pPr>
      <w:r>
        <w:rPr>
          <w:rFonts w:ascii="David" w:cs="David" w:eastAsia="David" w:hAnsi="David"/>
          <w:sz w:val="24"/>
          <w:szCs w:val="24"/>
          <w:rtl/>
          <w:lang w:val="en-US" w:bidi="he-I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lang w:val="en-US" w:bidi="he-IL"/>
        </w:rPr>
        <w:t xml:space="preserve">2.1.3 הפרופיל הניהולי של ילדי גן על הרצף</w:t>
      </w:r>
    </w:p>
    <w:p>
      <w:pPr>
        <w:bidi/>
        <w:spacing w:after="120" w:line="360" w:lineRule="auto"/>
        <w:ind w:firstLine="720"/>
        <w:jc w:val="both"/>
      </w:pPr>
      <w:r>
        <w:rPr>
          <w:rFonts w:ascii="David" w:cs="David" w:eastAsia="David" w:hAnsi="David"/>
          <w:sz w:val="24"/>
          <w:szCs w:val="24"/>
          <w:rtl/>
          <w:lang w:val="en-US" w:bidi="he-I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ind w:firstLine="720"/>
        <w:jc w:val="both"/>
      </w:pPr>
      <w:r>
        <w:rPr>
          <w:rFonts w:ascii="David" w:cs="David" w:eastAsia="David" w:hAnsi="David"/>
          <w:sz w:val="24"/>
          <w:szCs w:val="24"/>
          <w:rtl/>
          <w:lang w:val="en-US" w:bidi="he-I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w:t>
      </w:r>
    </w:p>
    <w:p>
      <w:pPr>
        <w:bidi/>
        <w:spacing w:after="120" w:line="360" w:lineRule="auto"/>
        <w:ind w:firstLine="720"/>
        <w:jc w:val="both"/>
      </w:pPr>
      <w:r>
        <w:rPr>
          <w:rFonts w:ascii="David" w:cs="David" w:eastAsia="David" w:hAnsi="David"/>
          <w:sz w:val="24"/>
          <w:szCs w:val="24"/>
          <w:rtl/>
          <w:lang w:val="en-US" w:bidi="he-IL"/>
        </w:rPr>
        <w:t xml:space="preserve">המחקר האורך של לופי ועמיתיו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ind w:firstLine="720"/>
        <w:jc w:val="both"/>
      </w:pPr>
      <w:r>
        <w:rPr>
          <w:rFonts w:ascii="David" w:cs="David" w:eastAsia="David" w:hAnsi="David"/>
          <w:sz w:val="24"/>
          <w:szCs w:val="24"/>
          <w:rtl/>
          <w:lang w:val="en-US" w:bidi="he-I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lang w:val="en-US" w:bidi="he-IL"/>
        </w:rPr>
        <w:t xml:space="preserve">2.1.4 הקשר בין תפקודים ניהוליים לשפה ולתקשורת חברתית</w:t>
      </w:r>
    </w:p>
    <w:p>
      <w:pPr>
        <w:bidi/>
        <w:spacing w:after="120" w:line="360" w:lineRule="auto"/>
        <w:ind w:firstLine="720"/>
        <w:jc w:val="both"/>
      </w:pPr>
      <w:r>
        <w:rPr>
          <w:rFonts w:ascii="David" w:cs="David" w:eastAsia="David" w:hAnsi="David"/>
          <w:sz w:val="24"/>
          <w:szCs w:val="24"/>
          <w:rtl/>
          <w:lang w:val="en-US" w:bidi="he-I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ind w:firstLine="720"/>
        <w:jc w:val="both"/>
      </w:pPr>
      <w:r>
        <w:rPr>
          <w:rFonts w:ascii="David" w:cs="David" w:eastAsia="David" w:hAnsi="David"/>
          <w:sz w:val="24"/>
          <w:szCs w:val="24"/>
          <w:rtl/>
          <w:lang w:val="en-US" w:bidi="he-I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lang w:val="en-US" w:bidi="he-IL"/>
        </w:rPr>
        <w:t xml:space="preserve">2.1.5 הערכה בגיל הגן: מה מודדים ומי מודד</w:t>
      </w:r>
    </w:p>
    <w:p>
      <w:pPr>
        <w:bidi/>
        <w:spacing w:after="120" w:line="360" w:lineRule="auto"/>
        <w:ind w:firstLine="720"/>
        <w:jc w:val="both"/>
      </w:pPr>
      <w:r>
        <w:rPr>
          <w:rFonts w:ascii="David" w:cs="David" w:eastAsia="David" w:hAnsi="David"/>
          <w:sz w:val="24"/>
          <w:szCs w:val="24"/>
          <w:rtl/>
          <w:lang w:val="en-US" w:bidi="he-I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וברוב המחקרים בסקירה השיטתית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לצדו יש מטלות ביצוע, כמו מבחן מיון הקלפים שמודד גמישות, או מטלות עצור-לך שמודדות עכבה.</w:t>
      </w:r>
    </w:p>
    <w:p>
      <w:pPr>
        <w:bidi/>
        <w:spacing w:after="120" w:line="360" w:lineRule="auto"/>
        <w:ind w:firstLine="720"/>
        <w:jc w:val="both"/>
      </w:pPr>
      <w:r>
        <w:rPr>
          <w:rFonts w:ascii="David" w:cs="David" w:eastAsia="David" w:hAnsi="David"/>
          <w:sz w:val="24"/>
          <w:szCs w:val="24"/>
          <w:rtl/>
          <w:lang w:val="en-US" w:bidi="he-I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לכן פרוטוקול שפותח לילדים עם הפרעת קשב מספק נקודת מוצא, ולא יותר מזה, להערכה של ילדים על הרצף.</w:t>
      </w:r>
    </w:p>
    <w:p>
      <w:pPr>
        <w:bidi/>
        <w:spacing w:after="120" w:line="360" w:lineRule="auto"/>
        <w:ind w:firstLine="720"/>
        <w:jc w:val="both"/>
      </w:pPr>
      <w:r>
        <w:rPr>
          <w:rFonts w:ascii="David" w:cs="David" w:eastAsia="David" w:hAnsi="David"/>
          <w:sz w:val="24"/>
          <w:szCs w:val="24"/>
          <w:rtl/>
          <w:lang w:val="en-US" w:bidi="he-I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lang w:val="en-US" w:bidi="he-I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lang w:val="en-US" w:bidi="he-IL"/>
        </w:rPr>
        <w:t xml:space="preserve">2.2.1 ההקשר הישראלי: גני תקשורת, שילוב והורים</w:t>
      </w:r>
    </w:p>
    <w:p>
      <w:pPr>
        <w:bidi/>
        <w:spacing w:after="120" w:line="360" w:lineRule="auto"/>
        <w:ind w:firstLine="720"/>
        <w:jc w:val="both"/>
      </w:pPr>
      <w:r>
        <w:rPr>
          <w:rFonts w:ascii="David" w:cs="David" w:eastAsia="David" w:hAnsi="David"/>
          <w:sz w:val="24"/>
          <w:szCs w:val="24"/>
          <w:rtl/>
          <w:lang w:val="en-US" w:bidi="he-I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ind w:firstLine="720"/>
        <w:jc w:val="both"/>
      </w:pPr>
      <w:r>
        <w:rPr>
          <w:rFonts w:ascii="David" w:cs="David" w:eastAsia="David" w:hAnsi="David"/>
          <w:sz w:val="24"/>
          <w:szCs w:val="24"/>
          <w:rtl/>
          <w:lang w:val="en-US" w:bidi="he-I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ind w:firstLine="720"/>
        <w:jc w:val="both"/>
      </w:pPr>
      <w:r>
        <w:rPr>
          <w:rFonts w:ascii="David" w:cs="David" w:eastAsia="David" w:hAnsi="David"/>
          <w:sz w:val="24"/>
          <w:szCs w:val="24"/>
          <w:rtl/>
          <w:lang w:val="en-US" w:bidi="he-I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ind w:firstLine="720"/>
        <w:jc w:val="both"/>
      </w:pPr>
      <w:r>
        <w:rPr>
          <w:rFonts w:ascii="David" w:cs="David" w:eastAsia="David" w:hAnsi="David"/>
          <w:sz w:val="24"/>
          <w:szCs w:val="24"/>
          <w:rtl/>
          <w:lang w:val="en-US" w:bidi="he-I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lang w:val="en-US" w:bidi="he-IL"/>
        </w:rPr>
        <w:t xml:space="preserve">2.2.2 ריפוי בעיסוק בגן: ממודל רפואי למודל אקולוגי</w:t>
      </w:r>
    </w:p>
    <w:p>
      <w:pPr>
        <w:bidi/>
        <w:spacing w:after="120" w:line="360" w:lineRule="auto"/>
        <w:ind w:firstLine="720"/>
        <w:jc w:val="both"/>
      </w:pPr>
      <w:r>
        <w:rPr>
          <w:rFonts w:ascii="David" w:cs="David" w:eastAsia="David" w:hAnsi="David"/>
          <w:sz w:val="24"/>
          <w:szCs w:val="24"/>
          <w:rtl/>
          <w:lang w:val="en-US" w:bidi="he-I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ind w:firstLine="720"/>
        <w:jc w:val="both"/>
      </w:pPr>
      <w:r>
        <w:rPr>
          <w:rFonts w:ascii="David" w:cs="David" w:eastAsia="David" w:hAnsi="David"/>
          <w:sz w:val="24"/>
          <w:szCs w:val="24"/>
          <w:rtl/>
          <w:lang w:val="en-US" w:bidi="he-I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ind w:firstLine="720"/>
        <w:jc w:val="both"/>
      </w:pPr>
      <w:r>
        <w:rPr>
          <w:rFonts w:ascii="David" w:cs="David" w:eastAsia="David" w:hAnsi="David"/>
          <w:sz w:val="24"/>
          <w:szCs w:val="24"/>
          <w:rtl/>
          <w:lang w:val="en-US" w:bidi="he-I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ind w:firstLine="720"/>
        <w:jc w:val="both"/>
      </w:pPr>
      <w:r>
        <w:rPr>
          <w:rFonts w:ascii="David" w:cs="David" w:eastAsia="David" w:hAnsi="David"/>
          <w:sz w:val="24"/>
          <w:szCs w:val="24"/>
          <w:rtl/>
          <w:lang w:val="en-US" w:bidi="he-I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ind w:firstLine="720"/>
        <w:jc w:val="both"/>
      </w:pPr>
      <w:r>
        <w:rPr>
          <w:rFonts w:ascii="David" w:cs="David" w:eastAsia="David" w:hAnsi="David"/>
          <w:sz w:val="24"/>
          <w:szCs w:val="24"/>
          <w:rtl/>
          <w:lang w:val="en-US" w:bidi="he-I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lang w:val="en-US" w:bidi="he-IL"/>
        </w:rPr>
        <w:t xml:space="preserve">2.2.3 גישות מטה-קוגניטיביות בריפוי בעיסוק: </w:t>
      </w:r>
      <w:r>
        <w:rPr>
          <w:rFonts w:ascii="Times New Roman" w:cs="Times New Roman" w:eastAsia="Times New Roman" w:hAnsi="Times New Roman"/>
          <w:b/>
          <w:bCs/>
          <w:sz w:val="24"/>
          <w:szCs w:val="24"/>
          <w:rtl w:val="false"/>
          <w:lang w:val="en-US" w:bidi="he-IL"/>
        </w:rPr>
        <w:t xml:space="preserve">CO-OP</w:t>
      </w:r>
    </w:p>
    <w:p>
      <w:pPr>
        <w:bidi/>
        <w:spacing w:after="120" w:line="360" w:lineRule="auto"/>
        <w:ind w:firstLine="720"/>
        <w:jc w:val="both"/>
      </w:pPr>
      <w:r>
        <w:rPr>
          <w:rFonts w:ascii="David" w:cs="David" w:eastAsia="David" w:hAnsi="David"/>
          <w:sz w:val="24"/>
          <w:szCs w:val="24"/>
          <w:rtl/>
          <w:lang w:val="en-US" w:bidi="he-I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w:t>
      </w:r>
      <w:r>
        <w:rPr>
          <w:rFonts w:ascii="Times New Roman" w:cs="Times New Roman" w:eastAsia="Times New Roman" w:hAnsi="Times New Roman"/>
          <w:sz w:val="24"/>
          <w:szCs w:val="24"/>
          <w:rtl w:val="false"/>
          <w:lang w:val="en-US" w:bidi="he-IL"/>
        </w:rPr>
        <w:t xml:space="preserve">(Cognitive Orientation to daily Occupational Performance)</w:t>
      </w:r>
      <w:r>
        <w:rPr>
          <w:rFonts w:ascii="David" w:cs="David" w:eastAsia="David" w:hAnsi="David"/>
          <w:sz w:val="24"/>
          <w:szCs w:val="24"/>
          <w:rtl/>
          <w:lang w:val="en-US" w:bidi="he-I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שארבע מטרותיה המוצהרות הן רכישת מיומנות, שימוש באסטרטגיה קוגניטיבית, הכללה והעברה של הלמידה למשימות ולהקשרים חדשים, ומסכמת שהספרות שהצטברה מאז 2001 מעידה שהגישה תומכת בשלושתן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האסטרטגיה הכללית של הגישה, מטרה-תכנון-ביצוע-בדיקה, מוגדרת במאמר כאסטרטגיה שתומכת במטה-קוגניציה, והמטפלת אינה מלמדת את הפתרון אלא מובילה את הילד לגלות אותו בעצמו בשאלות ובאימון, בתהליך שהמחברות מכנות גילוי מודרך.</w:t>
      </w:r>
    </w:p>
    <w:p>
      <w:pPr>
        <w:bidi/>
        <w:spacing w:after="120" w:line="360" w:lineRule="auto"/>
        <w:ind w:firstLine="720"/>
        <w:jc w:val="both"/>
      </w:pPr>
      <w:r>
        <w:rPr>
          <w:rFonts w:ascii="David" w:cs="David" w:eastAsia="David" w:hAnsi="David"/>
          <w:sz w:val="24"/>
          <w:szCs w:val="24"/>
          <w:rtl/>
          <w:lang w:val="en-US" w:bidi="he-I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מונה באוטיזם ארבעה מחקרי מקרה בלבד, שבעה ילדים בגילי חמש עד שתים עשרה, ומציינת שמחקרים שמזהים את מנגנון הפעולה של הגישה, ובכלל זה תוצאות של העברה,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lang w:val="en-US" w:bidi="he-IL"/>
        </w:rPr>
        <w:t xml:space="preserve">2.2.4 קלינאות תקשורת בגן: מהי ההתערבות ומי מבצע אותה</w:t>
      </w:r>
    </w:p>
    <w:p>
      <w:pPr>
        <w:bidi/>
        <w:spacing w:after="120" w:line="360" w:lineRule="auto"/>
        <w:ind w:firstLine="720"/>
        <w:jc w:val="both"/>
      </w:pPr>
      <w:r>
        <w:rPr>
          <w:rFonts w:ascii="David" w:cs="David" w:eastAsia="David" w:hAnsi="David"/>
          <w:sz w:val="24"/>
          <w:szCs w:val="24"/>
          <w:rtl/>
          <w:lang w:val="en-US" w:bidi="he-I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האתגרים שתוארו כללו עומס, חוסר בזמן לתיאום והיעדר הכשרה בגישות התערבות עדכניות.</w:t>
      </w:r>
    </w:p>
    <w:p>
      <w:pPr>
        <w:bidi/>
        <w:spacing w:after="120" w:line="360" w:lineRule="auto"/>
        <w:ind w:firstLine="720"/>
        <w:jc w:val="both"/>
      </w:pPr>
      <w:r>
        <w:rPr>
          <w:rFonts w:ascii="David" w:cs="David" w:eastAsia="David" w:hAnsi="David"/>
          <w:sz w:val="24"/>
          <w:szCs w:val="24"/>
          <w:rtl/>
          <w:lang w:val="en-US" w:bidi="he-I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ind w:firstLine="720"/>
        <w:jc w:val="both"/>
      </w:pPr>
      <w:r>
        <w:rPr>
          <w:rFonts w:ascii="David" w:cs="David" w:eastAsia="David" w:hAnsi="David"/>
          <w:sz w:val="24"/>
          <w:szCs w:val="24"/>
          <w:rtl/>
          <w:lang w:val="en-US" w:bidi="he-I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lang w:val="en-US" w:bidi="he-IL"/>
        </w:rPr>
        <w:t xml:space="preserve">2.2.5 שיתוף פעולה בין-מקצועי: מה מקדם ומה חוסם</w:t>
      </w:r>
    </w:p>
    <w:p>
      <w:pPr>
        <w:bidi/>
        <w:spacing w:after="120" w:line="360" w:lineRule="auto"/>
        <w:ind w:firstLine="720"/>
        <w:jc w:val="both"/>
      </w:pPr>
      <w:r>
        <w:rPr>
          <w:rFonts w:ascii="David" w:cs="David" w:eastAsia="David" w:hAnsi="David"/>
          <w:sz w:val="24"/>
          <w:szCs w:val="24"/>
          <w:rtl/>
          <w:lang w:val="en-US" w:bidi="he-I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w:t>
      </w:r>
    </w:p>
    <w:p>
      <w:pPr>
        <w:bidi/>
        <w:spacing w:after="120" w:line="360" w:lineRule="auto"/>
        <w:ind w:firstLine="720"/>
        <w:jc w:val="both"/>
      </w:pPr>
      <w:r>
        <w:rPr>
          <w:rFonts w:ascii="David" w:cs="David" w:eastAsia="David" w:hAnsi="David"/>
          <w:sz w:val="24"/>
          <w:szCs w:val="24"/>
          <w:rtl/>
          <w:lang w:val="en-US" w:bidi="he-I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ind w:firstLine="720"/>
        <w:jc w:val="both"/>
      </w:pPr>
      <w:r>
        <w:rPr>
          <w:rFonts w:ascii="David" w:cs="David" w:eastAsia="David" w:hAnsi="David"/>
          <w:sz w:val="24"/>
          <w:szCs w:val="24"/>
          <w:rtl/>
          <w:lang w:val="en-US" w:bidi="he-I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מצא שחסרה. זו טענה שתפותח בדיון.</w:t>
      </w:r>
    </w:p>
    <w:p>
      <w:pPr>
        <w:bidi/>
        <w:spacing w:after="120" w:line="360" w:lineRule="auto"/>
        <w:ind w:firstLine="720"/>
        <w:jc w:val="both"/>
      </w:pPr>
      <w:r>
        <w:rPr>
          <w:rFonts w:ascii="David" w:cs="David" w:eastAsia="David" w:hAnsi="David"/>
          <w:sz w:val="24"/>
          <w:szCs w:val="24"/>
          <w:rtl/>
          <w:lang w:val="en-US" w:bidi="he-I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lang w:val="en-US" w:bidi="he-I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lang w:val="en-US" w:bidi="he-IL"/>
        </w:rPr>
        <w:t xml:space="preserve">2.3.1 התערבויות בריפוי בעיסוק עם יעד ניהולי מפורש</w:t>
      </w:r>
    </w:p>
    <w:p>
      <w:pPr>
        <w:bidi/>
        <w:spacing w:after="120" w:line="360" w:lineRule="auto"/>
        <w:ind w:firstLine="720"/>
        <w:jc w:val="both"/>
      </w:pPr>
      <w:r>
        <w:rPr>
          <w:rFonts w:ascii="David" w:cs="David" w:eastAsia="David" w:hAnsi="David"/>
          <w:sz w:val="24"/>
          <w:szCs w:val="24"/>
          <w:rtl/>
          <w:lang w:val="en-US" w:bidi="he-IL"/>
        </w:rPr>
        <w:t xml:space="preserve">המחקר הקרוב ביותר לשאלת העבודה נערך בקטאר. יוסף ועמיתיו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ind w:firstLine="720"/>
        <w:jc w:val="both"/>
      </w:pPr>
      <w:r>
        <w:rPr>
          <w:rFonts w:ascii="David" w:cs="David" w:eastAsia="David" w:hAnsi="David"/>
          <w:sz w:val="24"/>
          <w:szCs w:val="24"/>
          <w:rtl/>
          <w:lang w:val="en-US" w:bidi="he-I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ind w:firstLine="720"/>
        <w:jc w:val="both"/>
      </w:pPr>
      <w:r>
        <w:rPr>
          <w:rFonts w:ascii="David" w:cs="David" w:eastAsia="David" w:hAnsi="David"/>
          <w:sz w:val="24"/>
          <w:szCs w:val="24"/>
          <w:rtl/>
          <w:lang w:val="en-US" w:bidi="he-IL"/>
        </w:rPr>
        <w:t xml:space="preserve">המסקנה הזאת מתיישבת עם סקירת ה-</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גימנו ופולטאיקו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lang w:val="en-US" w:bidi="he-IL"/>
        </w:rPr>
        <w:t xml:space="preserve">2.3.2 התערבויות של קלינאות תקשורת: פרגמטיקה ומה שמאחוריה</w:t>
      </w:r>
    </w:p>
    <w:p>
      <w:pPr>
        <w:bidi/>
        <w:spacing w:after="120" w:line="360" w:lineRule="auto"/>
        <w:ind w:firstLine="720"/>
        <w:jc w:val="both"/>
      </w:pPr>
      <w:r>
        <w:rPr>
          <w:rFonts w:ascii="David" w:cs="David" w:eastAsia="David" w:hAnsi="David"/>
          <w:sz w:val="24"/>
          <w:szCs w:val="24"/>
          <w:rtl/>
          <w:lang w:val="en-US" w:bidi="he-I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lang w:val="en-US" w:bidi="he-IL"/>
        </w:rPr>
        <w:t xml:space="preserve">(PICP)</w:t>
      </w:r>
      <w:r>
        <w:rPr>
          <w:rFonts w:ascii="David" w:cs="David" w:eastAsia="David" w:hAnsi="David"/>
          <w:sz w:val="24"/>
          <w:szCs w:val="24"/>
          <w:rtl/>
          <w:lang w:val="en-US" w:bidi="he-IL"/>
        </w:rPr>
        <w:t xml:space="preserve">. פריירה ועמיתיה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ind w:firstLine="720"/>
        <w:jc w:val="both"/>
      </w:pPr>
      <w:r>
        <w:rPr>
          <w:rFonts w:ascii="David" w:cs="David" w:eastAsia="David" w:hAnsi="David"/>
          <w:sz w:val="24"/>
          <w:szCs w:val="24"/>
          <w:rtl/>
          <w:lang w:val="en-US" w:bidi="he-I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ind w:firstLine="720"/>
        <w:jc w:val="both"/>
      </w:pPr>
      <w:r>
        <w:rPr>
          <w:rFonts w:ascii="David" w:cs="David" w:eastAsia="David" w:hAnsi="David"/>
          <w:sz w:val="24"/>
          <w:szCs w:val="24"/>
          <w:rtl/>
          <w:lang w:val="en-US" w:bidi="he-IL"/>
        </w:rPr>
        <w:t xml:space="preserve">המחקר הקנדי על דפוסי העבודה של קלינאיות 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lang w:val="en-US" w:bidi="he-IL"/>
        </w:rPr>
        <w:t xml:space="preserve">2.3.3 התערבויות מתווכות בגן: משחק, בובה ושיר</w:t>
      </w:r>
    </w:p>
    <w:p>
      <w:pPr>
        <w:bidi/>
        <w:spacing w:after="120" w:line="360" w:lineRule="auto"/>
        <w:ind w:firstLine="720"/>
        <w:jc w:val="both"/>
      </w:pPr>
      <w:r>
        <w:rPr>
          <w:rFonts w:ascii="David" w:cs="David" w:eastAsia="David" w:hAnsi="David"/>
          <w:sz w:val="24"/>
          <w:szCs w:val="24"/>
          <w:rtl/>
          <w:lang w:val="en-US" w:bidi="he-I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הסקירה אינה עוסקת באוטיזם במיוחד, אך היא קובעת את קו הבסיס: מה עובד בגן לכלל הילדים.</w:t>
      </w:r>
    </w:p>
    <w:p>
      <w:pPr>
        <w:bidi/>
        <w:spacing w:after="120" w:line="360" w:lineRule="auto"/>
        <w:ind w:firstLine="720"/>
        <w:jc w:val="both"/>
      </w:pPr>
      <w:r>
        <w:rPr>
          <w:rFonts w:ascii="David" w:cs="David" w:eastAsia="David" w:hAnsi="David"/>
          <w:sz w:val="24"/>
          <w:szCs w:val="24"/>
          <w:rtl/>
          <w:lang w:val="en-US" w:bidi="he-IL"/>
        </w:rPr>
        <w:t xml:space="preserve">שני ממצאים מהסקירה של מיור ועמיתיה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ind w:firstLine="720"/>
        <w:jc w:val="both"/>
      </w:pPr>
      <w:r>
        <w:rPr>
          <w:rFonts w:ascii="David" w:cs="David" w:eastAsia="David" w:hAnsi="David"/>
          <w:sz w:val="24"/>
          <w:szCs w:val="24"/>
          <w:rtl/>
          <w:lang w:val="en-US" w:bidi="he-I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ind w:firstLine="720"/>
        <w:jc w:val="both"/>
      </w:pPr>
      <w:r>
        <w:rPr>
          <w:rFonts w:ascii="David" w:cs="David" w:eastAsia="David" w:hAnsi="David"/>
          <w:sz w:val="24"/>
          <w:szCs w:val="24"/>
          <w:rtl/>
          <w:lang w:val="en-US" w:bidi="he-I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lang w:val="en-US" w:bidi="he-IL"/>
        </w:rPr>
        <w:t xml:space="preserve">2.3.4 הפרספקטיבה ההתייחסותית: חרדה ונוקשות</w:t>
      </w:r>
    </w:p>
    <w:p>
      <w:pPr>
        <w:bidi/>
        <w:spacing w:after="120" w:line="360" w:lineRule="auto"/>
        <w:ind w:firstLine="720"/>
        <w:jc w:val="both"/>
      </w:pPr>
      <w:r>
        <w:rPr>
          <w:rFonts w:ascii="David" w:cs="David" w:eastAsia="David" w:hAnsi="David"/>
          <w:sz w:val="24"/>
          <w:szCs w:val="24"/>
          <w:rtl/>
          <w:lang w:val="en-US" w:bidi="he-I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ind w:firstLine="720"/>
        <w:jc w:val="both"/>
      </w:pPr>
      <w:r>
        <w:rPr>
          <w:rFonts w:ascii="David" w:cs="David" w:eastAsia="David" w:hAnsi="David"/>
          <w:sz w:val="24"/>
          <w:szCs w:val="24"/>
          <w:rtl/>
          <w:lang w:val="en-US" w:bidi="he-I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ind w:firstLine="720"/>
        <w:jc w:val="both"/>
      </w:pPr>
      <w:r>
        <w:rPr>
          <w:rFonts w:ascii="David" w:cs="David" w:eastAsia="David" w:hAnsi="David"/>
          <w:sz w:val="24"/>
          <w:szCs w:val="24"/>
          <w:rtl/>
          <w:lang w:val="en-US" w:bidi="he-I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lang w:val="en-US" w:bidi="he-IL"/>
        </w:rPr>
        <w:t xml:space="preserve">2.3.5 נקודות הסכמה, הבדלים וסתירות בין המחקרים</w:t>
      </w:r>
    </w:p>
    <w:p>
      <w:pPr>
        <w:bidi/>
        <w:spacing w:after="120" w:line="360" w:lineRule="auto"/>
        <w:ind w:firstLine="720"/>
        <w:jc w:val="both"/>
      </w:pPr>
      <w:r>
        <w:rPr>
          <w:rFonts w:ascii="David" w:cs="David" w:eastAsia="David" w:hAnsi="David"/>
          <w:sz w:val="24"/>
          <w:szCs w:val="24"/>
          <w:rtl/>
          <w:lang w:val="en-US" w:bidi="he-I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המחקר האורך מצא שהקושי יציב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הסקירה הכללית של התוכניות בגן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והספרות על העברה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lang w:val="en-US" w:bidi="he-IL"/>
        </w:rPr>
        <w:t xml:space="preserve">Binns et al., 2022; Ryan et al., 2024</w:t>
      </w:r>
      <w:r>
        <w:rPr>
          <w:rFonts w:ascii="David" w:cs="David" w:eastAsia="David" w:hAnsi="David"/>
          <w:sz w:val="24"/>
          <w:szCs w:val="24"/>
          <w:rtl/>
          <w:lang w:val="en-US" w:bidi="he-IL"/>
        </w:rPr>
        <w:t xml:space="preserve">).</w:t>
      </w:r>
    </w:p>
    <w:p>
      <w:pPr>
        <w:bidi/>
        <w:spacing w:after="120" w:line="360" w:lineRule="auto"/>
        <w:ind w:firstLine="720"/>
        <w:jc w:val="both"/>
      </w:pPr>
      <w:r>
        <w:rPr>
          <w:rFonts w:ascii="David" w:cs="David" w:eastAsia="David" w:hAnsi="David"/>
          <w:sz w:val="24"/>
          <w:szCs w:val="24"/>
          <w:rtl/>
          <w:lang w:val="en-US" w:bidi="he-I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lang w:val="en-US" w:bidi="he-IL"/>
        </w:rPr>
        <w:t xml:space="preserve">(Christoforou et al., 2023; Lupi et al., 2023)</w:t>
      </w:r>
      <w:r>
        <w:rPr>
          <w:rFonts w:ascii="David" w:cs="David" w:eastAsia="David" w:hAnsi="David"/>
          <w:sz w:val="24"/>
          <w:szCs w:val="24"/>
          <w:rtl/>
          <w:lang w:val="en-US" w:bidi="he-I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lang w:val="en-US" w:bidi="he-IL"/>
        </w:rPr>
        <w:t xml:space="preserve">(Pereira et al., 2025; Yousef et al., 2024)</w:t>
      </w:r>
      <w:r>
        <w:rPr>
          <w:rFonts w:ascii="David" w:cs="David" w:eastAsia="David" w:hAnsi="David"/>
          <w:sz w:val="24"/>
          <w:szCs w:val="24"/>
          <w:rtl/>
          <w:lang w:val="en-US" w:bidi="he-I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ind w:firstLine="720"/>
        <w:jc w:val="both"/>
      </w:pPr>
      <w:r>
        <w:rPr>
          <w:rFonts w:ascii="David" w:cs="David" w:eastAsia="David" w:hAnsi="David"/>
          <w:sz w:val="24"/>
          <w:szCs w:val="24"/>
          <w:rtl/>
          <w:lang w:val="en-US" w:bidi="he-IL"/>
        </w:rPr>
        <w:t xml:space="preserve">השני הוא שאלת ההעברה. הספרות על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מדגישה העברה כסימן ההיכר של קידום ניהולי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ind w:firstLine="720"/>
        <w:jc w:val="both"/>
      </w:pPr>
      <w:r>
        <w:rPr>
          <w:rFonts w:ascii="David" w:cs="David" w:eastAsia="David" w:hAnsi="David"/>
          <w:sz w:val="24"/>
          <w:szCs w:val="24"/>
          <w:rtl/>
          <w:lang w:val="en-US" w:bidi="he-I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המחקר על ההתערבות הפרגמטית כלל שלושים ושישה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המדגמים הישראליים קטנים אף יותר (תורג'מן וגלבוע, 2020; שי, 2024). מסקנות על "תרומה" חייבות להיות מסויגות בהתאם.</w:t>
      </w:r>
    </w:p>
    <w:p>
      <w:pPr>
        <w:bidi/>
        <w:spacing w:after="120" w:line="360" w:lineRule="auto"/>
        <w:ind w:firstLine="720"/>
        <w:jc w:val="both"/>
      </w:pPr>
      <w:r>
        <w:rPr>
          <w:rFonts w:ascii="David" w:cs="David" w:eastAsia="David" w:hAnsi="David"/>
          <w:sz w:val="24"/>
          <w:szCs w:val="24"/>
          <w:rtl/>
          <w:lang w:val="en-US" w:bidi="he-I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ind w:firstLine="720"/>
        <w:jc w:val="both"/>
      </w:pPr>
      <w:r>
        <w:rPr>
          <w:rFonts w:ascii="David" w:cs="David" w:eastAsia="David" w:hAnsi="David"/>
          <w:sz w:val="24"/>
          <w:szCs w:val="24"/>
          <w:rtl/>
          <w:lang w:val="en-US" w:bidi="he-I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נוטה למעשה לכיוון של הקריאה ההתייחסותית גם כשאינה מנסחת זאת כך.</w:t>
      </w:r>
    </w:p>
    <w:p>
      <w:pPr>
        <w:bidi/>
        <w:spacing w:after="120" w:line="360" w:lineRule="auto"/>
        <w:ind w:firstLine="720"/>
        <w:jc w:val="both"/>
      </w:pPr>
      <w:r>
        <w:rPr>
          <w:rFonts w:ascii="David" w:cs="David" w:eastAsia="David" w:hAnsi="David"/>
          <w:sz w:val="24"/>
          <w:szCs w:val="24"/>
          <w:rtl/>
          <w:lang w:val="en-US" w:bidi="he-I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ind w:firstLine="720"/>
        <w:jc w:val="both"/>
      </w:pPr>
      <w:r>
        <w:rPr>
          <w:rFonts w:ascii="David" w:cs="David" w:eastAsia="David" w:hAnsi="David"/>
          <w:sz w:val="24"/>
          <w:szCs w:val="24"/>
          <w:rtl/>
          <w:lang w:val="en-US" w:bidi="he-I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ind w:firstLine="720"/>
        <w:jc w:val="both"/>
      </w:pPr>
      <w:r>
        <w:rPr>
          <w:rFonts w:ascii="David" w:cs="David" w:eastAsia="David" w:hAnsi="David"/>
          <w:sz w:val="24"/>
          <w:szCs w:val="24"/>
          <w:rtl/>
          <w:lang w:val="en-US" w:bidi="he-I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lang w:val="en-US" w:bidi="he-IL"/>
        </w:rPr>
        <w:t xml:space="preserve">3. דיון</w:t>
      </w:r>
    </w:p>
    <w:p>
      <w:pPr>
        <w:bidi/>
        <w:spacing w:after="120" w:line="360" w:lineRule="auto"/>
        <w:ind w:firstLine="720"/>
        <w:jc w:val="both"/>
      </w:pPr>
      <w:r>
        <w:rPr>
          <w:rFonts w:ascii="David" w:cs="David" w:eastAsia="David" w:hAnsi="David"/>
          <w:sz w:val="24"/>
          <w:szCs w:val="24"/>
          <w:rtl/>
          <w:lang w:val="en-US" w:bidi="he-I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ind w:firstLine="720"/>
        <w:jc w:val="both"/>
      </w:pPr>
      <w:r>
        <w:rPr>
          <w:rFonts w:ascii="David" w:cs="David" w:eastAsia="David" w:hAnsi="David"/>
          <w:sz w:val="24"/>
          <w:szCs w:val="24"/>
          <w:rtl/>
          <w:lang w:val="en-US" w:bidi="he-I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ind w:firstLine="720"/>
        <w:jc w:val="both"/>
      </w:pPr>
      <w:r>
        <w:rPr>
          <w:rFonts w:ascii="David" w:cs="David" w:eastAsia="David" w:hAnsi="David"/>
          <w:sz w:val="24"/>
          <w:szCs w:val="24"/>
          <w:rtl/>
          <w:lang w:val="en-US" w:bidi="he-I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גישת מטרה-תכנון-ביצוע-בדיקה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הוראה של כישורים פרגמטיים שדורשים זיכרון עבודה ועכבה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אימון בחדר הטיפולים עשוי, לפיכך, לא להגיע לגן.</w:t>
      </w:r>
    </w:p>
    <w:p>
      <w:pPr>
        <w:bidi/>
        <w:spacing w:after="120" w:line="360" w:lineRule="auto"/>
        <w:ind w:firstLine="720"/>
        <w:jc w:val="both"/>
      </w:pPr>
      <w:r>
        <w:rPr>
          <w:rFonts w:ascii="David" w:cs="David" w:eastAsia="David" w:hAnsi="David"/>
          <w:sz w:val="24"/>
          <w:szCs w:val="24"/>
          <w:rtl/>
          <w:lang w:val="en-US" w:bidi="he-I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הוא, בקריאה זו, הפער בין מנגנון אחד לבין שילוב של שניים. המדגם קטן, שבעה עשר ילדים, והקריאה הזאת היא פרשנות. אך היא מתיישבת עם ההיגיון של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שבנויה על אסטרטגיה קוגניטיבית ועל גילוי מודרך ולא על טיפול בליקוי המוטורי עצמו, גם אם מחברות הסקירה מודות שמחקרים על מנגנון הפעולה של הגישה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w:t>
      </w:r>
    </w:p>
    <w:p>
      <w:pPr>
        <w:bidi/>
        <w:spacing w:after="120" w:line="360" w:lineRule="auto"/>
        <w:ind w:firstLine="720"/>
        <w:jc w:val="both"/>
      </w:pPr>
      <w:r>
        <w:rPr>
          <w:rFonts w:ascii="David" w:cs="David" w:eastAsia="David" w:hAnsi="David"/>
          <w:sz w:val="24"/>
          <w:szCs w:val="24"/>
          <w:rtl/>
          <w:lang w:val="en-US" w:bidi="he-I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ind w:firstLine="720"/>
        <w:jc w:val="both"/>
      </w:pPr>
      <w:r>
        <w:rPr>
          <w:rFonts w:ascii="David" w:cs="David" w:eastAsia="David" w:hAnsi="David"/>
          <w:sz w:val="24"/>
          <w:szCs w:val="24"/>
          <w:rtl/>
          <w:lang w:val="en-US" w:bidi="he-I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ind w:firstLine="720"/>
        <w:jc w:val="both"/>
      </w:pPr>
      <w:r>
        <w:rPr>
          <w:rFonts w:ascii="David" w:cs="David" w:eastAsia="David" w:hAnsi="David"/>
          <w:sz w:val="24"/>
          <w:szCs w:val="24"/>
          <w:rtl/>
          <w:lang w:val="en-US" w:bidi="he-I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וחוסר הזמן לתיאום חוזר גם בקרב קלינאיות התקשורת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ind w:firstLine="720"/>
        <w:jc w:val="both"/>
      </w:pPr>
      <w:r>
        <w:rPr>
          <w:rFonts w:ascii="David" w:cs="David" w:eastAsia="David" w:hAnsi="David"/>
          <w:sz w:val="24"/>
          <w:szCs w:val="24"/>
          <w:rtl/>
          <w:lang w:val="en-US" w:bidi="he-I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ind w:firstLine="720"/>
        <w:jc w:val="both"/>
      </w:pPr>
      <w:r>
        <w:rPr>
          <w:rFonts w:ascii="David" w:cs="David" w:eastAsia="David" w:hAnsi="David"/>
          <w:sz w:val="24"/>
          <w:szCs w:val="24"/>
          <w:rtl/>
          <w:lang w:val="en-US" w:bidi="he-I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ind w:firstLine="720"/>
        <w:jc w:val="both"/>
      </w:pPr>
      <w:r>
        <w:rPr>
          <w:rFonts w:ascii="David" w:cs="David" w:eastAsia="David" w:hAnsi="David"/>
          <w:sz w:val="24"/>
          <w:szCs w:val="24"/>
          <w:rtl/>
          <w:lang w:val="en-US" w:bidi="he-I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סקירה של גישה שהראיות עליה באוטיזם מסתכמות בארבעה מחקרי מקרה של שבעה ילדים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ind w:firstLine="720"/>
        <w:jc w:val="both"/>
      </w:pPr>
      <w:r>
        <w:rPr>
          <w:rFonts w:ascii="David" w:cs="David" w:eastAsia="David" w:hAnsi="David"/>
          <w:sz w:val="24"/>
          <w:szCs w:val="24"/>
          <w:rtl/>
          <w:lang w:val="en-US" w:bidi="he-I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lang w:val="en-US" w:bidi="he-IL"/>
        </w:rPr>
        <w:t xml:space="preserve">(Christoforou et al., 2023; Howard et al., 2023)</w:t>
      </w:r>
      <w:r>
        <w:rPr>
          <w:rFonts w:ascii="David" w:cs="David" w:eastAsia="David" w:hAnsi="David"/>
          <w:sz w:val="24"/>
          <w:szCs w:val="24"/>
          <w:rtl/>
          <w:lang w:val="en-US" w:bidi="he-I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ind w:firstLine="720"/>
        <w:jc w:val="both"/>
      </w:pPr>
      <w:r>
        <w:rPr>
          <w:rFonts w:ascii="David" w:cs="David" w:eastAsia="David" w:hAnsi="David"/>
          <w:sz w:val="24"/>
          <w:szCs w:val="24"/>
          <w:rtl/>
          <w:lang w:val="en-US" w:bidi="he-I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שכבר בשימוש בישראל (תורג'מן וגלבוע, 2020), הוא כלי זמין לכך. ההמלצות המפורטות מוצגות בפרק הסיכום.</w:t>
      </w:r>
    </w:p>
    <w:p>
      <w:pPr>
        <w:bidi/>
        <w:spacing w:after="120" w:line="360" w:lineRule="auto"/>
        <w:ind w:firstLine="720"/>
        <w:jc w:val="both"/>
      </w:pPr>
      <w:r>
        <w:rPr>
          <w:rFonts w:ascii="David" w:cs="David" w:eastAsia="David" w:hAnsi="David"/>
          <w:sz w:val="24"/>
          <w:szCs w:val="24"/>
          <w:rtl/>
          <w:lang w:val="en-US" w:bidi="he-I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4. סיכום ומסקנות</w:t>
      </w:r>
    </w:p>
    <w:p>
      <w:pPr>
        <w:bidi/>
        <w:spacing w:after="120" w:line="360" w:lineRule="auto"/>
        <w:ind w:firstLine="720"/>
        <w:jc w:val="both"/>
      </w:pPr>
      <w:r>
        <w:rPr>
          <w:rFonts w:ascii="David" w:cs="David" w:eastAsia="David" w:hAnsi="David"/>
          <w:sz w:val="24"/>
          <w:szCs w:val="24"/>
          <w:rtl/>
          <w:lang w:val="en-US" w:bidi="he-I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ind w:firstLine="720"/>
        <w:jc w:val="both"/>
      </w:pPr>
      <w:r>
        <w:rPr>
          <w:rFonts w:ascii="David" w:cs="David" w:eastAsia="David" w:hAnsi="David"/>
          <w:sz w:val="24"/>
          <w:szCs w:val="24"/>
          <w:rtl/>
          <w:lang w:val="en-US" w:bidi="he-I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ind w:firstLine="720"/>
        <w:jc w:val="both"/>
      </w:pPr>
      <w:r>
        <w:rPr>
          <w:rFonts w:ascii="David" w:cs="David" w:eastAsia="David" w:hAnsi="David"/>
          <w:sz w:val="24"/>
          <w:szCs w:val="24"/>
          <w:rtl/>
          <w:lang w:val="en-US" w:bidi="he-I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ind w:firstLine="720"/>
        <w:jc w:val="both"/>
      </w:pPr>
      <w:r>
        <w:rPr>
          <w:rFonts w:ascii="David" w:cs="David" w:eastAsia="David" w:hAnsi="David"/>
          <w:sz w:val="24"/>
          <w:szCs w:val="24"/>
          <w:rtl/>
          <w:lang w:val="en-US" w:bidi="he-I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בתחילת השנה ובסופה, כדי שהתרומה לתפקודים הניהוליים תימדד ולא רק תשוער.</w:t>
      </w:r>
    </w:p>
    <w:p>
      <w:pPr>
        <w:bidi/>
        <w:spacing w:after="120" w:line="360" w:lineRule="auto"/>
        <w:ind w:firstLine="720"/>
        <w:jc w:val="both"/>
      </w:pPr>
      <w:r>
        <w:rPr>
          <w:rFonts w:ascii="David" w:cs="David" w:eastAsia="David" w:hAnsi="David"/>
          <w:sz w:val="24"/>
          <w:szCs w:val="24"/>
          <w:rtl/>
          <w:lang w:val="en-US" w:bidi="he-I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רשימת מקורות</w:t>
      </w:r>
    </w:p>
    <w:p>
      <w:pPr>
        <w:bidi/>
        <w:spacing w:after="0" w:line="480"/>
        <w:ind w:start="720" w:hanging="720"/>
        <w:jc w:val="start"/>
      </w:pPr>
      <w:r>
        <w:rPr>
          <w:rFonts w:ascii="David" w:cs="David" w:eastAsia="David" w:hAnsi="David"/>
          <w:i w:val="false"/>
          <w:iCs w:val="false"/>
          <w:sz w:val="24"/>
          <w:szCs w:val="24"/>
          <w:rtl/>
          <w:lang w:val="en-US" w:bidi="he-IL"/>
        </w:rPr>
        <w:t xml:space="preserve">אלון-מן, ט. וברק, ד. (2025). כיצד אוטיסטים והורים לאוטיסטים חווים את מערכת החינוך. </w:t>
      </w:r>
      <w:r>
        <w:rPr>
          <w:rFonts w:ascii="David" w:cs="David" w:eastAsia="David" w:hAnsi="David"/>
          <w:i/>
          <w:iCs/>
          <w:sz w:val="24"/>
          <w:szCs w:val="24"/>
          <w:rtl/>
          <w:lang w:val="en-US" w:bidi="he-IL"/>
        </w:rPr>
        <w:t xml:space="preserve">במעגלי חינוך: מחקר, עיון ויצירה, 14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lang w:val="en-US" w:bidi="he-IL"/>
        </w:rPr>
        <w:t xml:space="preserve">חוקרים@החינוך המיוחד, 4</w:t>
      </w:r>
      <w:r>
        <w:rPr>
          <w:rFonts w:ascii="David" w:cs="David" w:eastAsia="David" w:hAnsi="David"/>
          <w:i w:val="false"/>
          <w:iCs w:val="false"/>
          <w:sz w:val="24"/>
          <w:szCs w:val="24"/>
          <w:rtl/>
          <w:lang w:val="en-US" w:bidi="he-IL"/>
        </w:rPr>
        <w:t xml:space="preserve">, 1-39.</w:t>
      </w:r>
    </w:p>
    <w:p>
      <w:pPr>
        <w:bidi/>
        <w:spacing w:after="0" w:line="480"/>
        <w:ind w:start="720" w:hanging="720"/>
        <w:jc w:val="start"/>
      </w:pPr>
      <w:r>
        <w:rPr>
          <w:rFonts w:ascii="David" w:cs="David" w:eastAsia="David" w:hAnsi="David"/>
          <w:i w:val="false"/>
          <w:iCs w:val="false"/>
          <w:sz w:val="24"/>
          <w:szCs w:val="24"/>
          <w:rtl/>
          <w:lang w:val="en-US" w:bidi="he-IL"/>
        </w:rPr>
        <w:t xml:space="preserve">בכר-כץ, ע., גור, א., שניצר-מאירוביץ', ש., ואריאל, </w:t>
      </w:r>
      <w:r>
        <w:rPr>
          <w:rFonts w:ascii="David" w:cs="David" w:eastAsia="David" w:hAnsi="David"/>
          <w:i w:val="false"/>
          <w:iCs w:val="false"/>
          <w:sz w:val="24"/>
          <w:szCs w:val="24"/>
          <w:highlight w:val="yellow"/>
          <w:highlightCs w:val="yellow"/>
          <w:rtl/>
          <w:lang w:val="en-US" w:bidi="he-IL"/>
        </w:rPr>
        <w:t xml:space="preserve">[ר"ת]</w:t>
      </w:r>
      <w:r>
        <w:rPr>
          <w:rFonts w:ascii="David" w:cs="David" w:eastAsia="David" w:hAnsi="David"/>
          <w:i w:val="false"/>
          <w:iCs w:val="false"/>
          <w:sz w:val="24"/>
          <w:szCs w:val="24"/>
          <w:rtl/>
          <w:lang w:val="en-US" w:bidi="he-I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lang w:val="en-US" w:bidi="he-IL"/>
        </w:rPr>
        <w:t xml:space="preserve">חוקרים@הגיל הרך, 24</w:t>
      </w:r>
      <w:r>
        <w:rPr>
          <w:rFonts w:ascii="David" w:cs="David" w:eastAsia="David" w:hAnsi="David"/>
          <w:i w:val="false"/>
          <w:iCs w:val="false"/>
          <w:sz w:val="24"/>
          <w:szCs w:val="24"/>
          <w:rtl/>
          <w:lang w:val="en-US" w:bidi="he-IL"/>
        </w:rPr>
        <w:t xml:space="preserve">, </w:t>
      </w:r>
      <w:r>
        <w:rPr>
          <w:rFonts w:ascii="David" w:cs="David" w:eastAsia="David" w:hAnsi="David"/>
          <w:i w:val="false"/>
          <w:iCs w:val="false"/>
          <w:sz w:val="24"/>
          <w:szCs w:val="24"/>
          <w:highlight w:val="yellow"/>
          <w:highlightCs w:val="yellow"/>
          <w:rtl/>
          <w:lang w:val="en-US" w:bidi="he-IL"/>
        </w:rPr>
        <w:t xml:space="preserve">[עמודים]</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lang w:val="en-US" w:bidi="he-IL"/>
        </w:rPr>
        <w:t xml:space="preserve">כתב עת ישראלי לריפוי בעיסוק, 20</w:t>
      </w:r>
      <w:r>
        <w:rPr>
          <w:rFonts w:ascii="David" w:cs="David" w:eastAsia="David" w:hAnsi="David"/>
          <w:i w:val="false"/>
          <w:iCs w:val="false"/>
          <w:sz w:val="24"/>
          <w:szCs w:val="24"/>
          <w:rtl/>
          <w:lang w:val="en-US" w:bidi="he-IL"/>
        </w:rPr>
        <w:t xml:space="preserve">(2), </w:t>
      </w:r>
      <w:r>
        <w:rPr>
          <w:rFonts w:ascii="Times New Roman" w:cs="Times New Roman" w:eastAsia="Times New Roman" w:hAnsi="Times New Roman"/>
          <w:i w:val="false"/>
          <w:iCs w:val="false"/>
          <w:sz w:val="24"/>
          <w:szCs w:val="24"/>
          <w:rtl w:val="false"/>
          <w:lang w:val="en-US" w:bidi="he-IL"/>
        </w:rPr>
        <w:t xml:space="preserve">H111-H125</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הס, א., אוגן, נ., ויפתי-בזוק, א. (2025).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lang w:val="en-US" w:bidi="he-IL"/>
        </w:rPr>
        <w:t xml:space="preserve">חוקרים@הגיל הרך, 23</w:t>
      </w:r>
      <w:r>
        <w:rPr>
          <w:rFonts w:ascii="David" w:cs="David" w:eastAsia="David" w:hAnsi="David"/>
          <w:i w:val="false"/>
          <w:iCs w:val="false"/>
          <w:sz w:val="24"/>
          <w:szCs w:val="24"/>
          <w:rtl/>
          <w:lang w:val="en-US" w:bidi="he-IL"/>
        </w:rPr>
        <w:t xml:space="preserve">, 132-162. </w:t>
      </w:r>
      <w:r>
        <w:rPr>
          <w:rFonts w:ascii="David" w:cs="David" w:eastAsia="David" w:hAnsi="David"/>
          <w:i w:val="false"/>
          <w:iCs w:val="false"/>
          <w:sz w:val="24"/>
          <w:szCs w:val="24"/>
          <w:highlight w:val="yellow"/>
          <w:highlightCs w:val="yellow"/>
          <w:rtl/>
          <w:lang w:val="en-US" w:bidi="he-IL"/>
        </w:rPr>
        <w:t xml:space="preserve">[לאמת מול המאמר]</w:t>
      </w:r>
    </w:p>
    <w:p>
      <w:pPr>
        <w:bidi/>
        <w:spacing w:after="0" w:line="480"/>
        <w:ind w:start="720" w:hanging="720"/>
        <w:jc w:val="start"/>
      </w:pPr>
      <w:r>
        <w:rPr>
          <w:rFonts w:ascii="David" w:cs="David" w:eastAsia="David" w:hAnsi="David"/>
          <w:i w:val="false"/>
          <w:iCs w:val="false"/>
          <w:sz w:val="24"/>
          <w:szCs w:val="24"/>
          <w:rtl/>
          <w:lang w:val="en-US" w:bidi="he-I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lang w:val="en-US" w:bidi="he-IL"/>
        </w:rPr>
        <w:t xml:space="preserve">סוגיות בחינוך מיוחד ובשיקום, 7</w:t>
      </w:r>
      <w:r>
        <w:rPr>
          <w:rFonts w:ascii="David" w:cs="David" w:eastAsia="David" w:hAnsi="David"/>
          <w:i w:val="false"/>
          <w:iCs w:val="false"/>
          <w:sz w:val="24"/>
          <w:szCs w:val="24"/>
          <w:rtl/>
          <w:lang w:val="en-US" w:bidi="he-IL"/>
        </w:rPr>
        <w:t xml:space="preserve">(1), 19-29.</w:t>
      </w:r>
    </w:p>
    <w:p>
      <w:pPr>
        <w:bidi/>
        <w:spacing w:after="0" w:line="480"/>
        <w:ind w:start="720" w:hanging="720"/>
        <w:jc w:val="start"/>
      </w:pPr>
      <w:r>
        <w:rPr>
          <w:rFonts w:ascii="David" w:cs="David" w:eastAsia="David" w:hAnsi="David"/>
          <w:i w:val="false"/>
          <w:iCs w:val="false"/>
          <w:sz w:val="24"/>
          <w:szCs w:val="24"/>
          <w:rtl/>
          <w:lang w:val="en-US" w:bidi="he-IL"/>
        </w:rPr>
        <w:t xml:space="preserve">לב-און, ש., וקס, ס., ישי-וואס מלדה, ג', ימין-שרקי, ח., יושעי, י., ונחמיאס, א. (2024). השקט שבתוך הסערה: מיזם "החדרים השקטים". </w:t>
      </w:r>
      <w:r>
        <w:rPr>
          <w:rFonts w:ascii="David" w:cs="David" w:eastAsia="David" w:hAnsi="David"/>
          <w:i/>
          <w:iCs/>
          <w:sz w:val="24"/>
          <w:szCs w:val="24"/>
          <w:rtl/>
          <w:lang w:val="en-US" w:bidi="he-IL"/>
        </w:rPr>
        <w:t xml:space="preserve">כתב עת ישראלי לריפוי בעיסוק, 33</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H216-H233</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lang w:val="en-US" w:bidi="he-IL"/>
        </w:rPr>
        <w:t xml:space="preserve">[להשלים מחברים נוספים]</w:t>
      </w:r>
      <w:r>
        <w:rPr>
          <w:rFonts w:ascii="David" w:cs="David" w:eastAsia="David" w:hAnsi="David"/>
          <w:i w:val="false"/>
          <w:iCs w:val="false"/>
          <w:sz w:val="24"/>
          <w:szCs w:val="24"/>
          <w:rtl/>
          <w:lang w:val="en-US" w:bidi="he-I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lang w:val="en-US" w:bidi="he-IL"/>
        </w:rPr>
        <w:t xml:space="preserve">כתב עת ישראלי לריפוי בעיסוק, 30</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H157-H164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lang w:val="en-US" w:bidi="he-IL"/>
        </w:rPr>
        <w:t xml:space="preserve">מפגש לעבודה חינוכית-סוציאלית, ל</w:t>
      </w:r>
      <w:r>
        <w:rPr>
          <w:rFonts w:ascii="David" w:cs="David" w:eastAsia="David" w:hAnsi="David"/>
          <w:i w:val="false"/>
          <w:iCs w:val="false"/>
          <w:sz w:val="24"/>
          <w:szCs w:val="24"/>
          <w:rtl/>
          <w:lang w:val="en-US" w:bidi="he-IL"/>
        </w:rPr>
        <w:t xml:space="preserve">(54), 11-43.</w:t>
      </w:r>
    </w:p>
    <w:p>
      <w:pPr>
        <w:bidi/>
        <w:spacing w:after="0" w:line="480"/>
        <w:ind w:start="720" w:hanging="720"/>
        <w:jc w:val="start"/>
      </w:pPr>
      <w:r>
        <w:rPr>
          <w:rFonts w:ascii="David" w:cs="David" w:eastAsia="David" w:hAnsi="David"/>
          <w:i w:val="false"/>
          <w:iCs w:val="false"/>
          <w:sz w:val="24"/>
          <w:szCs w:val="24"/>
          <w:rtl/>
          <w:lang w:val="en-US" w:bidi="he-I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H167-H186</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שי, א. (2024). האם אפשר ללמד פעוטות עם אוטיזם מושגים שפתיים באמצעות שירים? מחקר חלוץ. </w:t>
      </w:r>
      <w:r>
        <w:rPr>
          <w:rFonts w:ascii="David" w:cs="David" w:eastAsia="David" w:hAnsi="David"/>
          <w:i/>
          <w:iCs/>
          <w:sz w:val="24"/>
          <w:szCs w:val="24"/>
          <w:rtl/>
          <w:lang w:val="en-US" w:bidi="he-IL"/>
        </w:rPr>
        <w:t xml:space="preserve">חוקרים@הגיל הרך, 22</w:t>
      </w:r>
      <w:r>
        <w:rPr>
          <w:rFonts w:ascii="David" w:cs="David" w:eastAsia="David" w:hAnsi="David"/>
          <w:i w:val="false"/>
          <w:iCs w:val="false"/>
          <w:sz w:val="24"/>
          <w:szCs w:val="24"/>
          <w:rtl/>
          <w:lang w:val="en-US" w:bidi="he-IL"/>
        </w:rPr>
        <w:t xml:space="preserve">, 55-81.</w:t>
      </w:r>
    </w:p>
    <w:p>
      <w:pPr>
        <w:bidi/>
        <w:spacing w:after="0" w:line="480"/>
        <w:ind w:start="720" w:hanging="720"/>
        <w:jc w:val="start"/>
      </w:pPr>
      <w:r>
        <w:rPr>
          <w:rFonts w:ascii="David" w:cs="David" w:eastAsia="David" w:hAnsi="David"/>
          <w:i w:val="false"/>
          <w:iCs w:val="false"/>
          <w:sz w:val="24"/>
          <w:szCs w:val="24"/>
          <w:rtl/>
          <w:lang w:val="en-US" w:bidi="he-IL"/>
        </w:rPr>
        <w:t xml:space="preserve">תורג'מן, א. וגלבוע, י. (2020). הקשר בין מיומנויות גרפו מוטוריות לתפקודים ניהוליים בקרב ילדי גן.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(1), </w:t>
      </w:r>
      <w:r>
        <w:rPr>
          <w:rFonts w:ascii="Times New Roman" w:cs="Times New Roman" w:eastAsia="Times New Roman" w:hAnsi="Times New Roman"/>
          <w:i w:val="false"/>
          <w:iCs w:val="false"/>
          <w:sz w:val="24"/>
          <w:szCs w:val="24"/>
          <w:rtl w:val="false"/>
          <w:lang w:val="en-US" w:bidi="he-IL"/>
        </w:rPr>
        <w:t xml:space="preserve">H41-H53</w:t>
      </w:r>
      <w:r>
        <w:rPr>
          <w:rFonts w:ascii="David" w:cs="David" w:eastAsia="David" w:hAnsi="David"/>
          <w:i w:val="false"/>
          <w:iCs w:val="false"/>
          <w:sz w:val="24"/>
          <w:szCs w:val="24"/>
          <w:rtl/>
          <w:lang w:val="en-US" w:bidi="he-IL"/>
        </w:rPr>
        <w:t xml:space="preserve">.</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American Psychiatric Association. (2022). </w:t>
      </w:r>
      <w:r>
        <w:rPr>
          <w:rFonts w:ascii="Times New Roman" w:cs="Times New Roman" w:eastAsia="Times New Roman" w:hAnsi="Times New Roman"/>
          <w:i/>
          <w:iCs/>
          <w:sz w:val="24"/>
          <w:szCs w:val="24"/>
          <w:lang w:val="en-US" w:bidi="he-IL"/>
        </w:rPr>
        <w:t xml:space="preserve">Diagnostic and statistical manual of mental disorders</w:t>
      </w:r>
      <w:r>
        <w:rPr>
          <w:rFonts w:ascii="Times New Roman" w:cs="Times New Roman" w:eastAsia="Times New Roman" w:hAnsi="Times New Roman"/>
          <w:i w:val="false"/>
          <w:iCs w:val="false"/>
          <w:sz w:val="24"/>
          <w:szCs w:val="24"/>
          <w:lang w:val="en-US" w:bidi="he-IL"/>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lang w:val="en-US" w:bidi="he-IL"/>
        </w:rPr>
        <w:t xml:space="preserve">Autism &amp; Developmental Language Impairments, 7</w:t>
      </w:r>
      <w:r>
        <w:rPr>
          <w:rFonts w:ascii="Times New Roman" w:cs="Times New Roman" w:eastAsia="Times New Roman" w:hAnsi="Times New Roman"/>
          <w:i w:val="false"/>
          <w:iCs w:val="false"/>
          <w:sz w:val="24"/>
          <w:szCs w:val="24"/>
          <w:lang w:val="en-US" w:bidi="he-IL"/>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lang w:val="en-US" w:bidi="he-IL"/>
        </w:rPr>
        <w:t xml:space="preserve">JCPP Advances, 3</w:t>
      </w:r>
      <w:r>
        <w:rPr>
          <w:rFonts w:ascii="Times New Roman" w:cs="Times New Roman" w:eastAsia="Times New Roman" w:hAnsi="Times New Roman"/>
          <w:i w:val="false"/>
          <w:iCs w:val="false"/>
          <w:sz w:val="24"/>
          <w:szCs w:val="24"/>
          <w:lang w:val="en-US" w:bidi="he-IL"/>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Diamond, A. (2013). Executive functions. </w:t>
      </w:r>
      <w:r>
        <w:rPr>
          <w:rFonts w:ascii="Times New Roman" w:cs="Times New Roman" w:eastAsia="Times New Roman" w:hAnsi="Times New Roman"/>
          <w:i/>
          <w:iCs/>
          <w:sz w:val="24"/>
          <w:szCs w:val="24"/>
          <w:lang w:val="en-US" w:bidi="he-IL"/>
        </w:rPr>
        <w:t xml:space="preserve">Annual Review of Psychology, 64</w:t>
      </w:r>
      <w:r>
        <w:rPr>
          <w:rFonts w:ascii="Times New Roman" w:cs="Times New Roman" w:eastAsia="Times New Roman" w:hAnsi="Times New Roman"/>
          <w:i w:val="false"/>
          <w:iCs w:val="false"/>
          <w:sz w:val="24"/>
          <w:szCs w:val="24"/>
          <w:lang w:val="en-US" w:bidi="he-IL"/>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lang w:val="en-US" w:bidi="he-IL"/>
        </w:rPr>
        <w:t xml:space="preserve">Developmental Medicine &amp; Child Neurology, 67</w:t>
      </w:r>
      <w:r>
        <w:rPr>
          <w:rFonts w:ascii="Times New Roman" w:cs="Times New Roman" w:eastAsia="Times New Roman" w:hAnsi="Times New Roman"/>
          <w:i w:val="false"/>
          <w:iCs w:val="false"/>
          <w:sz w:val="24"/>
          <w:szCs w:val="24"/>
          <w:lang w:val="en-US" w:bidi="he-IL"/>
        </w:rPr>
        <w:t xml:space="preserve">, 977-985.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lang w:val="en-US" w:bidi="he-IL"/>
        </w:rPr>
        <w:t xml:space="preserve">Autism, 27</w:t>
      </w:r>
      <w:r>
        <w:rPr>
          <w:rFonts w:ascii="Times New Roman" w:cs="Times New Roman" w:eastAsia="Times New Roman" w:hAnsi="Times New Roman"/>
          <w:i w:val="false"/>
          <w:iCs w:val="false"/>
          <w:sz w:val="24"/>
          <w:szCs w:val="24"/>
          <w:lang w:val="en-US" w:bidi="he-IL"/>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lang w:val="en-US" w:bidi="he-IL"/>
        </w:rPr>
        <w:t xml:space="preserve">Frontiers in Psychology, 14</w:t>
      </w:r>
      <w:r>
        <w:rPr>
          <w:rFonts w:ascii="Times New Roman" w:cs="Times New Roman" w:eastAsia="Times New Roman" w:hAnsi="Times New Roman"/>
          <w:i w:val="false"/>
          <w:iCs w:val="false"/>
          <w:sz w:val="24"/>
          <w:szCs w:val="24"/>
          <w:lang w:val="en-US" w:bidi="he-IL"/>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lang w:val="en-US" w:bidi="he-IL"/>
        </w:rPr>
        <w:t xml:space="preserve">Educational Psychology Review, 35</w:t>
      </w:r>
      <w:r>
        <w:rPr>
          <w:rFonts w:ascii="Times New Roman" w:cs="Times New Roman" w:eastAsia="Times New Roman" w:hAnsi="Times New Roman"/>
          <w:i w:val="false"/>
          <w:iCs w:val="false"/>
          <w:sz w:val="24"/>
          <w:szCs w:val="24"/>
          <w:lang w:val="en-US" w:bidi="he-IL"/>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lang w:val="en-US" w:bidi="he-IL"/>
        </w:rPr>
        <w:t xml:space="preserve">Autism, 29</w:t>
      </w:r>
      <w:r>
        <w:rPr>
          <w:rFonts w:ascii="Times New Roman" w:cs="Times New Roman" w:eastAsia="Times New Roman" w:hAnsi="Times New Roman"/>
          <w:i w:val="false"/>
          <w:iCs w:val="false"/>
          <w:sz w:val="24"/>
          <w:szCs w:val="24"/>
          <w:lang w:val="en-US" w:bidi="he-IL"/>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lang w:val="en-US" w:bidi="he-IL"/>
        </w:rPr>
        <w:t xml:space="preserve">Australian Occupational Therapy Journal, 71</w:t>
      </w:r>
      <w:r>
        <w:rPr>
          <w:rFonts w:ascii="Times New Roman" w:cs="Times New Roman" w:eastAsia="Times New Roman" w:hAnsi="Times New Roman"/>
          <w:i w:val="false"/>
          <w:iCs w:val="false"/>
          <w:sz w:val="24"/>
          <w:szCs w:val="24"/>
          <w:lang w:val="en-US" w:bidi="he-IL"/>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lang w:val="en-US" w:bidi="he-IL"/>
        </w:rPr>
        <w:t xml:space="preserve">Cureus, 16</w:t>
      </w:r>
      <w:r>
        <w:rPr>
          <w:rFonts w:ascii="Times New Roman" w:cs="Times New Roman" w:eastAsia="Times New Roman" w:hAnsi="Times New Roman"/>
          <w:i w:val="false"/>
          <w:iCs w:val="false"/>
          <w:sz w:val="24"/>
          <w:szCs w:val="24"/>
          <w:lang w:val="en-US" w:bidi="he-IL"/>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hemeFontLang w:val="en-US" w:bidi="he-IL"/>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 w:type="paragraph" w:styleId="TOC1">
    <w:name w:val="toc 1"/>
    <w:basedOn w:val="Normal"/>
    <w:next w:val="Normal"/>
    <w:pPr>
      <w:spacing w:after="60" w:line="360"/>
    </w:pPr>
    <w:rPr>
      <w:rFonts w:ascii="David" w:cs="David" w:eastAsia="David" w:hAnsi="David"/>
      <w:sz w:val="24"/>
      <w:szCs w:val="24"/>
    </w:rPr>
  </w:style>
  <w:style w:type="paragraph" w:styleId="TOC2">
    <w:name w:val="toc 2"/>
    <w:basedOn w:val="Normal"/>
    <w:next w:val="Normal"/>
    <w:pPr>
      <w:spacing w:after="60" w:line="360"/>
      <w:ind w:start="360"/>
    </w:pPr>
    <w:rPr>
      <w:rFonts w:ascii="David" w:cs="David" w:eastAsia="David" w:hAnsi="David"/>
      <w:sz w:val="24"/>
      <w:szCs w:val="24"/>
    </w:rPr>
  </w:style>
  <w:style w:type="paragraph" w:styleId="TOC3">
    <w:name w:val="toc 3"/>
    <w:basedOn w:val="Normal"/>
    <w:next w:val="Normal"/>
    <w:pPr>
      <w:spacing w:after="60" w:line="360"/>
      <w:ind w:start="72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2026-09-16T11:54:56.176Z</dcterms:created>
  <dcterms:modified xsi:type="dcterms:W3CDTF">2026-09-16T11:54:56.177Z</dcterms:modified>
</cp:coreProperties>
</file>

<file path=docProps/custom.xml><?xml version="1.0" encoding="utf-8"?>
<Properties xmlns="http://schemas.openxmlformats.org/officeDocument/2006/custom-properties" xmlns:vt="http://schemas.openxmlformats.org/officeDocument/2006/docPropsVTypes"/>
</file>