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480" w:lineRule="auto"/>
      </w:pPr>
      <w:r>
        <w:rPr>
          <w:rFonts w:ascii="David" w:cs="David" w:eastAsia="David" w:hAnsi="David"/>
          <w:sz w:val="24"/>
          <w:szCs w:val="24"/>
          <w:rtl/>
        </w:rPr>
        <w:t xml:space="preserve"/>
      </w:r>
    </w:p>
    <w:p>
      <w:pPr>
        <w:bidi/>
        <w:spacing w:line="480" w:lineRule="auto"/>
        <w:jc w:val="center"/>
      </w:pPr>
      <w:r>
        <w:rPr>
          <w:rFonts w:ascii="David" w:cs="David" w:eastAsia="David" w:hAnsi="David"/>
          <w:b/>
          <w:bCs/>
          <w:sz w:val="32"/>
          <w:szCs w:val="32"/>
          <w:rtl/>
        </w:rPr>
        <w:t xml:space="preserve">עבודה מספר 2</w:t>
      </w:r>
    </w:p>
    <w:p>
      <w:pPr>
        <w:bidi/>
        <w:spacing w:line="480" w:lineRule="auto"/>
      </w:pPr>
      <w:r>
        <w:rPr>
          <w:rFonts w:ascii="David" w:cs="David" w:eastAsia="David" w:hAnsi="David"/>
          <w:sz w:val="24"/>
          <w:szCs w:val="24"/>
          <w:rtl/>
        </w:rPr>
        <w:t xml:space="preserve"/>
      </w:r>
    </w:p>
    <w:p>
      <w:pPr>
        <w:bidi/>
        <w:spacing w:line="480" w:lineRule="auto"/>
        <w:jc w:val="center"/>
      </w:pPr>
      <w:r>
        <w:rPr>
          <w:rFonts w:ascii="David" w:cs="David" w:eastAsia="David" w:hAnsi="David"/>
          <w:b/>
          <w:bCs/>
          <w:sz w:val="24"/>
          <w:szCs w:val="24"/>
          <w:rtl/>
        </w:rPr>
        <w:t xml:space="preserve">השאלה:</w:t>
      </w:r>
    </w:p>
    <w:p>
      <w:pPr>
        <w:bidi/>
        <w:spacing w:line="480" w:lineRule="auto"/>
        <w:jc w:val="center"/>
      </w:pPr>
      <w:r>
        <w:rPr>
          <w:rFonts w:ascii="David" w:cs="David" w:eastAsia="David" w:hAnsi="David"/>
          <w:b/>
          <w:bCs/>
          <w:sz w:val="24"/>
          <w:szCs w:val="24"/>
          <w:rtl/>
        </w:rPr>
        <w:t xml:space="preserve">תאר, בהתבסס על ספרות המחקר, את מעורבותן של האוכלוסייה היהודית והאוכלוסייה הערבית בתהליך העיור בארץ-ישראל בשלהי התקופה העות'מאנית, והצג נתונים כמותיים המבטאים את היקף השפעתן על הערים.</w:t>
      </w:r>
    </w:p>
    <w:p>
      <w:pPr>
        <w:bidi/>
        <w:spacing w:line="480" w:lineRule="auto"/>
      </w:pPr>
      <w:r>
        <w:rPr>
          <w:rFonts w:ascii="David" w:cs="David" w:eastAsia="David" w:hAnsi="David"/>
          <w:sz w:val="24"/>
          <w:szCs w:val="24"/>
          <w:rtl/>
        </w:rPr>
        <w:t xml:space="preserve"/>
      </w:r>
    </w:p>
    <w:p>
      <w:pPr>
        <w:bidi/>
        <w:spacing w:line="480" w:lineRule="auto"/>
        <w:jc w:val="center"/>
      </w:pPr>
      <w:r>
        <w:rPr>
          <w:rFonts w:ascii="David" w:cs="David" w:eastAsia="David" w:hAnsi="David"/>
          <w:sz w:val="24"/>
          <w:szCs w:val="24"/>
          <w:rtl/>
        </w:rPr>
        <w:t xml:space="preserve">שם הקורס: ערים ועיור בשלהי התקופה העות'מאנית</w:t>
      </w:r>
    </w:p>
    <w:p>
      <w:pPr>
        <w:bidi/>
        <w:spacing w:line="480" w:lineRule="auto"/>
        <w:jc w:val="center"/>
      </w:pPr>
      <w:r>
        <w:rPr>
          <w:rFonts w:ascii="David" w:cs="David" w:eastAsia="David" w:hAnsi="David"/>
          <w:sz w:val="24"/>
          <w:szCs w:val="24"/>
          <w:rtl/>
        </w:rPr>
        <w:t xml:space="preserve">מספר הקורס: 16459</w:t>
      </w:r>
    </w:p>
    <w:p>
      <w:pPr>
        <w:bidi/>
        <w:spacing w:line="480" w:lineRule="auto"/>
        <w:jc w:val="center"/>
      </w:pPr>
      <w:r>
        <w:rPr>
          <w:rFonts w:ascii="David" w:cs="David" w:eastAsia="David" w:hAnsi="David"/>
          <w:sz w:val="24"/>
          <w:szCs w:val="24"/>
          <w:rtl/>
        </w:rPr>
        <w:t xml:space="preserve">שם פרטי ומשפחה: שהד בשארה</w:t>
      </w:r>
    </w:p>
    <w:p>
      <w:pPr>
        <w:bidi/>
        <w:spacing w:line="480" w:lineRule="auto"/>
        <w:jc w:val="center"/>
      </w:pPr>
      <w:r>
        <w:rPr>
          <w:rFonts w:ascii="David" w:cs="David" w:eastAsia="David" w:hAnsi="David"/>
          <w:sz w:val="24"/>
          <w:szCs w:val="24"/>
          <w:rtl/>
        </w:rPr>
        <w:t xml:space="preserve">מספר תעודת זהות: 213181282</w:t>
      </w:r>
    </w:p>
    <w:p>
      <w:pPr>
        <w:bidi/>
        <w:spacing w:line="480" w:lineRule="auto"/>
        <w:jc w:val="center"/>
      </w:pPr>
      <w:r>
        <w:rPr>
          <w:rFonts w:ascii="David" w:cs="David" w:eastAsia="David" w:hAnsi="David"/>
          <w:sz w:val="24"/>
          <w:szCs w:val="24"/>
          <w:rtl/>
        </w:rPr>
        <w:t xml:space="preserve">תאריך הגשה: 31-7-2026</w:t>
      </w:r>
    </w:p>
    <w:p>
      <w:pPr>
        <w:bidi/>
        <w:spacing w:line="480" w:lineRule="auto"/>
      </w:pPr>
      <w:r>
        <w:rPr>
          <w:rFonts w:ascii="David" w:cs="David" w:eastAsia="David" w:hAnsi="David"/>
          <w:sz w:val="24"/>
          <w:szCs w:val="24"/>
          <w:rtl/>
        </w:rPr>
        <w:t xml:space="preserve"/>
      </w:r>
    </w:p>
    <w:p>
      <w:pPr>
        <w:bidi/>
        <w:spacing w:line="480" w:lineRule="auto"/>
      </w:pPr>
      <w:r>
        <w:rPr>
          <w:rFonts w:ascii="David" w:cs="David" w:eastAsia="David" w:hAnsi="David"/>
          <w:sz w:val="24"/>
          <w:szCs w:val="24"/>
          <w:rtl/>
        </w:rPr>
        <w:t xml:space="preserve"/>
      </w:r>
    </w:p>
    <w:p>
      <w:pPr>
        <w:bidi/>
        <w:spacing w:line="480" w:lineRule="auto"/>
        <w:jc w:val="center"/>
      </w:pPr>
      <w:r>
        <w:rPr>
          <w:rFonts w:ascii="David" w:cs="David" w:eastAsia="David" w:hAnsi="David"/>
          <w:sz w:val="24"/>
          <w:szCs w:val="24"/>
          <w:rtl/>
        </w:rPr>
        <w:t xml:space="preserve">"הריני מצהיר/ה ומאשר/ת שלא נעשה שימוש בבינה מלאכותית לצורך הכנת עבודה זו".</w:t>
      </w:r>
    </w:p>
    <w:p>
      <w:r>
        <w:br w:type="page"/>
      </w:r>
    </w:p>
    <w:p>
      <w:pPr>
        <w:bidi/>
        <w:spacing w:line="480" w:lineRule="auto"/>
        <w:jc w:val="center"/>
      </w:pPr>
      <w:r>
        <w:rPr>
          <w:rFonts w:ascii="David" w:cs="David" w:eastAsia="David" w:hAnsi="David"/>
          <w:b/>
          <w:bCs/>
          <w:sz w:val="24"/>
          <w:szCs w:val="24"/>
          <w:rtl/>
        </w:rPr>
        <w:t xml:space="preserve">מעורבותן של האוכלוסייה היהודית והאוכלוסייה הערבית בתהליך העיור</w:t>
      </w:r>
    </w:p>
    <w:p>
      <w:pPr>
        <w:bidi/>
        <w:spacing w:line="480" w:lineRule="auto"/>
        <w:jc w:val="both"/>
      </w:pPr>
      <w:r>
        <w:rPr>
          <w:rFonts w:ascii="David" w:cs="David" w:eastAsia="David" w:hAnsi="David"/>
          <w:sz w:val="24"/>
          <w:szCs w:val="24"/>
          <w:rtl/>
        </w:rPr>
        <w:t xml:space="preserve">תהליך העיור שהתחולל בארץ-ישראל מאמצע המאה התשע-עשרה ועד מלחמת העולם הראשונה לא היה מעשה ידיה של אוכלוסייה אחת. שתי האוכלוסיות הגדולות בארץ נטלו בו חלק פעיל, כל אחת במוקדים שלה ובאמצעים שלה. תחילה תתואר מעורבותה של האוכלוסייה היהודית, אחריה מעורבותה של האוכלוסייה הערבית, ולבסוף יוצגו הנתונים הכמותיים המבטאים את היקף השפעתן על הערים.</w:t>
      </w:r>
    </w:p>
    <w:p>
      <w:pPr>
        <w:bidi/>
        <w:spacing w:line="480" w:lineRule="auto"/>
        <w:jc w:val="both"/>
      </w:pPr>
      <w:r>
        <w:rPr>
          <w:rFonts w:ascii="David" w:cs="David" w:eastAsia="David" w:hAnsi="David"/>
          <w:sz w:val="24"/>
          <w:szCs w:val="24"/>
          <w:rtl/>
        </w:rPr>
        <w:t xml:space="preserve">היישוב היהודי היה עירוני כמעט כולו. עד אמצע המאה התרכז בארבע ערי הקודש, ירושלים, צפת, טבריה וחברון, וכפי שהראה בן-אריה, גם העליות שהחלו ב-1882 הופנו ברובן אל הערים ולא אל המושבות. בירושלים היו היהודים הכוח המניע של היציאה מן החומות: אחרי משכנות שאננים (1860), שנבנתה בחסות משה מונטיפיורי, קמו נחלת שבעה (1869), מאה שערים (1874) ושכונות הנחלאות, ועד שלהי התקופה נבנה רוב השטח הבנוי החדש של העיר בידי יהודים ולמענם. המעורבות נשענה על הון שזרם מבחוץ: כספי חלוקה, נדבנים יהודים מאירופה ומוסדות חינוך ובריאות של הקהילות. ביפו התחדשה הקהילה היהודית בשנות השלושים של המאה, ובשלהי התקופה הקימה את נווה צדק (1887) ואת נווה שלום (1890). יוסי כץ, שחקר את ייסודה של חברת "אחוזת בית", הראה כי השכונה שהוקמה ב-1909 מצפון ליפו תוכננה מראש כפרוור עירוני מודרני, וממנה צמחה תל אביב. בחיפה קמה ב-1909 שכונת הרצליה, השכונה העברית הראשונה על הכרמל. לצד הבנייה תרמו היהודים לכלכלה העירונית בענפי המלאכה, המסחר, הדפוס והבנקאות.</w:t>
      </w:r>
    </w:p>
    <w:p>
      <w:pPr>
        <w:bidi/>
        <w:spacing w:line="480" w:lineRule="auto"/>
        <w:jc w:val="both"/>
      </w:pPr>
      <w:r>
        <w:rPr>
          <w:rFonts w:ascii="David" w:cs="David" w:eastAsia="David" w:hAnsi="David"/>
          <w:sz w:val="24"/>
          <w:szCs w:val="24"/>
          <w:rtl/>
        </w:rPr>
        <w:t xml:space="preserve">האוכלוסייה הערבית הייתה הרוב המכריע של תושבי הערים, וצמיחתן של ערי החוף נשענה בראש ובראשונה עליה. גרוסמן ויזבק הראו כי הגידול הדמוגרפי ניזון מהגירה פנימית של כפריים אל יפו ואל חיפה ומהגירה חיצונית ממצרים, מצפון אפריקה ומסוריה ולבנון. ביפו פיתחו יזמים ערבים את ענף הפרדסנות, שהפך למנוע הכלכלי של העיר ולסחורת הייצוא הראשית של הארץ. בשכם המשיכה תעשיית הסבון לשמש בסיס כלכלי, ועזה שגשגה על סחר השעורה עם הבדואים. המרחב הבנוי הערבי פרץ אף הוא את הגרעין הישן: ביפו קמו שכונות מנשייה ועג'מי, בחיפה נבנו שכונות חדשות משני צדי העיר העתיקה, ובירושלים הקימו המשפחות המיוחסות שכונות מוסלמיות מצפון לחומה, ובהן שייח' ג'ראח. גם ההנהגה העירונית הייתה ערבית: ראשות עיריות ירושלים ויפו הופקדה בידי בני המשפחות המוסלמיות המיוחסות, והעיריות יזמו סלילת רחובות, התקנת תאורה ופיקוח על השווקים, כפי שתיארה קרק. לב טוב הוסיף כי בשווקים, בנמלים ובשכונות המעורבות התקיימו קשרי מסחר ושכנות יומיומיים בין שתי האוכלוסיות, כך שהעיר הייתה גם מרחב המפגש העיקרי ביניהן.</w:t>
      </w:r>
    </w:p>
    <w:p>
      <w:pPr>
        <w:bidi/>
        <w:spacing w:line="480" w:lineRule="auto"/>
        <w:jc w:val="both"/>
      </w:pPr>
      <w:r>
        <w:rPr>
          <w:rFonts w:ascii="David" w:cs="David" w:eastAsia="David" w:hAnsi="David"/>
          <w:sz w:val="24"/>
          <w:szCs w:val="24"/>
          <w:rtl/>
        </w:rPr>
        <w:t xml:space="preserve">הנתונים הכמותיים ממחישים את חלקה של כל אוכלוסייה בתהליך. כלל אוכלוסיית הארץ גדלה מכ-275,000 נפש בראשית המאה לכ-797,000 ערב מלחמת העולם הראשונה, והאוכלוסייה היהודית גדלה בתוכה מכ-6,500 לכ-85,000, רובם המכריע יושבי ערים (בן-אריה). בירושלים מנו היהודים בראשית המאה כ-2,250 מתוך כ-9,000 תושבים, וערב המלחמה כ-45,000 מתוך כ-70,000. הגידול היהודי לבדו מסביר אפוא את מרבית גידולה של העיר. ביפו, שצמחה מכ-1,500 תושבים ב-1800 לכ-40,000 עד 50,000 ערב המלחמה, ישבו בסוף התקופה כ-10,000 עד 15,000 יהודים, ותל אביב הסמוכה מנתה ב-1914 כ-1,500 תושבים. רוב מניינה של העיר נותר אפוא ערבי. בחיפה, שגדלה מכ-1,000 תושבים בראשית המאה לכ-20,000 ערב המלחמה, מנה יזבק כ-10,000 מוסלמים, כ-6,000 נוצרים וכ-3,000 יהודים בלבד, והצמיחה המוסלמית המהירה ניזונה מן ההגירה הכפרית והחיצונית. ערי הפנים שמרו על צביונן הערבי: עזה גדלה מכ-8,000 לכ-40,000 תושבים ושכם מכ-7,500 לכ-25,000, כמעט ללא רכיב יהודי. גם בתחום המסחר ניכרות שתי האוכלוסיות: גרוס הראה כי היקף הסחר החיצוני של הארץ גדל פי כמה במחצית השנייה של המאה, וייצוא ההדרים מנמל יפו, ענף שרובו היה בבעלות ערבית, הגיע ערב המלחמה לכמיליון וחצי תיבות בשנה.</w:t>
      </w:r>
    </w:p>
    <w:p>
      <w:pPr>
        <w:bidi/>
        <w:spacing w:line="480" w:lineRule="auto"/>
        <w:jc w:val="both"/>
      </w:pPr>
      <w:r>
        <w:rPr>
          <w:rFonts w:ascii="David" w:cs="David" w:eastAsia="David" w:hAnsi="David"/>
          <w:sz w:val="24"/>
          <w:szCs w:val="24"/>
          <w:rtl/>
        </w:rPr>
        <w:t xml:space="preserve">העולה מן הנתונים הוא שהעיור היה מפעל משותף אך לא סימטרי. האוכלוסייה הערבית נשאה את עיקר הגידול בערי החוף ובערי הפנים באמצעות הגירה, מסחר ופרדסנות, ואילו האוכלוסייה היהודית ריכזה את השפעתה בירושלים וביפו, ושם שינתה את המאזן הדמוגרפי ואת דמות המרחב הבנוי באמצעות הון חיצוני ובנייה שכונתית מתוכננת.</w:t>
      </w:r>
    </w:p>
    <w:p>
      <w:r>
        <w:br w:type="page"/>
      </w:r>
    </w:p>
    <w:p>
      <w:pPr>
        <w:bidi/>
        <w:spacing w:line="480" w:lineRule="auto"/>
        <w:jc w:val="center"/>
      </w:pPr>
      <w:r>
        <w:rPr>
          <w:rFonts w:ascii="David" w:cs="David" w:eastAsia="David" w:hAnsi="David"/>
          <w:b/>
          <w:bCs/>
          <w:sz w:val="24"/>
          <w:szCs w:val="24"/>
          <w:rtl/>
        </w:rPr>
        <w:t xml:space="preserve">ספרות המחקר</w:t>
      </w:r>
    </w:p>
    <w:p>
      <w:pPr>
        <w:bidi/>
        <w:spacing w:line="480" w:lineRule="auto"/>
        <w:jc w:val="both"/>
      </w:pPr>
      <w:r>
        <w:rPr>
          <w:rFonts w:ascii="David" w:cs="David" w:eastAsia="David" w:hAnsi="David"/>
          <w:b w:val="false"/>
          <w:bCs w:val="false"/>
          <w:sz w:val="24"/>
          <w:szCs w:val="24"/>
          <w:rtl/>
        </w:rPr>
        <w:t xml:space="preserve">בן-אריה, יהושע, "שנים-עשר היישובים הגדולים בארץ-ישראל במאה התשע-עשרה", </w:t>
      </w:r>
      <w:r>
        <w:rPr>
          <w:rFonts w:ascii="David" w:cs="David" w:eastAsia="David" w:hAnsi="David"/>
          <w:b/>
          <w:bCs/>
          <w:sz w:val="24"/>
          <w:szCs w:val="24"/>
          <w:rtl/>
        </w:rPr>
        <w:t xml:space="preserve">קתדרה</w:t>
      </w:r>
      <w:r>
        <w:rPr>
          <w:rFonts w:ascii="David" w:cs="David" w:eastAsia="David" w:hAnsi="David"/>
          <w:b w:val="false"/>
          <w:bCs w:val="false"/>
          <w:sz w:val="24"/>
          <w:szCs w:val="24"/>
          <w:rtl/>
        </w:rPr>
        <w:t xml:space="preserve">, 19 (תשמ"א), עמ' 83-143.</w:t>
      </w:r>
    </w:p>
    <w:p>
      <w:pPr>
        <w:bidi/>
        <w:spacing w:line="480" w:lineRule="auto"/>
        <w:jc w:val="both"/>
      </w:pPr>
      <w:r>
        <w:rPr>
          <w:rFonts w:ascii="David" w:cs="David" w:eastAsia="David" w:hAnsi="David"/>
          <w:b w:val="false"/>
          <w:bCs w:val="false"/>
          <w:sz w:val="24"/>
          <w:szCs w:val="24"/>
          <w:rtl/>
        </w:rPr>
        <w:t xml:space="preserve">בן-אריה, יהושע, "אוכלוסיית ארץ-ישראל ויישוביה ערב מפעל ההתיישבות הציונית", יהושע בן-אריה ואחרים (עורכים), </w:t>
      </w:r>
      <w:r>
        <w:rPr>
          <w:rFonts w:ascii="David" w:cs="David" w:eastAsia="David" w:hAnsi="David"/>
          <w:b/>
          <w:bCs/>
          <w:sz w:val="24"/>
          <w:szCs w:val="24"/>
          <w:rtl/>
        </w:rPr>
        <w:t xml:space="preserve">מחקרים בגאוגרפיה היסטורית של ארץ-ישראל</w:t>
      </w:r>
      <w:r>
        <w:rPr>
          <w:rFonts w:ascii="David" w:cs="David" w:eastAsia="David" w:hAnsi="David"/>
          <w:b w:val="false"/>
          <w:bCs w:val="false"/>
          <w:sz w:val="24"/>
          <w:szCs w:val="24"/>
          <w:rtl/>
        </w:rPr>
        <w:t xml:space="preserve">, ירושלים: יד יצחק בן-צבי, 1987, עמ' 1-19.</w:t>
      </w:r>
    </w:p>
    <w:p>
      <w:pPr>
        <w:bidi/>
        <w:spacing w:line="480" w:lineRule="auto"/>
        <w:jc w:val="both"/>
      </w:pPr>
      <w:r>
        <w:rPr>
          <w:rFonts w:ascii="David" w:cs="David" w:eastAsia="David" w:hAnsi="David"/>
          <w:b w:val="false"/>
          <w:bCs w:val="false"/>
          <w:sz w:val="24"/>
          <w:szCs w:val="24"/>
          <w:rtl/>
        </w:rPr>
        <w:t xml:space="preserve">גרוס, נחום, "תמורות כלכליות בארץ-ישראל בסוף התקופה העות'מאנית", </w:t>
      </w:r>
      <w:r>
        <w:rPr>
          <w:rFonts w:ascii="David" w:cs="David" w:eastAsia="David" w:hAnsi="David"/>
          <w:b/>
          <w:bCs/>
          <w:sz w:val="24"/>
          <w:szCs w:val="24"/>
          <w:rtl/>
        </w:rPr>
        <w:t xml:space="preserve">קתדרה</w:t>
      </w:r>
      <w:r>
        <w:rPr>
          <w:rFonts w:ascii="David" w:cs="David" w:eastAsia="David" w:hAnsi="David"/>
          <w:b w:val="false"/>
          <w:bCs w:val="false"/>
          <w:sz w:val="24"/>
          <w:szCs w:val="24"/>
          <w:rtl/>
        </w:rPr>
        <w:t xml:space="preserve">, 2 (תשל"ז), עמ' 111-138.</w:t>
      </w:r>
    </w:p>
    <w:p>
      <w:pPr>
        <w:bidi/>
        <w:spacing w:line="480" w:lineRule="auto"/>
        <w:jc w:val="both"/>
      </w:pPr>
      <w:r>
        <w:rPr>
          <w:rFonts w:ascii="David" w:cs="David" w:eastAsia="David" w:hAnsi="David"/>
          <w:b w:val="false"/>
          <w:bCs w:val="false"/>
          <w:sz w:val="24"/>
          <w:szCs w:val="24"/>
          <w:rtl/>
        </w:rPr>
        <w:t xml:space="preserve">גרוסמן, דוד, "האוכלוסייה הערבית בארץ-ישראל בתקופה העות'מאנית: תדמית ומציאות", </w:t>
      </w:r>
      <w:r>
        <w:rPr>
          <w:rFonts w:ascii="David" w:cs="David" w:eastAsia="David" w:hAnsi="David"/>
          <w:b/>
          <w:bCs/>
          <w:sz w:val="24"/>
          <w:szCs w:val="24"/>
          <w:rtl/>
        </w:rPr>
        <w:t xml:space="preserve">אופקים בגאוגרפיה</w:t>
      </w:r>
      <w:r>
        <w:rPr>
          <w:rFonts w:ascii="David" w:cs="David" w:eastAsia="David" w:hAnsi="David"/>
          <w:b w:val="false"/>
          <w:bCs w:val="false"/>
          <w:sz w:val="24"/>
          <w:szCs w:val="24"/>
          <w:rtl/>
        </w:rPr>
        <w:t xml:space="preserve">, 68-69 (תשס"ח), עמ' 6-34.</w:t>
      </w:r>
    </w:p>
    <w:p>
      <w:pPr>
        <w:bidi/>
        <w:spacing w:line="480" w:lineRule="auto"/>
        <w:jc w:val="both"/>
      </w:pPr>
      <w:r>
        <w:rPr>
          <w:rFonts w:ascii="David" w:cs="David" w:eastAsia="David" w:hAnsi="David"/>
          <w:b w:val="false"/>
          <w:bCs w:val="false"/>
          <w:sz w:val="24"/>
          <w:szCs w:val="24"/>
          <w:rtl/>
        </w:rPr>
        <w:t xml:space="preserve">יזבק, מחמוד, "חיפה העות'מאנית: צמיחה דמוגרפית וריבוי עדתי", </w:t>
      </w:r>
      <w:r>
        <w:rPr>
          <w:rFonts w:ascii="David" w:cs="David" w:eastAsia="David" w:hAnsi="David"/>
          <w:b/>
          <w:bCs/>
          <w:sz w:val="24"/>
          <w:szCs w:val="24"/>
          <w:rtl/>
        </w:rPr>
        <w:t xml:space="preserve">אופקים בגאוגרפיה</w:t>
      </w:r>
      <w:r>
        <w:rPr>
          <w:rFonts w:ascii="David" w:cs="David" w:eastAsia="David" w:hAnsi="David"/>
          <w:b w:val="false"/>
          <w:bCs w:val="false"/>
          <w:sz w:val="24"/>
          <w:szCs w:val="24"/>
          <w:rtl/>
        </w:rPr>
        <w:t xml:space="preserve">, 73-74 (2009), עמ' 58-76.</w:t>
      </w:r>
    </w:p>
    <w:p>
      <w:pPr>
        <w:bidi/>
        <w:spacing w:line="480" w:lineRule="auto"/>
        <w:jc w:val="both"/>
      </w:pPr>
      <w:r>
        <w:rPr>
          <w:rFonts w:ascii="David" w:cs="David" w:eastAsia="David" w:hAnsi="David"/>
          <w:b w:val="false"/>
          <w:bCs w:val="false"/>
          <w:sz w:val="24"/>
          <w:szCs w:val="24"/>
          <w:rtl/>
        </w:rPr>
        <w:t xml:space="preserve">כץ, יוסי, "הקמתה וראשיתה של שכונת הרצליה: השכונה העברית הראשונה על הכרמל", </w:t>
      </w:r>
      <w:r>
        <w:rPr>
          <w:rFonts w:ascii="David" w:cs="David" w:eastAsia="David" w:hAnsi="David"/>
          <w:b/>
          <w:bCs/>
          <w:sz w:val="24"/>
          <w:szCs w:val="24"/>
          <w:rtl/>
        </w:rPr>
        <w:t xml:space="preserve">אופקים בגאוגרפיה</w:t>
      </w:r>
      <w:r>
        <w:rPr>
          <w:rFonts w:ascii="David" w:cs="David" w:eastAsia="David" w:hAnsi="David"/>
          <w:b w:val="false"/>
          <w:bCs w:val="false"/>
          <w:sz w:val="24"/>
          <w:szCs w:val="24"/>
          <w:rtl/>
        </w:rPr>
        <w:t xml:space="preserve">, 8 (1983), עמ' 49-56.</w:t>
      </w:r>
    </w:p>
    <w:p>
      <w:pPr>
        <w:bidi/>
        <w:spacing w:line="480" w:lineRule="auto"/>
        <w:jc w:val="both"/>
      </w:pPr>
      <w:r>
        <w:rPr>
          <w:rFonts w:ascii="David" w:cs="David" w:eastAsia="David" w:hAnsi="David"/>
          <w:b w:val="false"/>
          <w:bCs w:val="false"/>
          <w:sz w:val="24"/>
          <w:szCs w:val="24"/>
          <w:rtl/>
        </w:rPr>
        <w:t xml:space="preserve">כץ, יוסי, "חברת 'אחוזת בית' 1906-1909: הנחת היסודות להקמתה של תל אביב", </w:t>
      </w:r>
      <w:r>
        <w:rPr>
          <w:rFonts w:ascii="David" w:cs="David" w:eastAsia="David" w:hAnsi="David"/>
          <w:b/>
          <w:bCs/>
          <w:sz w:val="24"/>
          <w:szCs w:val="24"/>
          <w:rtl/>
        </w:rPr>
        <w:t xml:space="preserve">קתדרה</w:t>
      </w:r>
      <w:r>
        <w:rPr>
          <w:rFonts w:ascii="David" w:cs="David" w:eastAsia="David" w:hAnsi="David"/>
          <w:b w:val="false"/>
          <w:bCs w:val="false"/>
          <w:sz w:val="24"/>
          <w:szCs w:val="24"/>
          <w:rtl/>
        </w:rPr>
        <w:t xml:space="preserve">, 33 (1984), עמ' 161-191.</w:t>
      </w:r>
    </w:p>
    <w:p>
      <w:pPr>
        <w:bidi/>
        <w:spacing w:line="480" w:lineRule="auto"/>
        <w:jc w:val="both"/>
      </w:pPr>
      <w:r>
        <w:rPr>
          <w:rFonts w:ascii="David" w:cs="David" w:eastAsia="David" w:hAnsi="David"/>
          <w:b w:val="false"/>
          <w:bCs w:val="false"/>
          <w:sz w:val="24"/>
          <w:szCs w:val="24"/>
          <w:rtl/>
        </w:rPr>
        <w:t xml:space="preserve">לב טוב, בועז, "שכנים נוכחים: קשרים תרבותיים בין יהודים לערבים בארץ-ישראל בשלהי התקופה העות'מאנית", </w:t>
      </w:r>
      <w:r>
        <w:rPr>
          <w:rFonts w:ascii="David" w:cs="David" w:eastAsia="David" w:hAnsi="David"/>
          <w:b/>
          <w:bCs/>
          <w:sz w:val="24"/>
          <w:szCs w:val="24"/>
          <w:rtl/>
        </w:rPr>
        <w:t xml:space="preserve">זמנים</w:t>
      </w:r>
      <w:r>
        <w:rPr>
          <w:rFonts w:ascii="David" w:cs="David" w:eastAsia="David" w:hAnsi="David"/>
          <w:b w:val="false"/>
          <w:bCs w:val="false"/>
          <w:sz w:val="24"/>
          <w:szCs w:val="24"/>
          <w:rtl/>
        </w:rPr>
        <w:t xml:space="preserve">, 110 (2010), עמ' 42-54.</w:t>
      </w:r>
    </w:p>
    <w:p>
      <w:pPr>
        <w:bidi/>
        <w:spacing w:line="480" w:lineRule="auto"/>
        <w:jc w:val="both"/>
      </w:pPr>
      <w:r>
        <w:rPr>
          <w:rFonts w:ascii="David" w:cs="David" w:eastAsia="David" w:hAnsi="David"/>
          <w:b w:val="false"/>
          <w:bCs w:val="false"/>
          <w:sz w:val="24"/>
          <w:szCs w:val="24"/>
          <w:rtl/>
        </w:rPr>
        <w:t xml:space="preserve">קרק, רות, "השינוי במעמדן של ערי החוף במאה הי"ט", בנימין זאב קדר ואחרים (עורכים), </w:t>
      </w:r>
      <w:r>
        <w:rPr>
          <w:rFonts w:ascii="David" w:cs="David" w:eastAsia="David" w:hAnsi="David"/>
          <w:b/>
          <w:bCs/>
          <w:sz w:val="24"/>
          <w:szCs w:val="24"/>
          <w:rtl/>
        </w:rPr>
        <w:t xml:space="preserve">פרקים בתולדות המסחר בארץ ישראל</w:t>
      </w:r>
      <w:r>
        <w:rPr>
          <w:rFonts w:ascii="David" w:cs="David" w:eastAsia="David" w:hAnsi="David"/>
          <w:b w:val="false"/>
          <w:bCs w:val="false"/>
          <w:sz w:val="24"/>
          <w:szCs w:val="24"/>
          <w:rtl/>
        </w:rPr>
        <w:t xml:space="preserve">, ירושלים: יד יצחק בן-צבי, 1990, עמ' 324-337.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2026-07-31T20:18:31.037Z</dcterms:created>
  <dcterms:modified xsi:type="dcterms:W3CDTF">2026-07-31T20:18:31.037Z</dcterms:modified>
</cp:coreProperties>
</file>

<file path=docProps/custom.xml><?xml version="1.0" encoding="utf-8"?>
<Properties xmlns="http://schemas.openxmlformats.org/officeDocument/2006/custom-properties" xmlns:vt="http://schemas.openxmlformats.org/officeDocument/2006/docPropsVTypes"/>
</file>