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לפי </w:t>
      </w:r>
      <w:r>
        <w:rPr>
          <w:b/>
          <w:sz w:val="24"/>
          <w:rtl/>
          <w:szCs w:val="24"/>
          <w:bCs/>
        </w:rPr>
        <w:t>סעיף 22 לחוק</w:t>
      </w:r>
      <w:r>
        <w:rPr>
          <w:sz w:val="24"/>
          <w:rtl/>
          <w:szCs w:val="24"/>
        </w:rPr>
        <w:t xml:space="preserve"> הוראה אישית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4"/>
      </w:r>
      <w:r>
        <w:rPr>
          <w:sz w:val="24"/>
          <w:rtl/>
          <w:szCs w:val="24"/>
        </w:rPr>
        <w:t xml:space="preserve"> מטרתו העיקרית של ארגון עובדים חייבת להיות משא ומתן קיבוצי לשיפור תנאי העבודה,</w:t>
      </w:r>
      <w:r>
        <w:rPr>
          <w:vertAlign w:val="superscript"/>
        </w:rPr>
        <w:footnoteReference w:id="5"/>
      </w:r>
      <w:r>
        <w:rPr>
          <w:sz w:val="24"/>
          <w:rtl/>
          <w:szCs w:val="24"/>
        </w:rPr>
        <w:t xml:space="preserve"> וכשעיקר התנאים מעוגנים בחוזים האישיים, נותרת לזירה הקיבוצית רק "הפריפריה" של תנאי העבודה.</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כך גם כאן, ואין נפקות לכך שעובדים רבים הצטרפו לקבוצה. יתרה מזו, בנוקיה נקבע שהחברה לא תמכה בארגון הפנימי,</w:t>
      </w:r>
      <w:r>
        <w:rPr>
          <w:vertAlign w:val="superscript"/>
        </w:rPr>
        <w:footnoteReference w:id="8"/>
      </w:r>
      <w:r>
        <w:rPr>
          <w:sz w:val="24"/>
          <w:rtl/>
          <w:szCs w:val="24"/>
        </w:rPr>
        <w:t xml:space="preserve">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9"/>
      </w:r>
      <w:r>
        <w:rPr>
          <w:sz w:val="24"/>
          <w:rtl/>
          <w:szCs w:val="24"/>
        </w:rPr>
        <w:t xml:space="preserve"> נקבע כי בשלב </w:t>
      </w:r>
      <w:r>
        <w:rPr>
          <w:b/>
          <w:sz w:val="24"/>
          <w:rtl/>
          <w:szCs w:val="24"/>
          <w:bCs/>
        </w:rPr>
        <w:t>ההתארגנות הפורצת</w:t>
      </w:r>
      <w:r>
        <w:rPr>
          <w:sz w:val="24"/>
          <w:rtl/>
          <w:szCs w:val="24"/>
        </w:rPr>
        <w:t>, לפני שקם ארגון יציג, גובר חופש ההתארגנות על חופש הביטוי של המעסיק.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ההלכה אושרה בבג"ץ.</w:t>
      </w:r>
      <w:r>
        <w:rPr>
          <w:vertAlign w:val="superscript"/>
        </w:rPr>
        <w:footnoteReference w:id="10"/>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11"/>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12"/>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13"/>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4"/>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 תחושתה של דנה כי הם "חברים טובים" אינה מכרעת: אילו הוכח ניצול מרות, היה עליה לזהות בעצמה שההתנהגות עלולה לפגוע, ואין צורך שאורי יראה זאת.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5"/>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6"/>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7"/>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8"/>
      </w:r>
      <w:r>
        <w:rPr>
          <w:sz w:val="24"/>
          <w:rtl/>
          <w:szCs w:val="24"/>
        </w:rPr>
        <w:t xml:space="preserve"> אם תוכח התנכלות, רשאי בית הדין לפסוק לאורי פיצוי של עד 120,000 ש"ח ללא הוכחת נזק.</w:t>
      </w:r>
      <w:r>
        <w:rPr>
          <w:vertAlign w:val="superscript"/>
        </w:rPr>
        <w:footnoteReference w:id="19"/>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20"/>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21"/>
      </w:r>
      <w:r>
        <w:rPr>
          <w:sz w:val="24"/>
          <w:rtl/>
          <w:szCs w:val="24"/>
        </w:rPr>
        <w:t xml:space="preserve"> עם זאת, העברה בין תפקידים נחשבת בדרך כלל לחלק מהפררוגטיבה, בכפוף לתום הלב.</w:t>
      </w:r>
      <w:r>
        <w:rPr>
          <w:vertAlign w:val="superscript"/>
        </w:rPr>
        <w:footnoteReference w:id="22"/>
      </w:r>
      <w:r>
        <w:rPr>
          <w:sz w:val="24"/>
          <w:rtl/>
          <w:szCs w:val="24"/>
        </w:rPr>
        <w:t xml:space="preserve"> העברתו של אורי פגעה במעמדו אף ששכרו לא השתנה, ותזמונה מעורר ספק בתום הלב. שינוי ב"תיאור עיקרי התפקיד" מחייב הודעה בכתב בתוך 30 יום, ובהיעדרה הנטל עובר למעסיק.</w:t>
      </w:r>
      <w:r>
        <w:rPr>
          <w:vertAlign w:val="superscript"/>
        </w:rPr>
        <w:footnoteReference w:id="23"/>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4"/>
      </w:r>
      <w:r>
        <w:rPr>
          <w:sz w:val="24"/>
          <w:rtl/>
          <w:szCs w:val="24"/>
        </w:rPr>
        <w:t xml:space="preserve"> הזכאות עצמה מותנית בשנת עבודה אחת ברציפות אצל אותו מעסיק,</w:t>
      </w:r>
      <w:r>
        <w:rPr>
          <w:vertAlign w:val="superscript"/>
        </w:rPr>
        <w:footnoteReference w:id="25"/>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ב</w:t>
      </w:r>
      <w:r>
        <w:rPr>
          <w:b/>
          <w:sz w:val="24"/>
          <w:rtl/>
          <w:szCs w:val="24"/>
          <w:bCs/>
        </w:rPr>
        <w:t>עניין גולן</w:t>
      </w:r>
      <w:r>
        <w:rPr>
          <w:vertAlign w:val="superscript"/>
        </w:rPr>
        <w:footnoteReference w:id="26"/>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w:t>
      </w:r>
      <w:r>
        <w:rPr>
          <w:vertAlign w:val="superscript"/>
        </w:rPr>
        <w:footnoteReference w:id="27"/>
      </w:r>
      <w:r>
        <w:rPr>
          <w:sz w:val="24"/>
          <w:rtl/>
          <w:szCs w:val="24"/>
        </w:rPr>
        <w:t xml:space="preserve"> שתיקתו מלמדת על השלמה.</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ניצן צבי כהן "בית הדין קבע: ההסתדרות תשמש כארגון העובדים היציג בחברת נוקיה" דבר 10.6.2025.</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כפי שצוטט אצל ניצן צבי כהן "בית הדין קבע: ההסתדרות תשמש כארגון העובדים היציג בחברת נוקיה" דבר 10.6.2025.</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עניין נוקיה, לעיל ה"ש 4,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עניין נוקיה, לעיל ה"ש 4, פס' 18.</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12, בעמ' 324.</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12, בעמ' 324.</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ס' 6(ב) לחוק למניעת הטרדה מינית; ס' 10(א)(1) לחוק שוויון ההזדמנויות בעבודה.</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5">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6">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 w:id="27">
    <w:p>
      <w:pPr>
        <w:bidi/>
        <w:spacing w:before="0" w:after="0" w:line="240" w:lineRule="auto"/>
        <w:jc w:val="both"/>
      </w:pPr>
      <w:r>
        <w:rPr>
          <w:vertAlign w:val="superscript"/>
          <w:sz w:val="20"/>
        </w:rPr>
        <w:footnoteRef/>
      </w:r>
      <w:r>
        <w:rPr>
          <w:sz w:val="20"/>
        </w:rPr>
        <w:t xml:space="preserve"> </w:t>
      </w:r>
      <w:r>
        <w:rPr>
          <w:rtl/>
          <w:sz w:val="20"/>
          <w:szCs w:val="20"/>
        </w:rPr>
        <w:t xml:space="preserve">ע"ע (ארצי) 28475-03-20 סלמאן נ' אקובג בע"מ, פס' 4-10 (נבו 7.12.2020).</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