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12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سؤال مركزيّ: ما مظاهر السّخرية في الرّسالة، وبأيّ أدوات فنّيّة تحقّقت، وما الوظائف الّتي تؤدّيها في النّصّ؟ ويسير البحث في ثلاثة فصول: يقف الأوّل عند فنّ التّرسّل وأنواعه وأشكاله بوصفه القالب الّذي خرجت منه الرّسالة، ويعرض الثّاني لعصر المعرّي وحياته وآثاره وظروف تأليف الرّسالة، ويرصد الثّالث موضوعات السّخرية فيها: من ابن القارح وتوبته وتملّقه، ومن الشّعراء والرّواة واللّغويّين ومقاييسهم، ومن التّصوّرات الحسّيّة الشّائعة عن النّعيم والعذاب، كما يحلّل أدواتها الفنّيّة من مفارقة وقلب للمعنى ومحاكاة ساخرة ومبالغة وحوار.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كيف وظّف المعرّي قالب التّرسّل في بناء نصّ ساخر؟ ب. ممّن يسخر المعرّي وممّ يسخر؟ ج. ما موقف الكاتب نفسه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r>
        <w:rPr>
          <w:rStyle w:val="FootnoteReference"/>
        </w:rPr>
        <w:footnoteReference w:id="4"/>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ودلالة هذا لموضوعنا أنّ الرّسالة كانت في صميم الحياة العامّة، ولها من الرّسوم المستقرّة ما يجعل الخروج عليها ملحوظًا؛ والسّخرية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6"/>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7"/>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شرّاح الغفران يقفون عند غريبه إلى اليوم. وممّا يلحظه الباحث أنّ هذه الصّنعة نفسها تدخل عنده في لعبة السّخرية: فالسّجع المتكلّف والغريب المتقعّر يساقان في مواضع الهزل، فيصير التّأنّق الأسلوبيّ ذاته موضع ابتسام، وكأنّه يسخر من صنعة عصره وهو يجاريها؛ وهي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وفي طليعة هؤلاء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5"/>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6"/>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7"/>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8"/>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20"/>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21"/>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22"/>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4"/>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5"/>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7"/>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8"/>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29"/>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3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31"/>
      </w:r>
      <w:r>
        <w:rPr>
          <w:rFonts w:ascii="Times New Roman" w:cs="Traditional Arabic" w:hAnsi="Times New Roman"/>
          <w:b w:val="false"/>
          <w:sz w:val="32"/>
          <w:szCs w:val="32"/>
          <w:rtl/>
        </w:rPr>
        <w:t xml:space="preserve">. فمن ناحية تكشف الرّسالة عن مؤمن يعيش إيمانه بكلّ جوارحه، وعن شكّاك لا يرى فائدة في الصّورة الّتي يصنعها المتكلّمون للدّين</w:t>
      </w:r>
      <w:r>
        <w:rPr>
          <w:rStyle w:val="FootnoteReference"/>
        </w:rPr>
        <w:footnoteReference w:id="3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3"/>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4"/>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5"/>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6"/>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7"/>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8"/>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39"/>
      </w:r>
      <w:r>
        <w:rPr>
          <w:rFonts w:ascii="Times New Roman" w:cs="Traditional Arabic" w:hAnsi="Times New Roman"/>
          <w:b w:val="false"/>
          <w:sz w:val="32"/>
          <w:szCs w:val="32"/>
          <w:rtl/>
        </w:rPr>
        <w:t xml:space="preserve">، كما عرّف نيكلسون القرّاء الأوروبّيّين بشعره وفكره منذ مطلع القرن العشرين</w:t>
      </w:r>
      <w:r>
        <w:rPr>
          <w:rStyle w:val="FootnoteReference"/>
        </w:rPr>
        <w:footnoteReference w:id="40"/>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1"/>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42"/>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3"/>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4"/>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5"/>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6"/>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7"/>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8"/>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9"/>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0"/>
      </w:r>
      <w:r>
        <w:rPr>
          <w:rFonts w:ascii="Times New Roman" w:cs="Traditional Arabic" w:hAnsi="Times New Roman"/>
          <w:b w:val="false"/>
          <w:sz w:val="32"/>
          <w:szCs w:val="32"/>
          <w:rtl/>
        </w:rPr>
        <w:t xml:space="preserve">، والأعشى نجا بمدحه النّبيّ وإن مات قبل أن يسلم.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1"/>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2"/>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3"/>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5"/>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6"/>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120" w:before="0" w:line="360" w:lineRule="auto"/>
        <w:jc w:val="both"/>
      </w:pPr>
      <w:r>
        <w:rPr>
          <w:rFonts w:ascii="Times New Roman" w:cs="Traditional Arabic" w:hAnsi="Times New Roman"/>
          <w:b w:val="false"/>
          <w:sz w:val="32"/>
          <w:szCs w:val="32"/>
          <w:rtl/>
        </w:rPr>
        <w:t xml:space="preserve">ويجدر التّنبيه إلى تفاوت منسوب السّخرية بين قسمي الرّسالة؛ فهي في قسم الرّحلة مبثوثة في نسيج القصّ ذاته، تتولّد من المواقف والحوارات، أمّا في قسم الرّدّ المباشر فتضيق مساحة القصّ وتحلّ محلّها سخرية أدقّ مسلكًا: مجاملات مبالغ فيها، وتنزيه للمخاطب يشفّ عن عكسه، ومناقشة لمسائل التّوبة والزّهد يظاهرها التّسليم ويبطنها الفحص. وبذلك تظلّ السّخرية حاضرة في القسمين معًا وإن اختلفت أدواتها، وهو ما يقوّي القول بأنّها بنية ناظمة للرّسالة كلّها لا خاصّيّة لقسم الرّحلة وحده.</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7"/>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8"/>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9"/>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60"/>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ولا بدّ هنا من احتياط منهجيّ: فالسّخرية قائمة على الإيحاء لا التّصريح، وقارئها مطالب دومًا بأن يقدّر النّوايا تقديرًا، وهذه منطقة تكثر فيها مزالق التّأويل. ولذلك آثر هذا البحث الوقوف عند ما يسنده بناء النّصّ نفسه من مفارقات ومواقف، من غير قطع بمقاصد للكاتب لا سبيل إلى التّثبّت منها؛ فالمعرّي، كما مرّ، أحكم إغلاق نصّه على أكثر من قراءة، ولعلّ هذا الإحكام نفسه جزء من لعبته السّاخرة.</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1"/>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62"/>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ضمن سلسلة مكتبة الأدب العربيّ، فاتّسعت دائرة قرّائها.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bidi/>
        <w:spacing w:after="12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bidi/>
        <w:spacing w:after="12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120" w:before="0" w:line="360" w:lineRule="auto"/>
        <w:jc w:val="both"/>
      </w:pPr>
      <w:r>
        <w:rPr>
          <w:rFonts w:ascii="Times New Roman" w:cs="Traditional Arabic" w:hAnsi="Times New Roman"/>
          <w:b w:val="false"/>
          <w:sz w:val="32"/>
          <w:szCs w:val="32"/>
          <w:rtl/>
        </w:rPr>
        <w:t xml:space="preserve">2.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120" w:before="0" w:line="360" w:lineRule="auto"/>
        <w:jc w:val="both"/>
      </w:pPr>
      <w:r>
        <w:rPr>
          <w:rFonts w:ascii="Times New Roman" w:cs="Traditional Arabic" w:hAnsi="Times New Roman"/>
          <w:b w:val="false"/>
          <w:sz w:val="32"/>
          <w:szCs w:val="32"/>
          <w:rtl/>
        </w:rPr>
        <w:t xml:space="preserve">3.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تعليق وإشراف: عبد الهادي هاشم. دمشق: المجمع العلميّ العربيّ، 1962-1964.</w:t>
      </w:r>
    </w:p>
    <w:p>
      <w:pPr>
        <w:bidi/>
        <w:spacing w:after="120" w:before="0" w:line="360" w:lineRule="auto"/>
        <w:jc w:val="both"/>
      </w:pPr>
      <w:r>
        <w:rPr>
          <w:rFonts w:ascii="Times New Roman" w:cs="Traditional Arabic" w:hAnsi="Times New Roman"/>
          <w:b w:val="false"/>
          <w:sz w:val="32"/>
          <w:szCs w:val="32"/>
          <w:rtl/>
        </w:rPr>
        <w:t xml:space="preserve">4.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120" w:before="0" w:line="360" w:lineRule="auto"/>
        <w:jc w:val="both"/>
      </w:pPr>
      <w:r>
        <w:rPr>
          <w:rFonts w:ascii="Times New Roman" w:cs="Traditional Arabic" w:hAnsi="Times New Roman"/>
          <w:b w:val="false"/>
          <w:sz w:val="32"/>
          <w:szCs w:val="32"/>
          <w:rtl/>
        </w:rPr>
        <w:t xml:space="preserve">6.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7.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120" w:before="0" w:line="360" w:lineRule="auto"/>
        <w:jc w:val="both"/>
      </w:pPr>
      <w:r>
        <w:rPr>
          <w:rFonts w:ascii="Times New Roman" w:cs="Traditional Arabic" w:hAnsi="Times New Roman"/>
          <w:b w:val="false"/>
          <w:sz w:val="32"/>
          <w:szCs w:val="32"/>
          <w:rtl/>
        </w:rPr>
        <w:t xml:space="preserve">8.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9.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10.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الجزائر، 2022.</w:t>
      </w:r>
    </w:p>
    <w:p>
      <w:pPr>
        <w:bidi/>
        <w:spacing w:after="12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12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12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12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12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120" w:before="0" w:line="360" w:lineRule="auto"/>
        <w:jc w:val="both"/>
      </w:pPr>
      <w:r>
        <w:rPr>
          <w:rFonts w:ascii="Times New Roman" w:cs="Traditional Arabic" w:hAnsi="Times New Roman"/>
          <w:b w:val="false"/>
          <w:sz w:val="32"/>
          <w:szCs w:val="32"/>
          <w:rtl/>
        </w:rPr>
        <w:t xml:space="preserve">17.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120" w:before="0" w:line="360" w:lineRule="auto"/>
        <w:jc w:val="both"/>
      </w:pPr>
      <w:r>
        <w:rPr>
          <w:rFonts w:ascii="Times New Roman" w:cs="Traditional Arabic" w:hAnsi="Times New Roman"/>
          <w:b w:val="false"/>
          <w:sz w:val="32"/>
          <w:szCs w:val="32"/>
          <w:rtl/>
        </w:rPr>
        <w:t xml:space="preserve">18.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19.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20.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في أجزائه الثّلاثة.</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وحسين،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4 (التّقديم).</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ويتحفّظ شلتوت نفسه على إخضاع النّصّ كلّه للتّحليل النّفسيّ، لأنّ النّصّ يتجاوز في طبيعة الحال تلك الرّغبات.</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(لقاء زهير)؛ والبيت من معلّقة زهير بن أبي سلمى.</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(لقاء آدم وجنّة العفاريت).</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وقد جعله يتشوّق إلى الجنّة بما نعتها من أوصاف أشجارها وخمرها وأباريقها وعسلها وسمكها، وجعله يطلّ على مجالس من العلماء الّذين سمع بذكرهم: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(محاورة إبليس واطّلالة الخنساء).</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الرّدّ على ابن القارح. وقد كان المعرّي يلقّب نفسه في رسائله بألقاب التّصاغر، وفي هذا التّصاغر المعلن وجه من وجوه سخريته المزدوجة.</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10(3).</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2026-08-14T19:45:22.706Z</dcterms:created>
  <dcterms:modified xsi:type="dcterms:W3CDTF">2026-08-14T19:45:22.707Z</dcterms:modified>
</cp:coreProperties>
</file>

<file path=docProps/custom.xml><?xml version="1.0" encoding="utf-8"?>
<Properties xmlns="http://schemas.openxmlformats.org/officeDocument/2006/custom-properties" xmlns:vt="http://schemas.openxmlformats.org/officeDocument/2006/docPropsVTypes"/>
</file>