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line="260"/>
        <w:jc w:val="right"/>
      </w:pPr>
      <w:r>
        <w:rPr>
          <w:rFonts w:ascii="Times New Roman" w:cs="Times New Roman" w:eastAsia="Times New Roman" w:hAnsi="Times New Roman"/>
          <w:b w:val="false"/>
          <w:bCs w:val="false"/>
          <w:i w:val="false"/>
          <w:iCs w:val="false"/>
          <w:sz w:val="22"/>
          <w:szCs w:val="22"/>
          <w:rtl/>
        </w:rPr>
        <w:t xml:space="preserve">אוניברסיטת בר‑אילן | המחלקה לספרות משווה</w:t>
      </w:r>
    </w:p>
    <w:p>
      <w:pPr>
        <w:bidi/>
        <w:spacing w:line="260"/>
        <w:jc w:val="right"/>
      </w:pPr>
      <w:r>
        <w:rPr>
          <w:rFonts w:ascii="Times New Roman" w:cs="Times New Roman" w:eastAsia="Times New Roman" w:hAnsi="Times New Roman"/>
          <w:b w:val="false"/>
          <w:bCs w:val="false"/>
          <w:i w:val="false"/>
          <w:iCs w:val="false"/>
          <w:sz w:val="22"/>
          <w:szCs w:val="22"/>
          <w:rtl/>
        </w:rPr>
        <w:t xml:space="preserve">מיתוס ודרמה בגרמניה | ספרות משווה 33938 | פרופ' מיכל בן‑חורין | תשפ“ו, סמסטר א'</w:t>
      </w:r>
    </w:p>
    <w:p>
      <w:pPr>
        <w:bidi/>
        <w:spacing w:line="260"/>
        <w:jc w:val="right"/>
      </w:pPr>
      <w:r>
        <w:rPr>
          <w:rFonts w:ascii="Times New Roman" w:cs="Times New Roman" w:eastAsia="Times New Roman" w:hAnsi="Times New Roman"/>
          <w:b w:val="false"/>
          <w:bCs w:val="false"/>
          <w:i w:val="false"/>
          <w:iCs w:val="false"/>
          <w:sz w:val="22"/>
          <w:szCs w:val="22"/>
          <w:rtl/>
        </w:rPr>
        <w:t xml:space="preserve">עבודה מסכמת – אפשרות 2</w:t>
      </w:r>
    </w:p>
    <w:p>
      <w:pPr>
        <w:bidi/>
        <w:spacing w:line="260"/>
        <w:jc w:val="right"/>
      </w:pPr>
      <w:r>
        <w:rPr>
          <w:rFonts w:ascii="Times New Roman" w:cs="Times New Roman" w:eastAsia="Times New Roman" w:hAnsi="Times New Roman"/>
          <w:b w:val="false"/>
          <w:bCs w:val="false"/>
          <w:i w:val="false"/>
          <w:iCs w:val="false"/>
          <w:sz w:val="22"/>
          <w:szCs w:val="22"/>
          <w:rtl/>
        </w:rPr>
        <w:t xml:space="preserve">שם הסטודנט/ית: ______________ | ת“ז: ______________</w:t>
      </w:r>
    </w:p>
    <w:p>
      <w:pPr>
        <w:spacing w:after="200"/>
      </w:pPr>
    </w:p>
    <w:p>
      <w:pPr>
        <w:bidi/>
        <w:spacing w:after="80" w:line="360"/>
        <w:jc w:val="center"/>
      </w:pPr>
      <w:r>
        <w:rPr>
          <w:rFonts w:ascii="Times New Roman" w:cs="Times New Roman" w:eastAsia="Times New Roman" w:hAnsi="Times New Roman"/>
          <w:b/>
          <w:bCs/>
          <w:i w:val="false"/>
          <w:iCs w:val="false"/>
          <w:sz w:val="32"/>
          <w:szCs w:val="32"/>
          <w:rtl/>
        </w:rPr>
        <w:t xml:space="preserve">המילה במקום הדם</w:t>
      </w:r>
    </w:p>
    <w:p>
      <w:pPr>
        <w:bidi/>
        <w:spacing w:after="320" w:line="360"/>
        <w:jc w:val="center"/>
      </w:pPr>
      <w:r>
        <w:rPr>
          <w:rFonts w:ascii="Times New Roman" w:cs="Times New Roman" w:eastAsia="Times New Roman" w:hAnsi="Times New Roman"/>
          <w:b/>
          <w:bCs/>
          <w:i w:val="false"/>
          <w:iCs w:val="false"/>
          <w:sz w:val="26"/>
          <w:szCs w:val="26"/>
          <w:rtl/>
        </w:rPr>
        <w:t xml:space="preserve">מיתוס, קורבן ונאורות ב“איפיגניה בטאוריס” לגתה וב“ווייצק” לביכנר</w:t>
      </w:r>
    </w:p>
    <w:p>
      <w:pPr>
        <w:pStyle w:val="Heading1"/>
        <w:bidi/>
        <w:spacing w:after="140" w:before="280" w:line="360"/>
        <w:jc w:val="right"/>
      </w:pPr>
      <w:r>
        <w:rPr>
          <w:rFonts w:ascii="Times New Roman" w:cs="Times New Roman" w:eastAsia="Times New Roman" w:hAnsi="Times New Roman"/>
          <w:b/>
          <w:bCs/>
          <w:i w:val="false"/>
          <w:iCs w:val="false"/>
          <w:sz w:val="26"/>
          <w:szCs w:val="26"/>
          <w:rtl/>
        </w:rPr>
        <w:t xml:space="preserve">מבוא</w:t>
      </w:r>
    </w:p>
    <w:p>
      <w:pPr>
        <w:bidi/>
        <w:spacing w:after="120" w:line="360"/>
        <w:ind w:firstLine="431"/>
        <w:jc w:val="both"/>
      </w:pPr>
      <w:r>
        <w:rPr>
          <w:rFonts w:ascii="Times New Roman" w:cs="Times New Roman" w:eastAsia="Times New Roman" w:hAnsi="Times New Roman"/>
          <w:b w:val="false"/>
          <w:bCs w:val="false"/>
          <w:i w:val="false"/>
          <w:iCs w:val="false"/>
          <w:sz w:val="24"/>
          <w:szCs w:val="24"/>
          <w:rtl/>
        </w:rPr>
        <w:t xml:space="preserve">במאמר שראה אור באביב האחרון תיארה הלן שו את שיבתה החוזרת ונשנית של אנטיגונה אל הבמה כנוכחות ש“דומה לזרם של תאי דם לבנים לכל מקום שבו יש זיהום”</w:t>
      </w:r>
      <w:r>
        <w:rPr>
          <w:rStyle w:val="FootnoteReference"/>
        </w:rPr>
        <w:footnoteReference w:id="1"/>
      </w:r>
      <w:r>
        <w:rPr>
          <w:rFonts w:ascii="Times New Roman" w:cs="Times New Roman" w:eastAsia="Times New Roman" w:hAnsi="Times New Roman"/>
          <w:b w:val="false"/>
          <w:bCs w:val="false"/>
          <w:i w:val="false"/>
          <w:iCs w:val="false"/>
          <w:sz w:val="24"/>
          <w:szCs w:val="24"/>
          <w:rtl/>
        </w:rPr>
        <w:t xml:space="preserve">. הדימוי קולע לשאלה שליוותה את הקורס: מדוע שבים מחזאים אל המיתוס דווקא ברגעים שבהם המסגרות המשפטיות והפוליטיות מתערערות, ומה בדיוק הם שבים אליו – אל חומר סיפורי, או אל צורה של חשיבה. בעבודה זו אבקש להשיב על השאלה הזאת מתוך העמדה זה מול זה של שני מחזות שנלמדו בקורס ושנדמה כי אין ביניהם דבר: </w:t>
      </w:r>
      <w:r>
        <w:rPr>
          <w:rFonts w:ascii="Times New Roman" w:cs="Times New Roman" w:eastAsia="Times New Roman" w:hAnsi="Times New Roman"/>
          <w:b/>
          <w:bCs/>
          <w:i w:val="false"/>
          <w:iCs w:val="false"/>
          <w:sz w:val="24"/>
          <w:szCs w:val="24"/>
          <w:rtl/>
        </w:rPr>
        <w:t xml:space="preserve">איפיגניה בטאוריס</w:t>
      </w:r>
      <w:r>
        <w:rPr>
          <w:rFonts w:ascii="Times New Roman" w:cs="Times New Roman" w:eastAsia="Times New Roman" w:hAnsi="Times New Roman"/>
          <w:b w:val="false"/>
          <w:bCs w:val="false"/>
          <w:i w:val="false"/>
          <w:iCs w:val="false"/>
          <w:sz w:val="24"/>
          <w:szCs w:val="24"/>
          <w:rtl/>
        </w:rPr>
        <w:t xml:space="preserve"> של גתה (נוסח החרוזים, 1787), דרמה קלאסיציסטית במשקל שקול שעלילתה שאובה מאוריפידס, ו</w:t>
      </w:r>
      <w:r>
        <w:rPr>
          <w:rFonts w:ascii="Times New Roman" w:cs="Times New Roman" w:eastAsia="Times New Roman" w:hAnsi="Times New Roman"/>
          <w:b/>
          <w:bCs/>
          <w:i w:val="false"/>
          <w:iCs w:val="false"/>
          <w:sz w:val="24"/>
          <w:szCs w:val="24"/>
          <w:rtl/>
        </w:rPr>
        <w:t xml:space="preserve">ווייצק</w:t>
      </w:r>
      <w:r>
        <w:rPr>
          <w:rFonts w:ascii="Times New Roman" w:cs="Times New Roman" w:eastAsia="Times New Roman" w:hAnsi="Times New Roman"/>
          <w:b w:val="false"/>
          <w:bCs w:val="false"/>
          <w:i w:val="false"/>
          <w:iCs w:val="false"/>
          <w:sz w:val="24"/>
          <w:szCs w:val="24"/>
          <w:rtl/>
        </w:rPr>
        <w:t xml:space="preserve"> של ביכנר (‎1836‑1837‎), פרגמנט בפרוזה שנשען על תיק פלילי ועל חוות דעת פסיכיאטרית שהתפרסמו בעיתונות התקופה.</w:t>
      </w:r>
    </w:p>
    <w:p>
      <w:pPr>
        <w:bidi/>
        <w:spacing w:after="120" w:line="360"/>
        <w:ind w:firstLine="431"/>
        <w:jc w:val="both"/>
      </w:pPr>
      <w:r>
        <w:rPr>
          <w:rFonts w:ascii="Times New Roman" w:cs="Times New Roman" w:eastAsia="Times New Roman" w:hAnsi="Times New Roman"/>
          <w:b w:val="false"/>
          <w:bCs w:val="false"/>
          <w:i w:val="false"/>
          <w:iCs w:val="false"/>
          <w:sz w:val="24"/>
          <w:szCs w:val="24"/>
          <w:rtl/>
        </w:rPr>
        <w:t xml:space="preserve">טענתי היא שדווקא הניגוד ביניהם חושף מהו “מיתוס” בדרמה. המיתוס אינו מאגר של סיפורים עתיקים אלא דקדוק: מבנה של כפייה שמאפייניו הם חזרה, אשמה מורשת, קורבן, ולשון שאי אפשר להשיב עליה. גתה נוטל חומר מיתולוגי מובהק כדי לפרק את הדקדוק הזה באמצעות הדיבור; ביכנר נוטל חומר תיעודי בן זמנו כדי להראות שהדקדוק המיתי ממשיך לפעול – והפעם בלבושה של התבונה הנאורה עצמה. קריאה משותפת בשניהם ממפה, אם כן, את שני קצותיה של הדיאלקטיקה שניסחו הורקהיימר ואדורנו, ומעמידה קריטריון לשאלה מתי דרמה מצליחה להפסיק את הכפייה ומתי היא רק מתעדת אותה.</w:t>
      </w:r>
    </w:p>
    <w:p>
      <w:pPr>
        <w:pStyle w:val="Heading1"/>
        <w:bidi/>
        <w:spacing w:after="140" w:before="280" w:line="360"/>
        <w:jc w:val="right"/>
      </w:pPr>
      <w:r>
        <w:rPr>
          <w:rFonts w:ascii="Times New Roman" w:cs="Times New Roman" w:eastAsia="Times New Roman" w:hAnsi="Times New Roman"/>
          <w:b/>
          <w:bCs/>
          <w:i w:val="false"/>
          <w:iCs w:val="false"/>
          <w:sz w:val="26"/>
          <w:szCs w:val="26"/>
          <w:rtl/>
        </w:rPr>
        <w:t xml:space="preserve">א. המיתוס כמבנה של כפייה: רשת מושגית</w:t>
      </w:r>
    </w:p>
    <w:p>
      <w:pPr>
        <w:bidi/>
        <w:spacing w:after="120" w:line="360"/>
        <w:ind w:firstLine="431"/>
        <w:jc w:val="both"/>
      </w:pPr>
      <w:r>
        <w:rPr>
          <w:rFonts w:ascii="Times New Roman" w:cs="Times New Roman" w:eastAsia="Times New Roman" w:hAnsi="Times New Roman"/>
          <w:b w:val="false"/>
          <w:bCs w:val="false"/>
          <w:i w:val="false"/>
          <w:iCs w:val="false"/>
          <w:sz w:val="24"/>
          <w:szCs w:val="24"/>
          <w:rtl/>
        </w:rPr>
        <w:t xml:space="preserve">בלומנברג הציע לראות במיתוס לא את ניגודו של הלוגוס אלא תהליך מתמשך של “עבודה על המיתוס”: סיפורו החוזר של הסיפור הוא שמפחית בהדרגה את כוחו של המוחלט ומהפך אימה לצורה</w:t>
      </w:r>
      <w:r>
        <w:rPr>
          <w:rStyle w:val="FootnoteReference"/>
        </w:rPr>
        <w:footnoteReference w:id="2"/>
      </w:r>
      <w:r>
        <w:rPr>
          <w:rFonts w:ascii="Times New Roman" w:cs="Times New Roman" w:eastAsia="Times New Roman" w:hAnsi="Times New Roman"/>
          <w:b w:val="false"/>
          <w:bCs w:val="false"/>
          <w:i w:val="false"/>
          <w:iCs w:val="false"/>
          <w:sz w:val="24"/>
          <w:szCs w:val="24"/>
          <w:rtl/>
        </w:rPr>
        <w:t xml:space="preserve">. מנקודת מבט זו הדרמה היא בית מלאכה מובהק של עבודה כזאת. הורקהיימר ואדורנו הוסיפו לכך את התנועה הכפולה: “המיתוס הוא כבר נאורות, והנאורות חוזרת ונהפכת למיתולוגיה”</w:t>
      </w:r>
      <w:r>
        <w:rPr>
          <w:rStyle w:val="FootnoteReference"/>
        </w:rPr>
        <w:footnoteReference w:id="3"/>
      </w:r>
      <w:r>
        <w:rPr>
          <w:rFonts w:ascii="Times New Roman" w:cs="Times New Roman" w:eastAsia="Times New Roman" w:hAnsi="Times New Roman"/>
          <w:b w:val="false"/>
          <w:bCs w:val="false"/>
          <w:i w:val="false"/>
          <w:iCs w:val="false"/>
          <w:sz w:val="24"/>
          <w:szCs w:val="24"/>
          <w:rtl/>
        </w:rPr>
        <w:t xml:space="preserve"> – המיתוס כבר נושא בחובו את הדחף להסביר ולשלוט, והתבונה המכשירית חוזרת ונקרשת לטבע שני, לגורל. בנימין תיאר את הצד המשפטי של אותו מבנה: האלימות המיתית היא זו שמכוננת חוק ומטילה אשמה, והגורל אינו אלא “קשר האשמה של החי”</w:t>
      </w:r>
      <w:r>
        <w:rPr>
          <w:rStyle w:val="FootnoteReference"/>
        </w:rPr>
        <w:footnoteReference w:id="4"/>
      </w:r>
      <w:r>
        <w:rPr>
          <w:rFonts w:ascii="Times New Roman" w:cs="Times New Roman" w:eastAsia="Times New Roman" w:hAnsi="Times New Roman"/>
          <w:b w:val="false"/>
          <w:bCs w:val="false"/>
          <w:i w:val="false"/>
          <w:iCs w:val="false"/>
          <w:sz w:val="24"/>
          <w:szCs w:val="24"/>
          <w:rtl/>
        </w:rPr>
        <w:t xml:space="preserve">. ז'יראר הוסיף את המנגנון: הקורבן הוא ההמרה של אלימות שרירותית לסדר, וכוחו תלוי בכך שהקהילה לא תזהה את שרירותיותו</w:t>
      </w:r>
      <w:r>
        <w:rPr>
          <w:rStyle w:val="FootnoteReference"/>
        </w:rPr>
        <w:footnoteReference w:id="5"/>
      </w:r>
      <w:r>
        <w:rPr>
          <w:rFonts w:ascii="Times New Roman" w:cs="Times New Roman" w:eastAsia="Times New Roman" w:hAnsi="Times New Roman"/>
          <w:b w:val="false"/>
          <w:bCs w:val="false"/>
          <w:i w:val="false"/>
          <w:iCs w:val="false"/>
          <w:sz w:val="24"/>
          <w:szCs w:val="24"/>
          <w:rtl/>
        </w:rPr>
        <w:t xml:space="preserve">.</w:t>
      </w:r>
    </w:p>
    <w:p>
      <w:pPr>
        <w:bidi/>
        <w:spacing w:after="120" w:line="360"/>
        <w:ind w:firstLine="431"/>
        <w:jc w:val="both"/>
      </w:pPr>
      <w:r>
        <w:rPr>
          <w:rFonts w:ascii="Times New Roman" w:cs="Times New Roman" w:eastAsia="Times New Roman" w:hAnsi="Times New Roman"/>
          <w:b w:val="false"/>
          <w:bCs w:val="false"/>
          <w:i w:val="false"/>
          <w:iCs w:val="false"/>
          <w:sz w:val="24"/>
          <w:szCs w:val="24"/>
          <w:rtl/>
        </w:rPr>
        <w:t xml:space="preserve">מן הרשת הזאת אני מבקש לגזור שלושה סימני היכר תפעוליים ל“מיתי” בדרמה: (1) חזרה ואשמה שקודמת למעשה ועוברת בירושה; (2) קורבן שמיקומו בקהילה הוא בו בזמן פנימי וחיצוני; (3) לשון שאין להשיב עליה – אורקל, שיר, קול. לכך יש להוסיף את ההיפוך הברכטיאני: המיתוס מסוכן בדיוק כשהוא נצרך כטבע, ומשימת התיאטרון היא להחזיר לו את זרותו</w:t>
      </w:r>
      <w:r>
        <w:rPr>
          <w:rStyle w:val="FootnoteReference"/>
        </w:rPr>
        <w:footnoteReference w:id="6"/>
      </w:r>
      <w:r>
        <w:rPr>
          <w:rFonts w:ascii="Times New Roman" w:cs="Times New Roman" w:eastAsia="Times New Roman" w:hAnsi="Times New Roman"/>
          <w:b w:val="false"/>
          <w:bCs w:val="false"/>
          <w:i w:val="false"/>
          <w:iCs w:val="false"/>
          <w:sz w:val="24"/>
          <w:szCs w:val="24"/>
          <w:rtl/>
        </w:rPr>
        <w:t xml:space="preserve">. בשלושת המדדים הללו אשתמש כדי לקרוא את שני המחזות.</w:t>
      </w:r>
    </w:p>
    <w:p>
      <w:pPr>
        <w:pStyle w:val="Heading1"/>
        <w:bidi/>
        <w:spacing w:after="140" w:before="280" w:line="360"/>
        <w:jc w:val="right"/>
      </w:pPr>
      <w:r>
        <w:rPr>
          <w:rFonts w:ascii="Times New Roman" w:cs="Times New Roman" w:eastAsia="Times New Roman" w:hAnsi="Times New Roman"/>
          <w:b/>
          <w:bCs/>
          <w:i w:val="false"/>
          <w:iCs w:val="false"/>
          <w:sz w:val="26"/>
          <w:szCs w:val="26"/>
          <w:rtl/>
        </w:rPr>
        <w:t xml:space="preserve">ב. “איפיגניה בטאוריס”: המיתוס מסופר כדי שיינטש</w:t>
      </w:r>
    </w:p>
    <w:p>
      <w:pPr>
        <w:pStyle w:val="Heading2"/>
        <w:bidi/>
        <w:spacing w:after="140" w:before="280" w:line="360"/>
        <w:jc w:val="right"/>
      </w:pPr>
      <w:r>
        <w:rPr>
          <w:rFonts w:ascii="Times New Roman" w:cs="Times New Roman" w:eastAsia="Times New Roman" w:hAnsi="Times New Roman"/>
          <w:b/>
          <w:bCs/>
          <w:i w:val="false"/>
          <w:iCs w:val="false"/>
          <w:sz w:val="24"/>
          <w:szCs w:val="24"/>
          <w:rtl/>
        </w:rPr>
        <w:t xml:space="preserve">1. הניצולה בעמדת הכוהנת</w:t>
      </w:r>
    </w:p>
    <w:p>
      <w:pPr>
        <w:bidi/>
        <w:spacing w:after="120" w:line="360"/>
        <w:ind w:firstLine="431"/>
        <w:jc w:val="both"/>
      </w:pPr>
      <w:r>
        <w:rPr>
          <w:rFonts w:ascii="Times New Roman" w:cs="Times New Roman" w:eastAsia="Times New Roman" w:hAnsi="Times New Roman"/>
          <w:b w:val="false"/>
          <w:bCs w:val="false"/>
          <w:i w:val="false"/>
          <w:iCs w:val="false"/>
          <w:sz w:val="24"/>
          <w:szCs w:val="24"/>
          <w:rtl/>
        </w:rPr>
        <w:t xml:space="preserve">המחזה נפתח במי ששרדה את הקורבן. איפיגניה, שנועדה לשחיטה באאוליס וניצלה בידי דיאנה, מוצבת עתה ככוהנת בפולחן שנוהג להקריב זרים. הניצולה עומדת ליד המזבח: מבנה ההקרבה לא בוטל, הוא רק הושהה. ארקס מנסח זאת בדיוק כשהוא מזכיר לה מי “בטל במתק שפתותיו / שנה שנה את נהג הקדומים / האכזרי, כי על מזבח דיאנה / יגר דמו של כל איש זר למות” (שו' ‎123–126‎)</w:t>
      </w:r>
      <w:r>
        <w:rPr>
          <w:rStyle w:val="FootnoteReference"/>
        </w:rPr>
        <w:footnoteReference w:id="7"/>
      </w:r>
      <w:r>
        <w:rPr>
          <w:rFonts w:ascii="Times New Roman" w:cs="Times New Roman" w:eastAsia="Times New Roman" w:hAnsi="Times New Roman"/>
          <w:b w:val="false"/>
          <w:bCs w:val="false"/>
          <w:i w:val="false"/>
          <w:iCs w:val="false"/>
          <w:sz w:val="24"/>
          <w:szCs w:val="24"/>
          <w:rtl/>
        </w:rPr>
        <w:t xml:space="preserve">. ההישג מיוחס לשפה – “מתק שפתותיו” – ולא לכוח, וזו כבר הצהרת כוונות פואטית של המחזה כולו. אך ההשהיה שברירית: תואס יכול להחזיר את הפולחן על כנו ברגע שיסורב, ואכן זה מה שהוא עושה (שו' ‎535–537‎). הקורבן, כלומר, אינו עבר; הוא אפשרות פוליטית זמינה תמיד.</w:t>
      </w:r>
    </w:p>
    <w:p>
      <w:pPr>
        <w:bidi/>
        <w:spacing w:after="120" w:line="360"/>
        <w:ind w:firstLine="431"/>
        <w:jc w:val="both"/>
      </w:pPr>
      <w:r>
        <w:rPr>
          <w:rFonts w:ascii="Times New Roman" w:cs="Times New Roman" w:eastAsia="Times New Roman" w:hAnsi="Times New Roman"/>
          <w:b w:val="false"/>
          <w:bCs w:val="false"/>
          <w:i w:val="false"/>
          <w:iCs w:val="false"/>
          <w:sz w:val="24"/>
          <w:szCs w:val="24"/>
          <w:rtl/>
        </w:rPr>
        <w:t xml:space="preserve">לצד זאת מציג המונולוג הפותח את מחירו של המקלט: איפיגניה מודה שאינה עובדת את האלה “בלב שלם” (שו' ‎33–34‎) ומבקשת מן האלה שפדתה אותה מן המוות לפדות אותה גם מן החיים שנכפו עליה (שו' ‎51–52‎). המשפט הכללי שהיא גוזרת מנסיונה – “עד מה צרים תחומי גורל אשה” (שו' 28) – יחזור ויעמוד במרכז המערכה החמישית.</w:t>
      </w:r>
    </w:p>
    <w:p>
      <w:pPr>
        <w:pStyle w:val="Heading2"/>
        <w:bidi/>
        <w:spacing w:after="140" w:before="280" w:line="360"/>
        <w:jc w:val="right"/>
      </w:pPr>
      <w:r>
        <w:rPr>
          <w:rFonts w:ascii="Times New Roman" w:cs="Times New Roman" w:eastAsia="Times New Roman" w:hAnsi="Times New Roman"/>
          <w:b/>
          <w:bCs/>
          <w:i w:val="false"/>
          <w:iCs w:val="false"/>
          <w:sz w:val="24"/>
          <w:szCs w:val="24"/>
          <w:rtl/>
        </w:rPr>
        <w:t xml:space="preserve">2. המיתוס כציטוט: סיפור בית טנטלוס</w:t>
      </w:r>
    </w:p>
    <w:p>
      <w:pPr>
        <w:bidi/>
        <w:spacing w:after="120" w:line="360"/>
        <w:ind w:firstLine="431"/>
        <w:jc w:val="both"/>
      </w:pPr>
      <w:r>
        <w:rPr>
          <w:rFonts w:ascii="Times New Roman" w:cs="Times New Roman" w:eastAsia="Times New Roman" w:hAnsi="Times New Roman"/>
          <w:b w:val="false"/>
          <w:bCs w:val="false"/>
          <w:i w:val="false"/>
          <w:iCs w:val="false"/>
          <w:sz w:val="24"/>
          <w:szCs w:val="24"/>
          <w:rtl/>
        </w:rPr>
        <w:t xml:space="preserve">המהלך המכריע הראשון הוא שגתה מכניס את המיתוס אל תוך המחזה כ</w:t>
      </w:r>
      <w:r>
        <w:rPr>
          <w:rFonts w:ascii="Times New Roman" w:cs="Times New Roman" w:eastAsia="Times New Roman" w:hAnsi="Times New Roman"/>
          <w:b/>
          <w:bCs/>
          <w:i w:val="false"/>
          <w:iCs w:val="false"/>
          <w:sz w:val="24"/>
          <w:szCs w:val="24"/>
          <w:rtl/>
        </w:rPr>
        <w:t xml:space="preserve">סיפור מסופר</w:t>
      </w:r>
      <w:r>
        <w:rPr>
          <w:rFonts w:ascii="Times New Roman" w:cs="Times New Roman" w:eastAsia="Times New Roman" w:hAnsi="Times New Roman"/>
          <w:b w:val="false"/>
          <w:bCs w:val="false"/>
          <w:i w:val="false"/>
          <w:iCs w:val="false"/>
          <w:sz w:val="24"/>
          <w:szCs w:val="24"/>
          <w:rtl/>
        </w:rPr>
        <w:t xml:space="preserve">. במערכה הראשונה מגוללת איפיגניה באוזני תואס את תולדות בית טנטלוס (שו' ‎306–400‎) – לא כרקע שהקהל יודע מראש, אלא כנאום שיש לו תכלית רטורית: להרתיע את המלך מרעיון הנישואים. בתוך הסיפור משובצת אמירה ביקורתית על האלים עצמם: “אולם אל לאלים לנהוג / בבני‑תמותה כמו בשווים להם” (שו' ‎315–316‎), והקללה מוסברת כאי‑מידתיות של כוח ולא כצדק. חשוב מכך ההסתייגות המקורית: “ומשוררים אמרו” (שו' 323). המיתוס מוצג כמסירה, כטקסט שיש לו מוסרים ואינטרסים. זוהי בדיוק אותה “דה‑פוטנציאליזציה” שבלומנברג מדבר עליה: המוחלט מאבד מכוחו ברגע שהוא הופך למשהו שמישהו מספר.</w:t>
      </w:r>
    </w:p>
    <w:p>
      <w:pPr>
        <w:pStyle w:val="Heading2"/>
        <w:bidi/>
        <w:spacing w:after="140" w:before="280" w:line="360"/>
        <w:jc w:val="right"/>
      </w:pPr>
      <w:r>
        <w:rPr>
          <w:rFonts w:ascii="Times New Roman" w:cs="Times New Roman" w:eastAsia="Times New Roman" w:hAnsi="Times New Roman"/>
          <w:b/>
          <w:bCs/>
          <w:i w:val="false"/>
          <w:iCs w:val="false"/>
          <w:sz w:val="24"/>
          <w:szCs w:val="24"/>
          <w:rtl/>
        </w:rPr>
        <w:t xml:space="preserve">3. ריפוי בפנייה: הקללה כפסיכוזה</w:t>
      </w:r>
    </w:p>
    <w:p>
      <w:pPr>
        <w:bidi/>
        <w:spacing w:after="120" w:line="360"/>
        <w:ind w:firstLine="431"/>
        <w:jc w:val="both"/>
      </w:pPr>
      <w:r>
        <w:rPr>
          <w:rFonts w:ascii="Times New Roman" w:cs="Times New Roman" w:eastAsia="Times New Roman" w:hAnsi="Times New Roman"/>
          <w:b w:val="false"/>
          <w:bCs w:val="false"/>
          <w:i w:val="false"/>
          <w:iCs w:val="false"/>
          <w:sz w:val="24"/>
          <w:szCs w:val="24"/>
          <w:rtl/>
        </w:rPr>
        <w:t xml:space="preserve">במערכה השלישית הופכת הקללה לתסמין. האריניות של אורסטס מובאות אל הבמה כהזיה ולא כדמויות, והריפוי מתרחש לא בבית דין – גתה מוותר על האראופגוס האייסכילי – אלא ברגע של פנייה: “הכר, אורסטס, איפיגניה אני! / אני חיה!” (שו' ‎1173–1174‎). התשובה של אורסטס, “האת?”, היא כל מה שנדרש כדי שהשרשרת המיתית תיעצר. במונחי בנימין: מה שמפסיק את קשר האשמה אינו חוק חדש אלא אקט של הכרה בין שניים. זהו לב ההצעה של גתה – והנקודה שבה ראוי להתעכב ביקורתית: הפתרון אינו מוסדי אלא בין‑אישי, ולכן גם אינו ניתן להכללה.</w:t>
      </w:r>
    </w:p>
    <w:p>
      <w:pPr>
        <w:pStyle w:val="Heading2"/>
        <w:bidi/>
        <w:spacing w:after="140" w:before="280" w:line="360"/>
        <w:jc w:val="right"/>
      </w:pPr>
      <w:r>
        <w:rPr>
          <w:rFonts w:ascii="Times New Roman" w:cs="Times New Roman" w:eastAsia="Times New Roman" w:hAnsi="Times New Roman"/>
          <w:b/>
          <w:bCs/>
          <w:i w:val="false"/>
          <w:iCs w:val="false"/>
          <w:sz w:val="24"/>
          <w:szCs w:val="24"/>
          <w:rtl/>
        </w:rPr>
        <w:t xml:space="preserve">4. שיר הפרקות: המיתוס חוזר כשירה</w:t>
      </w:r>
    </w:p>
    <w:p>
      <w:pPr>
        <w:bidi/>
        <w:spacing w:after="120" w:line="360"/>
        <w:ind w:firstLine="431"/>
        <w:jc w:val="both"/>
      </w:pPr>
      <w:r>
        <w:rPr>
          <w:rFonts w:ascii="Times New Roman" w:cs="Times New Roman" w:eastAsia="Times New Roman" w:hAnsi="Times New Roman"/>
          <w:b w:val="false"/>
          <w:bCs w:val="false"/>
          <w:i w:val="false"/>
          <w:iCs w:val="false"/>
          <w:sz w:val="24"/>
          <w:szCs w:val="24"/>
          <w:rtl/>
        </w:rPr>
        <w:t xml:space="preserve">בשיא הייאוש, בסוף המערכה הרביעית, נזכרת איפיגניה בשיר שהושר לה בילדותה – שיר הפרקות (שו' ‎1726–1766‎). לכאן חוזר המיתוס במלוא כוחו, ודווקא בשינוי משקל ובלשון של פזמון:</w:t>
      </w:r>
    </w:p>
    <w:p>
      <w:pPr>
        <w:bidi/>
        <w:spacing w:after="140" w:before="100" w:line="300"/>
        <w:ind w:left="720" w:right="720"/>
        <w:jc w:val="right"/>
      </w:pPr>
      <w:r>
        <w:rPr>
          <w:rFonts w:ascii="Times New Roman" w:cs="Times New Roman" w:eastAsia="Times New Roman" w:hAnsi="Times New Roman"/>
          <w:b w:val="false"/>
          <w:bCs w:val="false"/>
          <w:i w:val="false"/>
          <w:iCs w:val="false"/>
          <w:sz w:val="22"/>
          <w:szCs w:val="22"/>
          <w:rtl/>
        </w:rPr>
        <w:t xml:space="preserve">“מורא האלים על / לב האדם! / ידם הרודה בו / ממנו לא חרד, / יוכלו לעשות בו / כטוב בעיניהם” (שו' ‎1726–1731‎).</w:t>
      </w:r>
    </w:p>
    <w:p>
      <w:pPr>
        <w:bidi/>
        <w:spacing w:after="120" w:line="360"/>
        <w:ind w:firstLine="431"/>
        <w:jc w:val="both"/>
      </w:pPr>
      <w:r>
        <w:rPr>
          <w:rFonts w:ascii="Times New Roman" w:cs="Times New Roman" w:eastAsia="Times New Roman" w:hAnsi="Times New Roman"/>
          <w:b w:val="false"/>
          <w:bCs w:val="false"/>
          <w:i w:val="false"/>
          <w:iCs w:val="false"/>
          <w:sz w:val="24"/>
          <w:szCs w:val="24"/>
          <w:rtl/>
        </w:rPr>
        <w:t xml:space="preserve">האלים משחקים באדם, הטיטנים מוטלים בתהום, והסב הגולה מקשיב בלילה ו“נד בראשו” (שו' 1766). הצורה הסגורה של המחזה פותחת כאן חלון אל מה שהיא מדירה. אדורנו טען שהקלאסיציזם של גתה אינו מתגבר על המיתוס אלא מעמיד את היצירה על הסף שבינו לבין הנאורות, ושהמחיר של “ההומניות” נגבה מן הדמות שעליה היא מוטלת</w:t>
      </w:r>
      <w:r>
        <w:rPr>
          <w:rStyle w:val="FootnoteReference"/>
        </w:rPr>
        <w:footnoteReference w:id="9"/>
      </w:r>
      <w:r>
        <w:rPr>
          <w:rFonts w:ascii="Times New Roman" w:cs="Times New Roman" w:eastAsia="Times New Roman" w:hAnsi="Times New Roman"/>
          <w:b w:val="false"/>
          <w:bCs w:val="false"/>
          <w:i w:val="false"/>
          <w:iCs w:val="false"/>
          <w:sz w:val="24"/>
          <w:szCs w:val="24"/>
          <w:rtl/>
        </w:rPr>
        <w:t xml:space="preserve">. שיר הפרקות הוא הראיה הטקסטואלית לכך: המחזה חייב לצטט את קולו של המיתוס במלואו כדי שיהיה לו מה להשיב.</w:t>
      </w:r>
    </w:p>
    <w:p>
      <w:pPr>
        <w:pStyle w:val="Heading2"/>
        <w:bidi/>
        <w:spacing w:after="140" w:before="280" w:line="360"/>
        <w:jc w:val="right"/>
      </w:pPr>
      <w:r>
        <w:rPr>
          <w:rFonts w:ascii="Times New Roman" w:cs="Times New Roman" w:eastAsia="Times New Roman" w:hAnsi="Times New Roman"/>
          <w:b/>
          <w:bCs/>
          <w:i w:val="false"/>
          <w:iCs w:val="false"/>
          <w:sz w:val="24"/>
          <w:szCs w:val="24"/>
          <w:rtl/>
        </w:rPr>
        <w:t xml:space="preserve">5. האמת כמעשה: כנגד העורמה</w:t>
      </w:r>
    </w:p>
    <w:p>
      <w:pPr>
        <w:bidi/>
        <w:spacing w:after="120" w:line="360"/>
        <w:ind w:firstLine="431"/>
        <w:jc w:val="both"/>
      </w:pPr>
      <w:r>
        <w:rPr>
          <w:rFonts w:ascii="Times New Roman" w:cs="Times New Roman" w:eastAsia="Times New Roman" w:hAnsi="Times New Roman"/>
          <w:b w:val="false"/>
          <w:bCs w:val="false"/>
          <w:i w:val="false"/>
          <w:iCs w:val="false"/>
          <w:sz w:val="24"/>
          <w:szCs w:val="24"/>
          <w:rtl/>
        </w:rPr>
        <w:t xml:space="preserve">התשובה ניתנת במערכה החמישית. פילדס מציע את הפתרון הנאור‑מכשירי: תחבולה, גניבת הפסל, שקר מועיל; “לא לנו המלאכה לשפט עצמנו: / ראש תפקידיו של האדם לפעל” (שו' ‎1660–1661‎). זוהי בדיוק העורמה שאדורנו והורקהיימר מזהים כדרכו של הסובייקט הנאור להיחלץ מן המיתוס – היחלצות שנשארת בתוך כלליו, משום שהיא עדיין משחק מול כוח עיוור</w:t>
      </w:r>
      <w:r>
        <w:rPr>
          <w:rStyle w:val="FootnoteReference"/>
        </w:rPr>
        <w:footnoteReference w:id="10"/>
      </w:r>
      <w:r>
        <w:rPr>
          <w:rFonts w:ascii="Times New Roman" w:cs="Times New Roman" w:eastAsia="Times New Roman" w:hAnsi="Times New Roman"/>
          <w:b w:val="false"/>
          <w:bCs w:val="false"/>
          <w:i w:val="false"/>
          <w:iCs w:val="false"/>
          <w:sz w:val="24"/>
          <w:szCs w:val="24"/>
          <w:rtl/>
        </w:rPr>
        <w:t xml:space="preserve">. איפיגניה מסרבת. היא מגלה לתואס את האמת ומעמידה על כף אחת את חיי שלושתם (שו' 1892 ואילך). הסירוב הזה הוא גם סירוב תיאטרוני: מי שהוצע לה תפקיד לשחק מודיעה שמעולם לא הסכינה “להכנע ללשון / עתק ולתוכחות קשות של גבר” (שו' ‎1827–1830‎). אם הפרדוקס של דידרו מעמיד את השחקן המצטיין כמי שאינו חש דבר, כאן מתהפכת המשוואה: על הבמה של גתה, אי‑היכולת לשחק היא שמייצרת את הפעולה הדרמטית</w:t>
      </w:r>
      <w:r>
        <w:rPr>
          <w:rStyle w:val="FootnoteReference"/>
        </w:rPr>
        <w:footnoteReference w:id="11"/>
      </w:r>
      <w:r>
        <w:rPr>
          <w:rFonts w:ascii="Times New Roman" w:cs="Times New Roman" w:eastAsia="Times New Roman" w:hAnsi="Times New Roman"/>
          <w:b w:val="false"/>
          <w:bCs w:val="false"/>
          <w:i w:val="false"/>
          <w:iCs w:val="false"/>
          <w:sz w:val="24"/>
          <w:szCs w:val="24"/>
          <w:rtl/>
        </w:rPr>
        <w:t xml:space="preserve">.</w:t>
      </w:r>
    </w:p>
    <w:p>
      <w:pPr>
        <w:bidi/>
        <w:spacing w:after="120" w:line="360"/>
        <w:ind w:firstLine="431"/>
        <w:jc w:val="both"/>
      </w:pPr>
      <w:r>
        <w:rPr>
          <w:rFonts w:ascii="Times New Roman" w:cs="Times New Roman" w:eastAsia="Times New Roman" w:hAnsi="Times New Roman"/>
          <w:b w:val="false"/>
          <w:bCs w:val="false"/>
          <w:i w:val="false"/>
          <w:iCs w:val="false"/>
          <w:sz w:val="24"/>
          <w:szCs w:val="24"/>
          <w:rtl/>
        </w:rPr>
        <w:t xml:space="preserve">משפט המפתח של הסצנה – “אני חפשית נולדת כגבר” (שו' 1858) – מנוסח על רקע ביוגרפיה של ציות (“מילדות למדתי משמעת”, שו' 1824), ומיד לאחריו מודה איפיגניה שאין בידה “מאום בלתי יש הגורל”, בעוד שבנו של אגממנון היה יכול להשיב בחרב. החירות מוצהרת ובאותה נשימה מותנית. כך גם ההקרבה: היא לא מבוטלת אלא מופנמת – “המוות הוא? אם כן, אותי תחלה” (שו' ‎1944–1945‎). הפתרון של גתה עובד משום שהקורבן מציע את עצמו מרצון.</w:t>
      </w:r>
    </w:p>
    <w:p>
      <w:pPr>
        <w:pStyle w:val="Heading2"/>
        <w:bidi/>
        <w:spacing w:after="140" w:before="280" w:line="360"/>
        <w:jc w:val="right"/>
      </w:pPr>
      <w:r>
        <w:rPr>
          <w:rFonts w:ascii="Times New Roman" w:cs="Times New Roman" w:eastAsia="Times New Roman" w:hAnsi="Times New Roman"/>
          <w:b/>
          <w:bCs/>
          <w:i w:val="false"/>
          <w:iCs w:val="false"/>
          <w:sz w:val="24"/>
          <w:szCs w:val="24"/>
          <w:rtl/>
        </w:rPr>
        <w:t xml:space="preserve">6. הסיום: ויתור, לא הכרעה</w:t>
      </w:r>
    </w:p>
    <w:p>
      <w:pPr>
        <w:bidi/>
        <w:spacing w:after="120" w:line="360"/>
        <w:ind w:firstLine="431"/>
        <w:jc w:val="both"/>
      </w:pPr>
      <w:r>
        <w:rPr>
          <w:rFonts w:ascii="Times New Roman" w:cs="Times New Roman" w:eastAsia="Times New Roman" w:hAnsi="Times New Roman"/>
          <w:b w:val="false"/>
          <w:bCs w:val="false"/>
          <w:i w:val="false"/>
          <w:iCs w:val="false"/>
          <w:sz w:val="24"/>
          <w:szCs w:val="24"/>
          <w:rtl/>
        </w:rPr>
        <w:t xml:space="preserve">המחזה מסתיים בשתי מחוות. הראשונה פרשנית: האורקל, שנדמה היה שהוא מצווה להביא את “האחות” – פסל האלה – מתפרש מחדש כמכוון לאחותו של אורסטס (שו' ‎2110–2116‎). המיתוס אינו מופרך אלא </w:t>
      </w:r>
      <w:r>
        <w:rPr>
          <w:rFonts w:ascii="Times New Roman" w:cs="Times New Roman" w:eastAsia="Times New Roman" w:hAnsi="Times New Roman"/>
          <w:b/>
          <w:bCs/>
          <w:i w:val="false"/>
          <w:iCs w:val="false"/>
          <w:sz w:val="24"/>
          <w:szCs w:val="24"/>
          <w:rtl/>
        </w:rPr>
        <w:t xml:space="preserve">נקרא מחדש</w:t>
      </w:r>
      <w:r>
        <w:rPr>
          <w:rFonts w:ascii="Times New Roman" w:cs="Times New Roman" w:eastAsia="Times New Roman" w:hAnsi="Times New Roman"/>
          <w:b w:val="false"/>
          <w:bCs w:val="false"/>
          <w:i w:val="false"/>
          <w:iCs w:val="false"/>
          <w:sz w:val="24"/>
          <w:szCs w:val="24"/>
          <w:rtl/>
        </w:rPr>
        <w:t xml:space="preserve">; זהו סיומה של עבודה על המיתוס, לא של ניצחון עליו. השנייה פוליטית: תואס מוותר. “לכי, אפוא” (שו' 2151) ולבסוף “היו שלום!” (שו' 2174) – שתי מילים שבהן תלויה כל האוטופיה של המחזה. אין כאן חוק, אין מוסד ואין ערובה; יש רצונו הטוב של מי שהחרב בידו. זו נקודת התורפה האידיאולוגית של הפתרון הגתיאני, והיא זו שביכנר, חמישים שנה לאחר מכן, יחשוף.</w:t>
      </w:r>
    </w:p>
    <w:p>
      <w:pPr>
        <w:pStyle w:val="Heading1"/>
        <w:bidi/>
        <w:spacing w:after="140" w:before="280" w:line="360"/>
        <w:jc w:val="right"/>
      </w:pPr>
      <w:r>
        <w:rPr>
          <w:rFonts w:ascii="Times New Roman" w:cs="Times New Roman" w:eastAsia="Times New Roman" w:hAnsi="Times New Roman"/>
          <w:b/>
          <w:bCs/>
          <w:i w:val="false"/>
          <w:iCs w:val="false"/>
          <w:sz w:val="26"/>
          <w:szCs w:val="26"/>
          <w:rtl/>
        </w:rPr>
        <w:t xml:space="preserve">ג. “ווייצק”: הנאורות בלבוש מיתוס</w:t>
      </w:r>
    </w:p>
    <w:p>
      <w:pPr>
        <w:pStyle w:val="Heading2"/>
        <w:bidi/>
        <w:spacing w:after="140" w:before="280" w:line="360"/>
        <w:jc w:val="right"/>
      </w:pPr>
      <w:r>
        <w:rPr>
          <w:rFonts w:ascii="Times New Roman" w:cs="Times New Roman" w:eastAsia="Times New Roman" w:hAnsi="Times New Roman"/>
          <w:b/>
          <w:bCs/>
          <w:i w:val="false"/>
          <w:iCs w:val="false"/>
          <w:sz w:val="24"/>
          <w:szCs w:val="24"/>
          <w:rtl/>
        </w:rPr>
        <w:t xml:space="preserve">1. עולם ללא מוסרים</w:t>
      </w:r>
    </w:p>
    <w:p>
      <w:pPr>
        <w:bidi/>
        <w:spacing w:after="120" w:line="360"/>
        <w:ind w:firstLine="431"/>
        <w:jc w:val="both"/>
      </w:pPr>
      <w:r>
        <w:rPr>
          <w:rFonts w:ascii="Times New Roman" w:cs="Times New Roman" w:eastAsia="Times New Roman" w:hAnsi="Times New Roman"/>
          <w:b w:val="false"/>
          <w:bCs w:val="false"/>
          <w:i w:val="false"/>
          <w:iCs w:val="false"/>
          <w:sz w:val="24"/>
          <w:szCs w:val="24"/>
          <w:rtl/>
        </w:rPr>
        <w:t xml:space="preserve">ביכנר פותח בדיוק במקום שגתה מסיים בו – אלא שגיבורו הוא אדם שאין לו מילים. התמונה הראשונה מציבה את ווייצק בשדה, מגלה שהאדמה “חלולה”, מדבר על “הבונים החפשיים” ורואה “אש מן השמיים וקול גדול כקול השופר” (תמונה 1, עמ' 27)</w:t>
      </w:r>
      <w:r>
        <w:rPr>
          <w:rStyle w:val="FootnoteReference"/>
        </w:rPr>
        <w:footnoteReference w:id="8"/>
      </w:r>
      <w:r>
        <w:rPr>
          <w:rFonts w:ascii="Times New Roman" w:cs="Times New Roman" w:eastAsia="Times New Roman" w:hAnsi="Times New Roman"/>
          <w:b w:val="false"/>
          <w:bCs w:val="false"/>
          <w:i w:val="false"/>
          <w:iCs w:val="false"/>
          <w:sz w:val="24"/>
          <w:szCs w:val="24"/>
          <w:rtl/>
        </w:rPr>
        <w:t xml:space="preserve">. אוצר המילים אפוקליפטי ומיתי, אבל אין לו קהילה שתאשרר אותו: מה שאצל גתה היה מסירה תרבותית הוא כאן תסמין פרטי. אנדרס משיב “אני מפחד” וממשיך לשיר. המיתוס איבד את המוסרים שלו – ולכן איבד גם את היכולת להתפרש.</w:t>
      </w:r>
    </w:p>
    <w:p>
      <w:pPr>
        <w:pStyle w:val="Heading2"/>
        <w:bidi/>
        <w:spacing w:after="140" w:before="280" w:line="360"/>
        <w:jc w:val="right"/>
      </w:pPr>
      <w:r>
        <w:rPr>
          <w:rFonts w:ascii="Times New Roman" w:cs="Times New Roman" w:eastAsia="Times New Roman" w:hAnsi="Times New Roman"/>
          <w:b/>
          <w:bCs/>
          <w:i w:val="false"/>
          <w:iCs w:val="false"/>
          <w:sz w:val="24"/>
          <w:szCs w:val="24"/>
          <w:rtl/>
        </w:rPr>
        <w:t xml:space="preserve">2. הכרוז ביריד: הגבול בין טבע לתרבות כמופע</w:t>
      </w:r>
    </w:p>
    <w:p>
      <w:pPr>
        <w:bidi/>
        <w:spacing w:after="120" w:line="360"/>
        <w:ind w:firstLine="431"/>
        <w:jc w:val="both"/>
      </w:pPr>
      <w:r>
        <w:rPr>
          <w:rFonts w:ascii="Times New Roman" w:cs="Times New Roman" w:eastAsia="Times New Roman" w:hAnsi="Times New Roman"/>
          <w:b w:val="false"/>
          <w:bCs w:val="false"/>
          <w:i w:val="false"/>
          <w:iCs w:val="false"/>
          <w:sz w:val="24"/>
          <w:szCs w:val="24"/>
          <w:rtl/>
        </w:rPr>
        <w:t xml:space="preserve">התמונה השלישית היא הצהרה תיאורטית מוסווית. הכרוז מציג לקהל את הקוף שהולך זקוף במעיל ובחרב: “ראו את הבריאה כמו שברא אותה אלוהים: כלום, לא כלום. עכשיו תראו את האמנות”, ולאחר מכן “הבהמה היא עוד טבע, טבע בלתי אידיאלי” ו“בן‑אדם, היה טבעי! נוצרת מעפר, חול ורפש” (תמונה 3, עמ' ‎31–33‎). הגבול שבו השתמשה הנאורות כדי להגדיר את האדם מוצג כאן כלהטוט יריד שגובים עליו כסף. זהו אפקט ניכור לפני ברכט: המימזיס עצמו מועלה על הבמה כחיקוי בתשלום, והצופה נדרש לשאול מה מפריד בינו לבין הבהמה הלבושה – ומיהו הכרוז המרוויח מן ההפרדה הזאת.</w:t>
      </w:r>
    </w:p>
    <w:p>
      <w:pPr>
        <w:pStyle w:val="Heading2"/>
        <w:bidi/>
        <w:spacing w:after="140" w:before="280" w:line="360"/>
        <w:jc w:val="right"/>
      </w:pPr>
      <w:r>
        <w:rPr>
          <w:rFonts w:ascii="Times New Roman" w:cs="Times New Roman" w:eastAsia="Times New Roman" w:hAnsi="Times New Roman"/>
          <w:b/>
          <w:bCs/>
          <w:i w:val="false"/>
          <w:iCs w:val="false"/>
          <w:sz w:val="24"/>
          <w:szCs w:val="24"/>
          <w:rtl/>
        </w:rPr>
        <w:t xml:space="preserve">3. הרופא והסרן: שתי רשויות מיתיות</w:t>
      </w:r>
    </w:p>
    <w:p>
      <w:pPr>
        <w:bidi/>
        <w:spacing w:after="120" w:line="360"/>
        <w:ind w:firstLine="431"/>
        <w:jc w:val="both"/>
      </w:pPr>
      <w:r>
        <w:rPr>
          <w:rFonts w:ascii="Times New Roman" w:cs="Times New Roman" w:eastAsia="Times New Roman" w:hAnsi="Times New Roman"/>
          <w:b w:val="false"/>
          <w:bCs w:val="false"/>
          <w:i w:val="false"/>
          <w:iCs w:val="false"/>
          <w:sz w:val="24"/>
          <w:szCs w:val="24"/>
          <w:rtl/>
        </w:rPr>
        <w:t xml:space="preserve">המדע והמוסר תופסים במחזה את מקומם של האורקל והפולחן. הרופא מכריז “האדם הוא בן‑חורין, באדם מזדככת האינדיבידואליות לדרגת חירות” (תמונה 8, עמ' 41) – ואומר זאת לאדם שהוא מרעיב בדיאטת אפונה, ובאותה נשימה ממחיר את דבריו: “אתה מקרה נהדר [...] תקבל תוספת שכר” (עמ' 42). החירות מוזכרת בדיוק ברגע שבו הגוף מוכיח שאיננה קיימת. בתמונה 18 מוצג ווייצק לסטודנטים כהמחשה ל“שאלה החשובה של היחס בין הסובייקט לאובייקט” (עמ' 58): שעיר לעזאזל שהומר בחיית מעבדה, ואשר הקהילה המתבוננת בו היא האקדמיה.</w:t>
      </w:r>
    </w:p>
    <w:p>
      <w:pPr>
        <w:bidi/>
        <w:spacing w:after="120" w:line="360"/>
        <w:ind w:firstLine="431"/>
        <w:jc w:val="both"/>
      </w:pPr>
      <w:r>
        <w:rPr>
          <w:rFonts w:ascii="Times New Roman" w:cs="Times New Roman" w:eastAsia="Times New Roman" w:hAnsi="Times New Roman"/>
          <w:b w:val="false"/>
          <w:bCs w:val="false"/>
          <w:i w:val="false"/>
          <w:iCs w:val="false"/>
          <w:sz w:val="24"/>
          <w:szCs w:val="24"/>
          <w:rtl/>
        </w:rPr>
        <w:t xml:space="preserve">הסרן מספק את החצי המשלים. בשיחה על “מידות טובות” משיב ווייצק: “אנחנו, פשוטי העם, אין לנו מידות טובות, רק מה שבא ככה מהטבע, אבל לו הייתי אדון והיה לי מגבעת ושעון ומעיל [...] אבל אני סתם אחד עני” (תמונה 5, עמ' 38). המוסר מתגלה כנכס מעמדי; “הטבע” מתגלה כשם שנותנים לאילוץ הכלכלי. שלושת ההבטחות הגדולות של המאה – חירות, מוסר, טבע – פועלות כאן בדיוק כפי שפועל אורקל בטרגדיה: כלשון שאי אפשר להשיב עליה, שמקצה לאדם מקום ומייצרת אשמה. זו הנקודה שבה הנאורות “חוזרת ונהפכת למיתולוגיה”, ולא כמטפורה אלא כתיאור בימתי.</w:t>
      </w:r>
    </w:p>
    <w:p>
      <w:pPr>
        <w:pStyle w:val="Heading2"/>
        <w:bidi/>
        <w:spacing w:after="140" w:before="280" w:line="360"/>
        <w:jc w:val="right"/>
      </w:pPr>
      <w:r>
        <w:rPr>
          <w:rFonts w:ascii="Times New Roman" w:cs="Times New Roman" w:eastAsia="Times New Roman" w:hAnsi="Times New Roman"/>
          <w:b/>
          <w:bCs/>
          <w:i w:val="false"/>
          <w:iCs w:val="false"/>
          <w:sz w:val="24"/>
          <w:szCs w:val="24"/>
          <w:rtl/>
        </w:rPr>
        <w:t xml:space="preserve">4. הקולות ואגדת הסבתא</w:t>
      </w:r>
    </w:p>
    <w:p>
      <w:pPr>
        <w:bidi/>
        <w:spacing w:after="120" w:line="360"/>
        <w:ind w:firstLine="431"/>
        <w:jc w:val="both"/>
      </w:pPr>
      <w:r>
        <w:rPr>
          <w:rFonts w:ascii="Times New Roman" w:cs="Times New Roman" w:eastAsia="Times New Roman" w:hAnsi="Times New Roman"/>
          <w:b w:val="false"/>
          <w:bCs w:val="false"/>
          <w:i w:val="false"/>
          <w:iCs w:val="false"/>
          <w:sz w:val="24"/>
          <w:szCs w:val="24"/>
          <w:rtl/>
        </w:rPr>
        <w:t xml:space="preserve">בתמונה 12 שומע ווייצק את הצו: “דקור, דקור למות” (עמ' 52). הקול הזה הוא מקבילתן של האריניות – אך בעוד שאורסטס נגאל מהן ברגע שאחותו פונה אליו בשמו, אל ווייצק איש אינו פונה: כל דיבור המופנה אליו הוא פקודה, הרצאה או בדיחה. השפה במחזה מתפרקת לציוויים ולחזרות (“הלאה, הלאה”, “שקט”), ואילו הפסוקים מן המקרא נמצאים תמיד בפיהם של אחרים.</w:t>
      </w:r>
    </w:p>
    <w:p>
      <w:pPr>
        <w:bidi/>
        <w:spacing w:after="120" w:line="360"/>
        <w:ind w:firstLine="431"/>
        <w:jc w:val="both"/>
      </w:pPr>
      <w:r>
        <w:rPr>
          <w:rFonts w:ascii="Times New Roman" w:cs="Times New Roman" w:eastAsia="Times New Roman" w:hAnsi="Times New Roman"/>
          <w:b w:val="false"/>
          <w:bCs w:val="false"/>
          <w:i w:val="false"/>
          <w:iCs w:val="false"/>
          <w:sz w:val="24"/>
          <w:szCs w:val="24"/>
          <w:rtl/>
        </w:rPr>
        <w:t xml:space="preserve">בלבו של הפרגמנט ניצבת אגדת הסבתא (תמונה 19, עמ' ‎60–61‎) – סיפור בריאה הפוך:</w:t>
      </w:r>
    </w:p>
    <w:p>
      <w:pPr>
        <w:bidi/>
        <w:spacing w:after="140" w:before="100" w:line="300"/>
        <w:ind w:left="720" w:right="720"/>
        <w:jc w:val="right"/>
      </w:pPr>
      <w:r>
        <w:rPr>
          <w:rFonts w:ascii="Times New Roman" w:cs="Times New Roman" w:eastAsia="Times New Roman" w:hAnsi="Times New Roman"/>
          <w:b w:val="false"/>
          <w:bCs w:val="false"/>
          <w:i w:val="false"/>
          <w:iCs w:val="false"/>
          <w:sz w:val="22"/>
          <w:szCs w:val="22"/>
          <w:rtl/>
        </w:rPr>
        <w:t xml:space="preserve">“היה היתה ילדה ענייה ולא היה לה אבא ולא היתה לה אמא והכל מת ולא נשאר איש בעולם [...] וכשהגיעה סוף‑סוף לירח, היה הירח גזר עץ רקוב, ואז הלכה לשמש, וכשהגיעה היתה השמש חמנית נבולה [...] וכשרצתה לחזור לאדמה, היתה האדמה סיר הפוך, והיא היתה לבדה, ואז ישבה ובכתה, והיא יושבת עד היום הזה, והיא לבדה לבדה”.</w:t>
      </w:r>
    </w:p>
    <w:p>
      <w:pPr>
        <w:bidi/>
        <w:spacing w:after="120" w:line="360"/>
        <w:ind w:firstLine="431"/>
        <w:jc w:val="both"/>
      </w:pPr>
      <w:r>
        <w:rPr>
          <w:rFonts w:ascii="Times New Roman" w:cs="Times New Roman" w:eastAsia="Times New Roman" w:hAnsi="Times New Roman"/>
          <w:b w:val="false"/>
          <w:bCs w:val="false"/>
          <w:i w:val="false"/>
          <w:iCs w:val="false"/>
          <w:sz w:val="24"/>
          <w:szCs w:val="24"/>
          <w:rtl/>
        </w:rPr>
        <w:t xml:space="preserve">זוהי המקבילה המבנית המדויקת לשיר הפרקות: שיר‑בתוך‑מחזה, במשלב ארכאי, המושמע ברגע של ייאוש ומוסר את אדישותו של היקום. אלא שההבדל בתפקוד מוחלט. את שיר הפרקות מצטט גתה כדי להשיב לו, ואיפיגניה אכן משיבה לו במעשה האמת. לאגדת הסבתא לא משיב איש – מיד אחריה נכנס ווייצק ולוקח את מאריה אל האגם.</w:t>
      </w:r>
    </w:p>
    <w:p>
      <w:pPr>
        <w:pStyle w:val="Heading2"/>
        <w:bidi/>
        <w:spacing w:after="140" w:before="280" w:line="360"/>
        <w:jc w:val="right"/>
      </w:pPr>
      <w:r>
        <w:rPr>
          <w:rFonts w:ascii="Times New Roman" w:cs="Times New Roman" w:eastAsia="Times New Roman" w:hAnsi="Times New Roman"/>
          <w:b/>
          <w:bCs/>
          <w:i w:val="false"/>
          <w:iCs w:val="false"/>
          <w:sz w:val="24"/>
          <w:szCs w:val="24"/>
          <w:rtl/>
        </w:rPr>
        <w:t xml:space="preserve">5. הקורבן והפיכתו לחפץ אסתטי</w:t>
      </w:r>
    </w:p>
    <w:p>
      <w:pPr>
        <w:bidi/>
        <w:spacing w:after="120" w:line="360"/>
        <w:ind w:firstLine="431"/>
        <w:jc w:val="both"/>
      </w:pPr>
      <w:r>
        <w:rPr>
          <w:rFonts w:ascii="Times New Roman" w:cs="Times New Roman" w:eastAsia="Times New Roman" w:hAnsi="Times New Roman"/>
          <w:b w:val="false"/>
          <w:bCs w:val="false"/>
          <w:i w:val="false"/>
          <w:iCs w:val="false"/>
          <w:sz w:val="24"/>
          <w:szCs w:val="24"/>
          <w:rtl/>
        </w:rPr>
        <w:t xml:space="preserve">מותה של מאריה משלים את המנגנון שז'יראר תיאר, ובלי שיור גואל. שמש בית‑הדין מסכם: “רצח טוב, רצח אמיתי, רצח יפה, יפה כמו שאפשר לדרוש. לא היה לנו כזה מזמן” (תמונה 26, עמ' 70). האלימות אינה רק מוסדרת בדיעבד – היא נצרכת כהנאה, והביורוקרטיה מדרגת אותה כיצירת אמנות. שורה זו היא הביקורת החריפה ביותר של המחזה על התיאטרון עצמו, ובעקיפין גם על הצופה בו.</w:t>
      </w:r>
    </w:p>
    <w:p>
      <w:pPr>
        <w:pStyle w:val="Heading2"/>
        <w:bidi/>
        <w:spacing w:after="140" w:before="280" w:line="360"/>
        <w:jc w:val="right"/>
      </w:pPr>
      <w:r>
        <w:rPr>
          <w:rFonts w:ascii="Times New Roman" w:cs="Times New Roman" w:eastAsia="Times New Roman" w:hAnsi="Times New Roman"/>
          <w:b/>
          <w:bCs/>
          <w:i w:val="false"/>
          <w:iCs w:val="false"/>
          <w:sz w:val="24"/>
          <w:szCs w:val="24"/>
          <w:rtl/>
        </w:rPr>
        <w:t xml:space="preserve">6. הצורה: פרגמנט כטענה</w:t>
      </w:r>
    </w:p>
    <w:p>
      <w:pPr>
        <w:bidi/>
        <w:spacing w:after="120" w:line="360"/>
        <w:ind w:firstLine="431"/>
        <w:jc w:val="both"/>
      </w:pPr>
      <w:r>
        <w:rPr>
          <w:rFonts w:ascii="Times New Roman" w:cs="Times New Roman" w:eastAsia="Times New Roman" w:hAnsi="Times New Roman"/>
          <w:b w:val="false"/>
          <w:bCs w:val="false"/>
          <w:i w:val="false"/>
          <w:iCs w:val="false"/>
          <w:sz w:val="24"/>
          <w:szCs w:val="24"/>
          <w:rtl/>
        </w:rPr>
        <w:t xml:space="preserve">27 תמונות קצרות, בלי אקספוזיציה מחייבת, בלי סדר מקובע ובלי סיום – ווייצק אינו רק מחזה שלא הושלם אלא מחזה שהאי‑השלמה תואמת את טענתו</w:t>
      </w:r>
      <w:r>
        <w:rPr>
          <w:rStyle w:val="FootnoteReference"/>
        </w:rPr>
        <w:footnoteReference w:id="14"/>
      </w:r>
      <w:r>
        <w:rPr>
          <w:rFonts w:ascii="Times New Roman" w:cs="Times New Roman" w:eastAsia="Times New Roman" w:hAnsi="Times New Roman"/>
          <w:b w:val="false"/>
          <w:bCs w:val="false"/>
          <w:i w:val="false"/>
          <w:iCs w:val="false"/>
          <w:sz w:val="24"/>
          <w:szCs w:val="24"/>
          <w:rtl/>
        </w:rPr>
        <w:t xml:space="preserve">. קלוץ העמיד את שתי היצירות הללו ממש כדגמים נגדיים של הצורה הסגורה והצורה הפתוחה</w:t>
      </w:r>
      <w:r>
        <w:rPr>
          <w:rStyle w:val="FootnoteReference"/>
        </w:rPr>
        <w:footnoteReference w:id="13"/>
      </w:r>
      <w:r>
        <w:rPr>
          <w:rFonts w:ascii="Times New Roman" w:cs="Times New Roman" w:eastAsia="Times New Roman" w:hAnsi="Times New Roman"/>
          <w:b w:val="false"/>
          <w:bCs w:val="false"/>
          <w:i w:val="false"/>
          <w:iCs w:val="false"/>
          <w:sz w:val="24"/>
          <w:szCs w:val="24"/>
          <w:rtl/>
        </w:rPr>
        <w:t xml:space="preserve">, ואפשר להוסיף על כך: הצורה הסגורה מניחה שהעולם ניתן לכינוס בטוטליות מפויסת – כלומר שאפשר לסיים את המיתוס; הצורה הפתוחה מניחה שאי אפשר, כל עוד התנאים נמשכים. מכתבו הידוע של ביכנר על “הפאטליזם המחריד של ההיסטוריה”</w:t>
      </w:r>
      <w:r>
        <w:rPr>
          <w:rStyle w:val="FootnoteReference"/>
        </w:rPr>
        <w:footnoteReference w:id="12"/>
      </w:r>
      <w:r>
        <w:rPr>
          <w:rFonts w:ascii="Times New Roman" w:cs="Times New Roman" w:eastAsia="Times New Roman" w:hAnsi="Times New Roman"/>
          <w:b w:val="false"/>
          <w:bCs w:val="false"/>
          <w:i w:val="false"/>
          <w:iCs w:val="false"/>
          <w:sz w:val="24"/>
          <w:szCs w:val="24"/>
          <w:rtl/>
        </w:rPr>
        <w:t xml:space="preserve"> הוא הפרשנות המוסמכת לצורה הזאת: לא גורל של אלים אלא חוק ברזל של יחסי כוח, שנחווה כגורל בדיוק משום שאיש אינו יכול לפנות אליו בדיבור.</w:t>
      </w:r>
    </w:p>
    <w:p>
      <w:pPr>
        <w:pStyle w:val="Heading1"/>
        <w:bidi/>
        <w:spacing w:after="140" w:before="280" w:line="360"/>
        <w:jc w:val="right"/>
      </w:pPr>
      <w:r>
        <w:rPr>
          <w:rFonts w:ascii="Times New Roman" w:cs="Times New Roman" w:eastAsia="Times New Roman" w:hAnsi="Times New Roman"/>
          <w:b/>
          <w:bCs/>
          <w:i w:val="false"/>
          <w:iCs w:val="false"/>
          <w:sz w:val="26"/>
          <w:szCs w:val="26"/>
          <w:rtl/>
        </w:rPr>
        <w:t xml:space="preserve">ד. מה מלמדת ההשוואה</w:t>
      </w:r>
    </w:p>
    <w:p>
      <w:pPr>
        <w:bidi/>
        <w:spacing w:after="120" w:line="360"/>
        <w:ind w:firstLine="431"/>
        <w:jc w:val="both"/>
      </w:pPr>
      <w:r>
        <w:rPr>
          <w:rFonts w:ascii="Times New Roman" w:cs="Times New Roman" w:eastAsia="Times New Roman" w:hAnsi="Times New Roman"/>
          <w:b/>
          <w:bCs/>
          <w:i w:val="false"/>
          <w:iCs w:val="false"/>
          <w:sz w:val="24"/>
          <w:szCs w:val="24"/>
          <w:rtl/>
        </w:rPr>
        <w:t xml:space="preserve">ראשית, המיתוס אינו חומר אלא דקדוק.</w:t>
      </w:r>
      <w:r>
        <w:rPr>
          <w:rFonts w:ascii="Times New Roman" w:cs="Times New Roman" w:eastAsia="Times New Roman" w:hAnsi="Times New Roman"/>
          <w:b w:val="false"/>
          <w:bCs w:val="false"/>
          <w:i w:val="false"/>
          <w:iCs w:val="false"/>
          <w:sz w:val="24"/>
          <w:szCs w:val="24"/>
          <w:rtl/>
        </w:rPr>
        <w:t xml:space="preserve"> גתה נוטל חומר מיתולוגי מובהק ומפרק בעזרתו את התחביר המיתי; ביכנר נוטל חומר תיעודי מן העיתון ומגלה בו את אותו תחביר בפעולה מלאה. מכאן שאי אפשר להגדיר את המיתי לפי נוכחותם של אלים. המיתי מוגדר לפי מיקומו של הסובייקט מול לשון שאין הוא יכול להשיב עליה – בין שהיא אורקל דלפי ובין שהיא אבחנה רפואית.</w:t>
      </w:r>
    </w:p>
    <w:p>
      <w:pPr>
        <w:bidi/>
        <w:spacing w:after="120" w:line="360"/>
        <w:ind w:firstLine="431"/>
        <w:jc w:val="both"/>
      </w:pPr>
      <w:r>
        <w:rPr>
          <w:rFonts w:ascii="Times New Roman" w:cs="Times New Roman" w:eastAsia="Times New Roman" w:hAnsi="Times New Roman"/>
          <w:b/>
          <w:bCs/>
          <w:i w:val="false"/>
          <w:iCs w:val="false"/>
          <w:sz w:val="24"/>
          <w:szCs w:val="24"/>
          <w:rtl/>
        </w:rPr>
        <w:t xml:space="preserve">שנית, שני שירים ושתי תשובות.</w:t>
      </w:r>
      <w:r>
        <w:rPr>
          <w:rFonts w:ascii="Times New Roman" w:cs="Times New Roman" w:eastAsia="Times New Roman" w:hAnsi="Times New Roman"/>
          <w:b w:val="false"/>
          <w:bCs w:val="false"/>
          <w:i w:val="false"/>
          <w:iCs w:val="false"/>
          <w:sz w:val="24"/>
          <w:szCs w:val="24"/>
          <w:rtl/>
        </w:rPr>
        <w:t xml:space="preserve"> שיר הפרקות ואגדת הסבתא הם מרכזי הכובד של שני המחזות, וזהותם המבנית מאפשרת למדוד במדויק את המרחק בין 1787 ל‑1836. שניהם קול ארכאי מצוטט; אצל גתה הציטוט הוא תנאי להפרכה, אצל ביכנר הוא המילה האחרונה. ההבדל אינו בפסימיות של המחברים אלא בשאלה אם קיים בעולם המחזה נמען שיכול לענות.</w:t>
      </w:r>
    </w:p>
    <w:p>
      <w:pPr>
        <w:bidi/>
        <w:spacing w:after="120" w:line="360"/>
        <w:ind w:firstLine="431"/>
        <w:jc w:val="both"/>
      </w:pPr>
      <w:r>
        <w:rPr>
          <w:rFonts w:ascii="Times New Roman" w:cs="Times New Roman" w:eastAsia="Times New Roman" w:hAnsi="Times New Roman"/>
          <w:b/>
          <w:bCs/>
          <w:i w:val="false"/>
          <w:iCs w:val="false"/>
          <w:sz w:val="24"/>
          <w:szCs w:val="24"/>
          <w:rtl/>
        </w:rPr>
        <w:t xml:space="preserve">שלישית, מי משלם.</w:t>
      </w:r>
      <w:r>
        <w:rPr>
          <w:rFonts w:ascii="Times New Roman" w:cs="Times New Roman" w:eastAsia="Times New Roman" w:hAnsi="Times New Roman"/>
          <w:b w:val="false"/>
          <w:bCs w:val="false"/>
          <w:i w:val="false"/>
          <w:iCs w:val="false"/>
          <w:sz w:val="24"/>
          <w:szCs w:val="24"/>
          <w:rtl/>
        </w:rPr>
        <w:t xml:space="preserve"> שני המחזות רוכשים את פתרונם – או את היעדרו – מגופה של אישה. איפיגניה נושאת את “ההומניות” כמשימה ומשלמת בציות ובהצעה להיהרג ראשונה; מאריה היא הנרצחת. המחזה שנתן לגיבורתו את המשפט “אני חפשית נולדת כגבר” מתנה בכל זאת את חירותה בחסדו של מלך, והמחזה שנתן למאריה ראי ותנ“ך נותן לה בסוף סכין. מכאן מסקנה מטרידה: מבנה ההקרבה שורד את הנאורות של עצמו בכך שהוא מחליף את זהות הקורבן.</w:t>
      </w:r>
    </w:p>
    <w:p>
      <w:pPr>
        <w:bidi/>
        <w:spacing w:after="120" w:line="360"/>
        <w:ind w:firstLine="431"/>
        <w:jc w:val="both"/>
      </w:pPr>
      <w:r>
        <w:rPr>
          <w:rFonts w:ascii="Times New Roman" w:cs="Times New Roman" w:eastAsia="Times New Roman" w:hAnsi="Times New Roman"/>
          <w:b/>
          <w:bCs/>
          <w:i w:val="false"/>
          <w:iCs w:val="false"/>
          <w:sz w:val="24"/>
          <w:szCs w:val="24"/>
          <w:rtl/>
        </w:rPr>
        <w:t xml:space="preserve">רביעית, קריטריון פוליטי לדרמה.</w:t>
      </w:r>
      <w:r>
        <w:rPr>
          <w:rFonts w:ascii="Times New Roman" w:cs="Times New Roman" w:eastAsia="Times New Roman" w:hAnsi="Times New Roman"/>
          <w:b w:val="false"/>
          <w:bCs w:val="false"/>
          <w:i w:val="false"/>
          <w:iCs w:val="false"/>
          <w:sz w:val="24"/>
          <w:szCs w:val="24"/>
          <w:rtl/>
        </w:rPr>
        <w:t xml:space="preserve"> אם מעמידים את שתי הסצנות המכריעות זו מול זו – “הכר, אורסטס, איפיגניה אני!” מול “דקור, דקור למות” – מתקבל מדד שאינו נוגע לנושא אלא לחלוקת המשאבים: מי רשאי לדבר, ומי זוכה שיענו לו. הפוליטי בדרמה אינו התוכן שהיא מייצגת אלא הארכיטקטורה של הפנייה שהיא מאפשרת. במובן זה ווייצק אינו מחזה על עוני אלא מחזה על שלילת הנמענוּת.</w:t>
      </w:r>
    </w:p>
    <w:p>
      <w:pPr>
        <w:bidi/>
        <w:spacing w:after="120" w:line="360"/>
        <w:ind w:firstLine="431"/>
        <w:jc w:val="both"/>
      </w:pPr>
      <w:r>
        <w:rPr>
          <w:rFonts w:ascii="Times New Roman" w:cs="Times New Roman" w:eastAsia="Times New Roman" w:hAnsi="Times New Roman"/>
          <w:b/>
          <w:bCs/>
          <w:i w:val="false"/>
          <w:iCs w:val="false"/>
          <w:sz w:val="24"/>
          <w:szCs w:val="24"/>
          <w:rtl/>
        </w:rPr>
        <w:t xml:space="preserve">וחמישית, הצורה כתיאוריה של המיתוס.</w:t>
      </w:r>
      <w:r>
        <w:rPr>
          <w:rFonts w:ascii="Times New Roman" w:cs="Times New Roman" w:eastAsia="Times New Roman" w:hAnsi="Times New Roman"/>
          <w:b w:val="false"/>
          <w:bCs w:val="false"/>
          <w:i w:val="false"/>
          <w:iCs w:val="false"/>
          <w:sz w:val="24"/>
          <w:szCs w:val="24"/>
          <w:rtl/>
        </w:rPr>
        <w:t xml:space="preserve"> ההבחנה בין הצורה הסגורה לפתוחה אינה עניין טכני: היא מגלמת שתי עמדות ביחס לשאלה אם אפשר לסיים. על רקע זה אפשר למקם גם את התחנות המאוחרות של הקורס – את אנטיגונה של ברכט, שמציבה את המיתוס בתוך פרולוג ברלינאי של 1945 ובכך הופכת את הצופה לעד היסטורי, ואת העלבת הקהל של הנדקה, שמבטל את הפבולה כליל ומשאיר על הבמה רק את מעשה הפנייה עצמו – כלומר, את היסוד היחיד שווייצק נשלל ממנו. אם, כפי שסונדי טען, המשבר של הדרמה המודרנית הוא משברו של היחס הבין‑אישי כחומר בימתי</w:t>
      </w:r>
      <w:r>
        <w:rPr>
          <w:rStyle w:val="FootnoteReference"/>
        </w:rPr>
        <w:footnoteReference w:id="15"/>
      </w:r>
      <w:r>
        <w:rPr>
          <w:rFonts w:ascii="Times New Roman" w:cs="Times New Roman" w:eastAsia="Times New Roman" w:hAnsi="Times New Roman"/>
          <w:b w:val="false"/>
          <w:bCs w:val="false"/>
          <w:i w:val="false"/>
          <w:iCs w:val="false"/>
          <w:sz w:val="24"/>
          <w:szCs w:val="24"/>
          <w:rtl/>
        </w:rPr>
        <w:t xml:space="preserve">, הרי ששני המחזות שנדונו כאן מסמנים את שני קצותיו: אצל גתה הפנייה עוד מסוגלת להפסיק מיתוס; אצל ביכנר היעדרה הוא‑הוא המיתוס.</w:t>
      </w:r>
    </w:p>
    <w:p>
      <w:pPr>
        <w:pStyle w:val="Heading1"/>
        <w:bidi/>
        <w:spacing w:after="140" w:before="280" w:line="360"/>
        <w:jc w:val="right"/>
      </w:pPr>
      <w:r>
        <w:rPr>
          <w:rFonts w:ascii="Times New Roman" w:cs="Times New Roman" w:eastAsia="Times New Roman" w:hAnsi="Times New Roman"/>
          <w:b/>
          <w:bCs/>
          <w:i w:val="false"/>
          <w:iCs w:val="false"/>
          <w:sz w:val="26"/>
          <w:szCs w:val="26"/>
          <w:rtl/>
        </w:rPr>
        <w:t xml:space="preserve">סיכום</w:t>
      </w:r>
    </w:p>
    <w:p>
      <w:pPr>
        <w:bidi/>
        <w:spacing w:after="120" w:line="360"/>
        <w:ind w:firstLine="431"/>
        <w:jc w:val="both"/>
      </w:pPr>
      <w:r>
        <w:rPr>
          <w:rFonts w:ascii="Times New Roman" w:cs="Times New Roman" w:eastAsia="Times New Roman" w:hAnsi="Times New Roman"/>
          <w:b w:val="false"/>
          <w:bCs w:val="false"/>
          <w:i w:val="false"/>
          <w:iCs w:val="false"/>
          <w:sz w:val="24"/>
          <w:szCs w:val="24"/>
          <w:rtl/>
        </w:rPr>
        <w:t xml:space="preserve">“איפיגניה בטאוריס” ו“ווייצק” אינם מציעים שתי תשובות מנוגדות לאותה שאלה אלא שני שלבים באותו תהליך. גתה מדגים את עבודתו של המיתוס עד גבולה: הוא מצטט את הקללה, מפרש מחדש את האורקל וממיר את הדם במילה – אך תולה את ההמרה בוויתור אישי של בעל הכוח, ולכן משאיר אותה חשופה. ביכנר מראה מה קורה כשאותו ויתור אינו מגיע: הכוח אינו נעלם אלא מחליף שפה, מתחפש לתבונה, למוסר ולטבע, ומייצר קורבן חדש שאיש אינו מזהה ככזה. השיבה החוזרת אל המיתוס בדרמה הגרמנית אינה, אם כן, נוסטלגיה לעולם האלים. היא הכלי המדויק ביותר שיש בידי התיאטרון לתאר מצב שבו בני אדם כפופים לכוח שאין להשיב עליו – ולשאול, בכל דור מחדש, מי עדיין יכול להיענות.</w:t>
      </w:r>
    </w:p>
    <w:p>
      <w:pPr>
        <w:pStyle w:val="Heading1"/>
        <w:bidi/>
        <w:spacing w:after="140" w:before="280" w:line="360"/>
        <w:jc w:val="right"/>
      </w:pPr>
      <w:r>
        <w:rPr>
          <w:rFonts w:ascii="Times New Roman" w:cs="Times New Roman" w:eastAsia="Times New Roman" w:hAnsi="Times New Roman"/>
          <w:b/>
          <w:bCs/>
          <w:i w:val="false"/>
          <w:iCs w:val="false"/>
          <w:sz w:val="26"/>
          <w:szCs w:val="26"/>
          <w:rtl/>
        </w:rPr>
        <w:t xml:space="preserve">ביבליוגרפיה</w:t>
      </w:r>
    </w:p>
    <w:p>
      <w:pPr>
        <w:bidi/>
        <w:spacing w:after="100" w:line="300"/>
        <w:ind w:right="431" w:hanging="431"/>
        <w:jc w:val="right"/>
      </w:pPr>
      <w:r>
        <w:rPr>
          <w:rFonts w:ascii="Times New Roman" w:cs="Times New Roman" w:eastAsia="Times New Roman" w:hAnsi="Times New Roman"/>
          <w:b w:val="false"/>
          <w:bCs w:val="false"/>
          <w:i w:val="false"/>
          <w:iCs w:val="false"/>
          <w:sz w:val="24"/>
          <w:szCs w:val="24"/>
          <w:rtl/>
        </w:rPr>
        <w:t xml:space="preserve">ביכנר, גאורג. ווייצק. מגרמנית שמעון זנדבנק. תל אביב: אור עם, 1982.</w:t>
      </w:r>
    </w:p>
    <w:p>
      <w:pPr>
        <w:bidi/>
        <w:spacing w:after="100" w:line="300"/>
        <w:ind w:right="431" w:hanging="431"/>
        <w:jc w:val="right"/>
      </w:pPr>
      <w:r>
        <w:rPr>
          <w:rFonts w:ascii="Times New Roman" w:cs="Times New Roman" w:eastAsia="Times New Roman" w:hAnsi="Times New Roman"/>
          <w:b w:val="false"/>
          <w:bCs w:val="false"/>
          <w:i w:val="false"/>
          <w:iCs w:val="false"/>
          <w:sz w:val="24"/>
          <w:szCs w:val="24"/>
          <w:rtl/>
        </w:rPr>
        <w:t xml:space="preserve">גתה, יוהן וולפגנג. איפיגניה בטאוריס. מגרמנית יצחק כפכפי. תל אביב: דביר, 1981.</w:t>
      </w:r>
    </w:p>
    <w:p>
      <w:pPr>
        <w:bidi/>
        <w:spacing w:after="100" w:line="300"/>
        <w:ind w:right="431" w:hanging="431"/>
        <w:jc w:val="right"/>
      </w:pPr>
      <w:r>
        <w:rPr>
          <w:rFonts w:ascii="Times New Roman" w:cs="Times New Roman" w:eastAsia="Times New Roman" w:hAnsi="Times New Roman"/>
          <w:b w:val="false"/>
          <w:bCs w:val="false"/>
          <w:i w:val="false"/>
          <w:iCs w:val="false"/>
          <w:sz w:val="24"/>
          <w:szCs w:val="24"/>
          <w:rtl/>
        </w:rPr>
        <w:t xml:space="preserve">בנימין, ולטר. מבחר כתבים, כרך ב: הרהורים. תרגום דוד זינגר. תל אביב: הקיבוץ המאוחד, 1996.</w:t>
      </w:r>
    </w:p>
    <w:p>
      <w:pPr>
        <w:bidi/>
        <w:spacing w:after="100" w:line="300"/>
        <w:ind w:right="431" w:hanging="431"/>
        <w:jc w:val="right"/>
      </w:pPr>
      <w:r>
        <w:rPr>
          <w:rFonts w:ascii="Times New Roman" w:cs="Times New Roman" w:eastAsia="Times New Roman" w:hAnsi="Times New Roman"/>
          <w:b w:val="false"/>
          <w:bCs w:val="false"/>
          <w:i w:val="false"/>
          <w:iCs w:val="false"/>
          <w:sz w:val="24"/>
          <w:szCs w:val="24"/>
          <w:rtl/>
        </w:rPr>
        <w:t xml:space="preserve">הנדקה, פטר. העלבת הקהל. מגרמנית שמעון לוי. תל אביב: אור עם, 1990.</w:t>
      </w:r>
    </w:p>
    <w:p>
      <w:pPr>
        <w:bidi/>
        <w:spacing w:after="100" w:line="300"/>
        <w:ind w:right="431" w:hanging="431"/>
        <w:jc w:val="right"/>
      </w:pPr>
      <w:r>
        <w:rPr>
          <w:rFonts w:ascii="Times New Roman" w:cs="Times New Roman" w:eastAsia="Times New Roman" w:hAnsi="Times New Roman"/>
          <w:b w:val="false"/>
          <w:bCs w:val="false"/>
          <w:i w:val="false"/>
          <w:iCs w:val="false"/>
          <w:sz w:val="24"/>
          <w:szCs w:val="24"/>
          <w:rtl/>
        </w:rPr>
        <w:t xml:space="preserve">קלייסט, היינריך פון. הנסיך מהומבורג. מגרמנית שמעון לוי. רמת גן: המרכז הישראלי לדרמה, 1989.</w:t>
      </w:r>
    </w:p>
    <w:p>
      <w:pPr>
        <w:bidi/>
        <w:spacing w:after="100" w:line="300"/>
        <w:ind w:right="431" w:hanging="431"/>
        <w:jc w:val="right"/>
      </w:pPr>
      <w:r>
        <w:rPr>
          <w:rFonts w:ascii="Times New Roman" w:cs="Times New Roman" w:eastAsia="Times New Roman" w:hAnsi="Times New Roman"/>
          <w:b w:val="false"/>
          <w:bCs w:val="false"/>
          <w:i w:val="false"/>
          <w:iCs w:val="false"/>
          <w:sz w:val="24"/>
          <w:szCs w:val="24"/>
          <w:rtl/>
        </w:rPr>
        <w:t xml:space="preserve">שו, הלן. “כך הפכה אנטיגונה לגיבורה בת 2,500 שלא מתיישנת לעולם”. ניו יורק טיימס, 29 במרס 2026.</w:t>
      </w:r>
    </w:p>
    <w:p>
      <w:pPr>
        <w:spacing w:after="100" w:line="300"/>
        <w:ind w:left="431" w:hanging="431"/>
        <w:jc w:val="left"/>
      </w:pPr>
      <w:r>
        <w:rPr>
          <w:rFonts w:ascii="Times New Roman" w:cs="Times New Roman" w:eastAsia="Times New Roman" w:hAnsi="Times New Roman"/>
          <w:b w:val="false"/>
          <w:bCs w:val="false"/>
          <w:i w:val="false"/>
          <w:iCs w:val="false"/>
          <w:sz w:val="24"/>
          <w:szCs w:val="24"/>
        </w:rPr>
        <w:t xml:space="preserve">Adorno, Theodor W. “Zum Klassizismus von Goethes Iphigenie” (1967). In: Noten zur Literatur. Frankfurt a.M.: Suhrkamp, 1974.</w:t>
      </w:r>
    </w:p>
    <w:p>
      <w:pPr>
        <w:spacing w:after="100" w:line="300"/>
        <w:ind w:left="431" w:hanging="431"/>
        <w:jc w:val="left"/>
      </w:pPr>
      <w:r>
        <w:rPr>
          <w:rFonts w:ascii="Times New Roman" w:cs="Times New Roman" w:eastAsia="Times New Roman" w:hAnsi="Times New Roman"/>
          <w:b w:val="false"/>
          <w:bCs w:val="false"/>
          <w:i w:val="false"/>
          <w:iCs w:val="false"/>
          <w:sz w:val="24"/>
          <w:szCs w:val="24"/>
        </w:rPr>
        <w:t xml:space="preserve">Blumenberg, Hans. Arbeit am Mythos. Frankfurt a.M.: Suhrkamp, 1979.</w:t>
      </w:r>
    </w:p>
    <w:p>
      <w:pPr>
        <w:spacing w:after="100" w:line="300"/>
        <w:ind w:left="431" w:hanging="431"/>
        <w:jc w:val="left"/>
      </w:pPr>
      <w:r>
        <w:rPr>
          <w:rFonts w:ascii="Times New Roman" w:cs="Times New Roman" w:eastAsia="Times New Roman" w:hAnsi="Times New Roman"/>
          <w:b w:val="false"/>
          <w:bCs w:val="false"/>
          <w:i w:val="false"/>
          <w:iCs w:val="false"/>
          <w:sz w:val="24"/>
          <w:szCs w:val="24"/>
        </w:rPr>
        <w:t xml:space="preserve">Brecht, Bertolt. “Kleines Organon für das Theater” (1949). In: Schriften zum Theater.</w:t>
      </w:r>
    </w:p>
    <w:p>
      <w:pPr>
        <w:spacing w:after="100" w:line="300"/>
        <w:ind w:left="431" w:hanging="431"/>
        <w:jc w:val="left"/>
      </w:pPr>
      <w:r>
        <w:rPr>
          <w:rFonts w:ascii="Times New Roman" w:cs="Times New Roman" w:eastAsia="Times New Roman" w:hAnsi="Times New Roman"/>
          <w:b w:val="false"/>
          <w:bCs w:val="false"/>
          <w:i w:val="false"/>
          <w:iCs w:val="false"/>
          <w:sz w:val="24"/>
          <w:szCs w:val="24"/>
        </w:rPr>
        <w:t xml:space="preserve">Diderot, Denis. Paradoxe sur le comédien. Paris, 1830 [1773].</w:t>
      </w:r>
    </w:p>
    <w:p>
      <w:pPr>
        <w:spacing w:after="100" w:line="300"/>
        <w:ind w:left="431" w:hanging="431"/>
        <w:jc w:val="left"/>
      </w:pPr>
      <w:r>
        <w:rPr>
          <w:rFonts w:ascii="Times New Roman" w:cs="Times New Roman" w:eastAsia="Times New Roman" w:hAnsi="Times New Roman"/>
          <w:b w:val="false"/>
          <w:bCs w:val="false"/>
          <w:i w:val="false"/>
          <w:iCs w:val="false"/>
          <w:sz w:val="24"/>
          <w:szCs w:val="24"/>
        </w:rPr>
        <w:t xml:space="preserve">Girard, René. La violence et le sacré. Paris: Grasset, 1972.</w:t>
      </w:r>
    </w:p>
    <w:p>
      <w:pPr>
        <w:spacing w:after="100" w:line="300"/>
        <w:ind w:left="431" w:hanging="431"/>
        <w:jc w:val="left"/>
      </w:pPr>
      <w:r>
        <w:rPr>
          <w:rFonts w:ascii="Times New Roman" w:cs="Times New Roman" w:eastAsia="Times New Roman" w:hAnsi="Times New Roman"/>
          <w:b w:val="false"/>
          <w:bCs w:val="false"/>
          <w:i w:val="false"/>
          <w:iCs w:val="false"/>
          <w:sz w:val="24"/>
          <w:szCs w:val="24"/>
        </w:rPr>
        <w:t xml:space="preserve">Horkheimer, Max und Theodor W. Adorno. Dialektik der Aufklärung: Philosophische Fragmente. Frankfurt a.M.: Fischer, 1988 [1944].</w:t>
      </w:r>
    </w:p>
    <w:p>
      <w:pPr>
        <w:spacing w:after="100" w:line="300"/>
        <w:ind w:left="431" w:hanging="431"/>
        <w:jc w:val="left"/>
      </w:pPr>
      <w:r>
        <w:rPr>
          <w:rFonts w:ascii="Times New Roman" w:cs="Times New Roman" w:eastAsia="Times New Roman" w:hAnsi="Times New Roman"/>
          <w:b w:val="false"/>
          <w:bCs w:val="false"/>
          <w:i w:val="false"/>
          <w:iCs w:val="false"/>
          <w:sz w:val="24"/>
          <w:szCs w:val="24"/>
        </w:rPr>
        <w:t xml:space="preserve">Klotz, Volker. Geschlossene und offene Form im Drama. München: Hanser, 1960.</w:t>
      </w:r>
    </w:p>
    <w:p>
      <w:pPr>
        <w:spacing w:after="100" w:line="300"/>
        <w:ind w:left="431" w:hanging="431"/>
        <w:jc w:val="left"/>
      </w:pPr>
      <w:r>
        <w:rPr>
          <w:rFonts w:ascii="Times New Roman" w:cs="Times New Roman" w:eastAsia="Times New Roman" w:hAnsi="Times New Roman"/>
          <w:b w:val="false"/>
          <w:bCs w:val="false"/>
          <w:i w:val="false"/>
          <w:iCs w:val="false"/>
          <w:sz w:val="24"/>
          <w:szCs w:val="24"/>
        </w:rPr>
        <w:t xml:space="preserve">Patterson, Michael. The First German Theatre: Schiller, Goethe, Kleist, and Büchner in Performance. London: Routledge, 1990.</w:t>
      </w:r>
    </w:p>
    <w:p>
      <w:pPr>
        <w:spacing w:after="100" w:line="300"/>
        <w:ind w:left="431" w:hanging="431"/>
        <w:jc w:val="left"/>
      </w:pPr>
      <w:r>
        <w:rPr>
          <w:rFonts w:ascii="Times New Roman" w:cs="Times New Roman" w:eastAsia="Times New Roman" w:hAnsi="Times New Roman"/>
          <w:b w:val="false"/>
          <w:bCs w:val="false"/>
          <w:i w:val="false"/>
          <w:iCs w:val="false"/>
          <w:sz w:val="24"/>
          <w:szCs w:val="24"/>
        </w:rPr>
        <w:t xml:space="preserve">Szondi, Peter. Theorie des modernen Dramas. Frankfurt a.M.: Suhrkamp, 1956.</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line="240"/>
        <w:jc w:val="right"/>
      </w:pPr>
      <w:r>
        <w:rPr>
          <w:rStyle w:val="FootnoteReference"/>
        </w:rPr>
        <w:footnoteRef/>
      </w:r>
      <w:r>
        <w:rPr>
          <w:rFonts w:ascii="Times New Roman" w:cs="Times New Roman" w:eastAsia="Times New Roman" w:hAnsi="Times New Roman"/>
          <w:b w:val="false"/>
          <w:bCs w:val="false"/>
          <w:i w:val="false"/>
          <w:iCs w:val="false"/>
          <w:sz w:val="20"/>
          <w:szCs w:val="20"/>
          <w:rtl/>
        </w:rPr>
        <w:t xml:space="preserve">הלן שו, “כך הפכה אנטיגונה לגיבורה בת 2,500 שלא מתיישנת לעולם”, ניו יורק טיימס, 29 במרס 2026 (מתוך חומרי הקורס).</w:t>
      </w:r>
    </w:p>
  </w:footnote>
  <w:footnote w:id="2">
    <w:p>
      <w:pPr>
        <w:bidi/>
        <w:spacing w:line="240"/>
        <w:jc w:val="right"/>
      </w:pPr>
      <w:r>
        <w:rPr>
          <w:rStyle w:val="FootnoteReference"/>
        </w:rPr>
        <w:footnoteRef/>
      </w:r>
      <w:r>
        <w:rPr>
          <w:rFonts w:ascii="Times New Roman" w:cs="Times New Roman" w:eastAsia="Times New Roman" w:hAnsi="Times New Roman"/>
          <w:b w:val="false"/>
          <w:bCs w:val="false"/>
          <w:i w:val="false"/>
          <w:iCs w:val="false"/>
          <w:sz w:val="20"/>
          <w:szCs w:val="20"/>
          <w:rtl/>
        </w:rPr>
        <w:t xml:space="preserve">ראו במיוחד את הפרק הפותח, על “הדה‑פוטנציאליזציה” (Depotenzierung) של המוחלט באמצעות סיפורו החוזר:</w:t>
      </w:r>
    </w:p>
    <w:p>
      <w:pPr>
        <w:spacing w:line="240"/>
        <w:ind w:left="215"/>
        <w:jc w:val="left"/>
      </w:pPr>
      <w:r>
        <w:rPr>
          <w:rFonts w:ascii="Times New Roman" w:cs="Times New Roman" w:eastAsia="Times New Roman" w:hAnsi="Times New Roman"/>
          <w:b w:val="false"/>
          <w:bCs w:val="false"/>
          <w:i w:val="false"/>
          <w:iCs w:val="false"/>
          <w:sz w:val="20"/>
          <w:szCs w:val="20"/>
        </w:rPr>
        <w:t xml:space="preserve">Hans Blumenberg, Arbeit am Mythos, Frankfurt a.M.: Suhrkamp, 1979.</w:t>
      </w:r>
    </w:p>
  </w:footnote>
  <w:footnote w:id="3">
    <w:p>
      <w:pPr>
        <w:bidi/>
        <w:spacing w:line="240"/>
        <w:jc w:val="right"/>
      </w:pPr>
      <w:r>
        <w:rPr>
          <w:rStyle w:val="FootnoteReference"/>
        </w:rPr>
        <w:footnoteRef/>
      </w:r>
      <w:r>
        <w:rPr>
          <w:rFonts w:ascii="Times New Roman" w:cs="Times New Roman" w:eastAsia="Times New Roman" w:hAnsi="Times New Roman"/>
          <w:b w:val="false"/>
          <w:bCs w:val="false"/>
          <w:i w:val="false"/>
          <w:iCs w:val="false"/>
          <w:sz w:val="20"/>
          <w:szCs w:val="20"/>
          <w:rtl/>
        </w:rPr>
        <w:t xml:space="preserve">הציטוט מתוך הפרק “Begriff der Aufklärung”:</w:t>
      </w:r>
    </w:p>
    <w:p>
      <w:pPr>
        <w:spacing w:line="240"/>
        <w:ind w:left="215"/>
        <w:jc w:val="left"/>
      </w:pPr>
      <w:r>
        <w:rPr>
          <w:rFonts w:ascii="Times New Roman" w:cs="Times New Roman" w:eastAsia="Times New Roman" w:hAnsi="Times New Roman"/>
          <w:b w:val="false"/>
          <w:bCs w:val="false"/>
          <w:i w:val="false"/>
          <w:iCs w:val="false"/>
          <w:sz w:val="20"/>
          <w:szCs w:val="20"/>
        </w:rPr>
        <w:t xml:space="preserve">Max Horkheimer und Theodor W. Adorno, Dialektik der Aufklärung: Philosophische Fragmente, Frankfurt a.M.: Fischer, 1988 [1944].</w:t>
      </w:r>
    </w:p>
  </w:footnote>
  <w:footnote w:id="4">
    <w:p>
      <w:pPr>
        <w:bidi/>
        <w:spacing w:line="240"/>
        <w:jc w:val="right"/>
      </w:pPr>
      <w:r>
        <w:rPr>
          <w:rStyle w:val="FootnoteReference"/>
        </w:rPr>
        <w:footnoteRef/>
      </w:r>
      <w:r>
        <w:rPr>
          <w:rFonts w:ascii="Times New Roman" w:cs="Times New Roman" w:eastAsia="Times New Roman" w:hAnsi="Times New Roman"/>
          <w:b w:val="false"/>
          <w:bCs w:val="false"/>
          <w:i w:val="false"/>
          <w:iCs w:val="false"/>
          <w:sz w:val="20"/>
          <w:szCs w:val="20"/>
          <w:rtl/>
        </w:rPr>
        <w:t xml:space="preserve">ולטר בנימין, “גורל ואופי” (1919) ו‑“לביקורת הכוח” (1921); בעברית: מבחר כתבים, כרך ב: הרהורים, תרגום דוד זינגר, תל אביב: הקיבוץ המאוחד, 1996.</w:t>
      </w:r>
    </w:p>
  </w:footnote>
  <w:footnote w:id="5">
    <w:p>
      <w:pPr>
        <w:spacing w:line="240"/>
        <w:ind w:left="215"/>
        <w:jc w:val="left"/>
      </w:pPr>
      <w:r>
        <w:rPr>
          <w:rStyle w:val="FootnoteReference"/>
        </w:rPr>
        <w:footnoteRef/>
      </w:r>
      <w:r>
        <w:rPr>
          <w:rFonts w:ascii="Times New Roman" w:cs="Times New Roman" w:eastAsia="Times New Roman" w:hAnsi="Times New Roman"/>
          <w:b w:val="false"/>
          <w:bCs w:val="false"/>
          <w:i w:val="false"/>
          <w:iCs w:val="false"/>
          <w:sz w:val="20"/>
          <w:szCs w:val="20"/>
        </w:rPr>
        <w:t xml:space="preserve">René Girard, La violence et le sacré, Paris: Grasset, 1972.</w:t>
      </w:r>
    </w:p>
  </w:footnote>
  <w:footnote w:id="6">
    <w:p>
      <w:pPr>
        <w:bidi/>
        <w:spacing w:line="240"/>
        <w:jc w:val="right"/>
      </w:pPr>
      <w:r>
        <w:rPr>
          <w:rStyle w:val="FootnoteReference"/>
        </w:rPr>
        <w:footnoteRef/>
      </w:r>
      <w:r>
        <w:rPr>
          <w:rFonts w:ascii="Times New Roman" w:cs="Times New Roman" w:eastAsia="Times New Roman" w:hAnsi="Times New Roman"/>
          <w:b w:val="false"/>
          <w:bCs w:val="false"/>
          <w:i w:val="false"/>
          <w:iCs w:val="false"/>
          <w:sz w:val="20"/>
          <w:szCs w:val="20"/>
          <w:rtl/>
        </w:rPr>
        <w:t xml:space="preserve">על הניכור המימטי כפעולה שמחזירה לתופעה המוכרת את זרותה:</w:t>
      </w:r>
    </w:p>
    <w:p>
      <w:pPr>
        <w:spacing w:line="240"/>
        <w:ind w:left="215"/>
        <w:jc w:val="left"/>
      </w:pPr>
      <w:r>
        <w:rPr>
          <w:rFonts w:ascii="Times New Roman" w:cs="Times New Roman" w:eastAsia="Times New Roman" w:hAnsi="Times New Roman"/>
          <w:b w:val="false"/>
          <w:bCs w:val="false"/>
          <w:i w:val="false"/>
          <w:iCs w:val="false"/>
          <w:sz w:val="20"/>
          <w:szCs w:val="20"/>
        </w:rPr>
        <w:t xml:space="preserve">Bertolt Brecht, “Kleines Organon für das Theater” (1949), in: Schriften zum Theater.</w:t>
      </w:r>
    </w:p>
  </w:footnote>
  <w:footnote w:id="7">
    <w:p>
      <w:pPr>
        <w:bidi/>
        <w:spacing w:line="240"/>
        <w:jc w:val="right"/>
      </w:pPr>
      <w:r>
        <w:rPr>
          <w:rStyle w:val="FootnoteReference"/>
        </w:rPr>
        <w:footnoteRef/>
      </w:r>
      <w:r>
        <w:rPr>
          <w:rFonts w:ascii="Times New Roman" w:cs="Times New Roman" w:eastAsia="Times New Roman" w:hAnsi="Times New Roman"/>
          <w:b w:val="false"/>
          <w:bCs w:val="false"/>
          <w:i w:val="false"/>
          <w:iCs w:val="false"/>
          <w:sz w:val="20"/>
          <w:szCs w:val="20"/>
          <w:rtl/>
        </w:rPr>
        <w:t xml:space="preserve">יוהן וולפגנג גתה, איפיגניה בטאוריס, מגרמנית יצחק כפכפי, תל אביב: דביר, 1981. ההפניות בהמשך הן לפי מספרי השורות המודפסים במהדורה זו (הזהים למניין השורות של המקור הגרמני).</w:t>
      </w:r>
    </w:p>
  </w:footnote>
  <w:footnote w:id="8">
    <w:p>
      <w:pPr>
        <w:bidi/>
        <w:spacing w:line="240"/>
        <w:jc w:val="right"/>
      </w:pPr>
      <w:r>
        <w:rPr>
          <w:rStyle w:val="FootnoteReference"/>
        </w:rPr>
        <w:footnoteRef/>
      </w:r>
      <w:r>
        <w:rPr>
          <w:rFonts w:ascii="Times New Roman" w:cs="Times New Roman" w:eastAsia="Times New Roman" w:hAnsi="Times New Roman"/>
          <w:b w:val="false"/>
          <w:bCs w:val="false"/>
          <w:i w:val="false"/>
          <w:iCs w:val="false"/>
          <w:sz w:val="20"/>
          <w:szCs w:val="20"/>
          <w:rtl/>
        </w:rPr>
        <w:t xml:space="preserve">גאורג ביכנר, ווייצק, מגרמנית שמעון זנדבנק, תל אביב: אור עם, 1982. ההפניות הן לפי מספר התמונה ומספר העמוד במהדורה זו.</w:t>
      </w:r>
    </w:p>
  </w:footnote>
  <w:footnote w:id="9">
    <w:p>
      <w:pPr>
        <w:spacing w:line="240"/>
        <w:ind w:left="215"/>
        <w:jc w:val="left"/>
      </w:pPr>
      <w:r>
        <w:rPr>
          <w:rStyle w:val="FootnoteReference"/>
        </w:rPr>
        <w:footnoteRef/>
      </w:r>
      <w:r>
        <w:rPr>
          <w:rFonts w:ascii="Times New Roman" w:cs="Times New Roman" w:eastAsia="Times New Roman" w:hAnsi="Times New Roman"/>
          <w:b w:val="false"/>
          <w:bCs w:val="false"/>
          <w:i w:val="false"/>
          <w:iCs w:val="false"/>
          <w:sz w:val="20"/>
          <w:szCs w:val="20"/>
        </w:rPr>
        <w:t xml:space="preserve">Theodor W. Adorno, “Zum Klassizismus von Goethes Iphigenie” (1967), in: Noten zur Literatur, Frankfurt a.M.: Suhrkamp, 1974.</w:t>
      </w:r>
    </w:p>
  </w:footnote>
  <w:footnote w:id="10">
    <w:p>
      <w:pPr>
        <w:bidi/>
        <w:spacing w:line="240"/>
        <w:jc w:val="right"/>
      </w:pPr>
      <w:r>
        <w:rPr>
          <w:rStyle w:val="FootnoteReference"/>
        </w:rPr>
        <w:footnoteRef/>
      </w:r>
      <w:r>
        <w:rPr>
          <w:rFonts w:ascii="Times New Roman" w:cs="Times New Roman" w:eastAsia="Times New Roman" w:hAnsi="Times New Roman"/>
          <w:b w:val="false"/>
          <w:bCs w:val="false"/>
          <w:i w:val="false"/>
          <w:iCs w:val="false"/>
          <w:sz w:val="20"/>
          <w:szCs w:val="20"/>
          <w:rtl/>
        </w:rPr>
        <w:t xml:space="preserve">על העורמה (List) כדרכו של הסובייקט הנאור להיחלץ מן המיתוס בלי לצאת מכלליו ראו את הפרק “Odysseus oder Mythos und Aufklärung” בתוך Dialektik der Aufklärung (לעיל, הערה 3).</w:t>
      </w:r>
    </w:p>
  </w:footnote>
  <w:footnote w:id="11">
    <w:p>
      <w:pPr>
        <w:bidi/>
        <w:spacing w:line="240"/>
        <w:jc w:val="right"/>
      </w:pPr>
      <w:r>
        <w:rPr>
          <w:rStyle w:val="FootnoteReference"/>
        </w:rPr>
        <w:footnoteRef/>
      </w:r>
      <w:r>
        <w:rPr>
          <w:rFonts w:ascii="Times New Roman" w:cs="Times New Roman" w:eastAsia="Times New Roman" w:hAnsi="Times New Roman"/>
          <w:b w:val="false"/>
          <w:bCs w:val="false"/>
          <w:i w:val="false"/>
          <w:iCs w:val="false"/>
          <w:sz w:val="20"/>
          <w:szCs w:val="20"/>
          <w:rtl/>
        </w:rPr>
        <w:t xml:space="preserve">בשיעורי הקורס נדון הפרדוקס בהקשר של קלייסט; כאן הוא משמש כמדד הפוך, שכן אצל גתה דווקא הסירוב לשחק הוא שהופך לערך במתי. ראו:</w:t>
      </w:r>
    </w:p>
    <w:p>
      <w:pPr>
        <w:spacing w:line="240"/>
        <w:ind w:left="215"/>
        <w:jc w:val="left"/>
      </w:pPr>
      <w:r>
        <w:rPr>
          <w:rFonts w:ascii="Times New Roman" w:cs="Times New Roman" w:eastAsia="Times New Roman" w:hAnsi="Times New Roman"/>
          <w:b w:val="false"/>
          <w:bCs w:val="false"/>
          <w:i w:val="false"/>
          <w:iCs w:val="false"/>
          <w:sz w:val="20"/>
          <w:szCs w:val="20"/>
        </w:rPr>
        <w:t xml:space="preserve">Denis Diderot, Paradoxe sur le comédien, Paris, 1830 [1773].</w:t>
      </w:r>
    </w:p>
  </w:footnote>
  <w:footnote w:id="12">
    <w:p>
      <w:pPr>
        <w:bidi/>
        <w:spacing w:line="240"/>
        <w:jc w:val="right"/>
      </w:pPr>
      <w:r>
        <w:rPr>
          <w:rStyle w:val="FootnoteReference"/>
        </w:rPr>
        <w:footnoteRef/>
      </w:r>
      <w:r>
        <w:rPr>
          <w:rFonts w:ascii="Times New Roman" w:cs="Times New Roman" w:eastAsia="Times New Roman" w:hAnsi="Times New Roman"/>
          <w:b w:val="false"/>
          <w:bCs w:val="false"/>
          <w:i w:val="false"/>
          <w:iCs w:val="false"/>
          <w:sz w:val="20"/>
          <w:szCs w:val="20"/>
          <w:rtl/>
        </w:rPr>
        <w:t xml:space="preserve">מכתבו של ביכנר לווילהלמינה יגלה, גיסן, מרס 1834: “הפאטליזם המחריד של ההיסטוריה” (der gräßliche Fatalismus der Geschichte).</w:t>
      </w:r>
    </w:p>
  </w:footnote>
  <w:footnote w:id="13">
    <w:p>
      <w:pPr>
        <w:bidi/>
        <w:spacing w:line="240"/>
        <w:jc w:val="right"/>
      </w:pPr>
      <w:r>
        <w:rPr>
          <w:rStyle w:val="FootnoteReference"/>
        </w:rPr>
        <w:footnoteRef/>
      </w:r>
      <w:r>
        <w:rPr>
          <w:rFonts w:ascii="Times New Roman" w:cs="Times New Roman" w:eastAsia="Times New Roman" w:hAnsi="Times New Roman"/>
          <w:b w:val="false"/>
          <w:bCs w:val="false"/>
          <w:i w:val="false"/>
          <w:iCs w:val="false"/>
          <w:sz w:val="20"/>
          <w:szCs w:val="20"/>
          <w:rtl/>
        </w:rPr>
        <w:t xml:space="preserve">קלוץ מעמיד את איפיגניה של גתה כדגם מובהק של הצורה הסגורה ואת ווייצק של ביכנר כדגם של הצורה הפתוחה:</w:t>
      </w:r>
    </w:p>
    <w:p>
      <w:pPr>
        <w:spacing w:line="240"/>
        <w:ind w:left="215"/>
        <w:jc w:val="left"/>
      </w:pPr>
      <w:r>
        <w:rPr>
          <w:rFonts w:ascii="Times New Roman" w:cs="Times New Roman" w:eastAsia="Times New Roman" w:hAnsi="Times New Roman"/>
          <w:b w:val="false"/>
          <w:bCs w:val="false"/>
          <w:i w:val="false"/>
          <w:iCs w:val="false"/>
          <w:sz w:val="20"/>
          <w:szCs w:val="20"/>
        </w:rPr>
        <w:t xml:space="preserve">Volker Klotz, Geschlossene und offene Form im Drama, München: Hanser, 1960.</w:t>
      </w:r>
    </w:p>
  </w:footnote>
  <w:footnote w:id="14">
    <w:p>
      <w:pPr>
        <w:bidi/>
        <w:spacing w:line="240"/>
        <w:jc w:val="right"/>
      </w:pPr>
      <w:r>
        <w:rPr>
          <w:rStyle w:val="FootnoteReference"/>
        </w:rPr>
        <w:footnoteRef/>
      </w:r>
      <w:r>
        <w:rPr>
          <w:rFonts w:ascii="Times New Roman" w:cs="Times New Roman" w:eastAsia="Times New Roman" w:hAnsi="Times New Roman"/>
          <w:b w:val="false"/>
          <w:bCs w:val="false"/>
          <w:i w:val="false"/>
          <w:iCs w:val="false"/>
          <w:sz w:val="20"/>
          <w:szCs w:val="20"/>
          <w:rtl/>
        </w:rPr>
        <w:t xml:space="preserve">הפרגמנט נכתב ב‑‎1836‑1837‎ ונותר בעיזבון; קרל אמיל פרנצוס פרסם אותו לראשונה ב‑1879, ועל יסוד קריאה שגויה של כתב היד הנחיל לו למשך עשורים את השם “ווצק”. הבכורה הבימתית התקיימה רק ב‑8 בנובמבר 1913, ברזידנצטאטר במינכן. על ההיסטוריה הבימתית ראו:</w:t>
      </w:r>
    </w:p>
    <w:p>
      <w:pPr>
        <w:spacing w:line="240"/>
        <w:ind w:left="215"/>
        <w:jc w:val="left"/>
      </w:pPr>
      <w:r>
        <w:rPr>
          <w:rFonts w:ascii="Times New Roman" w:cs="Times New Roman" w:eastAsia="Times New Roman" w:hAnsi="Times New Roman"/>
          <w:b w:val="false"/>
          <w:bCs w:val="false"/>
          <w:i w:val="false"/>
          <w:iCs w:val="false"/>
          <w:sz w:val="20"/>
          <w:szCs w:val="20"/>
        </w:rPr>
        <w:t xml:space="preserve">Michael Patterson, The First German Theatre: Schiller, Goethe, Kleist, and Büchner in Performance, London: Routledge, 1990.</w:t>
      </w:r>
    </w:p>
  </w:footnote>
  <w:footnote w:id="15">
    <w:p>
      <w:pPr>
        <w:spacing w:line="240"/>
        <w:ind w:left="215"/>
        <w:jc w:val="left"/>
      </w:pPr>
      <w:r>
        <w:rPr>
          <w:rStyle w:val="FootnoteReference"/>
        </w:rPr>
        <w:footnoteRef/>
      </w:r>
      <w:r>
        <w:rPr>
          <w:rFonts w:ascii="Times New Roman" w:cs="Times New Roman" w:eastAsia="Times New Roman" w:hAnsi="Times New Roman"/>
          <w:b w:val="false"/>
          <w:bCs w:val="false"/>
          <w:i w:val="false"/>
          <w:iCs w:val="false"/>
          <w:sz w:val="20"/>
          <w:szCs w:val="20"/>
        </w:rPr>
        <w:t xml:space="preserve">Peter Szondi, Theorie des modernen Dramas, Frankfurt a.M.: Suhrkamp, 1956.</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000000"/>
      <w:sz w:val="26"/>
      <w:szCs w:val="26"/>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line="240"/>
    </w:pPr>
    <w:rPr>
      <w:rFonts w:ascii="Times New Roman" w:cs="Times New Roman" w:eastAsia="Times New Roman" w:hAnsi="Times New Roman"/>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2026-09-01T08:39:15.689Z</dcterms:created>
  <dcterms:modified xsi:type="dcterms:W3CDTF">2026-09-01T08:39:15.690Z</dcterms:modified>
</cp:coreProperties>
</file>

<file path=docProps/custom.xml><?xml version="1.0" encoding="utf-8"?>
<Properties xmlns="http://schemas.openxmlformats.org/officeDocument/2006/custom-properties" xmlns:vt="http://schemas.openxmlformats.org/officeDocument/2006/docPropsVTypes"/>
</file>