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rPr>
        <w:t xml:space="preserve">מאת</w:t>
      </w:r>
    </w:p>
    <w:p>
      <w:pPr>
        <w:bidi/>
        <w:spacing w:after="120" w:line="360"/>
        <w:jc w:val="center"/>
      </w:pPr>
      <w:r>
        <w:rPr>
          <w:rFonts w:ascii="David" w:cs="David" w:eastAsia="David" w:hAnsi="David"/>
          <w:sz w:val="24"/>
          <w:szCs w:val="24"/>
          <w:highlight w:val="yellow"/>
          <w:rtl/>
        </w:rPr>
        <w:t xml:space="preserve">שם, מספר זהות</w:t>
      </w:r>
    </w:p>
    <w:p>
      <w:pPr>
        <w:bidi/>
        <w:spacing w:after="120" w:line="36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120" w:line="360"/>
        <w:jc w:val="center"/>
      </w:pPr>
      <w:r>
        <w:rPr>
          <w:rFonts w:ascii="David" w:cs="David" w:eastAsia="David" w:hAnsi="David"/>
          <w:sz w:val="24"/>
          <w:szCs w:val="24"/>
          <w:rtl/>
        </w:rPr>
        <w:t xml:space="preserve">החוג לקרימינולוגיה</w:t>
      </w:r>
    </w:p>
    <w:p>
      <w:pPr>
        <w:bidi/>
        <w:spacing w:after="120" w:line="36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w:t>
      </w:r>
      <w:r>
        <w:rPr>
          <w:rFonts w:ascii="Times New Roman" w:cs="Times New Roman" w:eastAsia="Times New Roman" w:hAnsi="Times New Roman"/>
          <w:sz w:val="24"/>
          <w:szCs w:val="24"/>
          <w:highlight w:val="yellow"/>
        </w:rPr>
        <w:t xml:space="preserve">2026</w:t>
      </w:r>
    </w:p>
    <w:p>
      <w:pPr>
        <w:pStyle w:val="Heading1"/>
        <w:pageBreakBefore/>
        <w:bidi/>
        <w:spacing w:after="240" w:before="0" w:line="36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rPr>
        <w:t xml:space="preserve">תקציר בעברית</w:t>
      </w:r>
    </w:p>
    <w:p>
      <w:pPr>
        <w:bidi/>
        <w:spacing w:after="120" w:line="360"/>
        <w:ind w:firstLine="567"/>
        <w:jc w:val="both"/>
      </w:pPr>
      <w:r>
        <w:rPr>
          <w:rFonts w:ascii="David" w:cs="David" w:eastAsia="David" w:hAnsi="David"/>
          <w:sz w:val="24"/>
          <w:szCs w:val="24"/>
          <w:rt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והניתוח צומצם ל</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הלגיטימיות נמדדה בשלושה פריטים והרווחה הנפשית בחמישה,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שפוטים ברמת הלגיטימיות הגבוהה דיווחו על רווחה נפשית גבוהה בכ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rPr>
        <w:t xml:space="preserve">תקציר באנגלית</w:t>
      </w:r>
    </w:p>
    <w:p>
      <w:pPr>
        <w:spacing w:after="120" w:line="360"/>
        <w:jc w:val="both"/>
      </w:pPr>
      <w:r>
        <w:rPr>
          <w:rFonts w:ascii="Times New Roman" w:cs="Times New Roman" w:eastAsia="Times New Roman" w:hAnsi="Times New Roman"/>
          <w:sz w:val="24"/>
          <w:szCs w:val="24"/>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rPr>
        <w:t xml:space="preserve">מבוא</w:t>
      </w:r>
    </w:p>
    <w:p>
      <w:pPr>
        <w:bidi/>
        <w:spacing w:after="120" w:line="360"/>
        <w:ind w:firstLine="567"/>
        <w:jc w:val="both"/>
      </w:pPr>
      <w:r>
        <w:rPr>
          <w:rFonts w:ascii="David" w:cs="David" w:eastAsia="David" w:hAnsi="David"/>
          <w:sz w:val="24"/>
          <w:szCs w:val="24"/>
          <w:rtl/>
        </w:rPr>
        <w:t xml:space="preserve">בית הסוהר הוא מוסד שבו סמכות הסגל כמעט מוחלטת, ובכל זאת הסדר היומיומי באגף תלוי בשיתוף פעולה של האסירים.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ind w:firstLine="567"/>
        <w:jc w:val="both"/>
      </w:pPr>
      <w:r>
        <w:rPr>
          <w:rFonts w:ascii="David" w:cs="David" w:eastAsia="David" w:hAnsi="David"/>
          <w:sz w:val="24"/>
          <w:szCs w:val="24"/>
          <w:rtl/>
        </w:rPr>
        <w:t xml:space="preserve">ההקשר הישראלי מוסיף לשאלה משקל. תקנות בתי הסוהר קובעות שטח מחיה של </w:t>
      </w:r>
      <w:r>
        <w:rPr>
          <w:rFonts w:ascii="Times New Roman" w:cs="Times New Roman" w:eastAsia="Times New Roman" w:hAnsi="Times New Roman"/>
          <w:sz w:val="24"/>
          <w:szCs w:val="24"/>
        </w:rPr>
        <w:t xml:space="preserve">4.5</w:t>
      </w:r>
      <w:r>
        <w:rPr>
          <w:rFonts w:ascii="David" w:cs="David" w:eastAsia="David" w:hAnsi="David"/>
          <w:sz w:val="24"/>
          <w:szCs w:val="24"/>
          <w:rtl/>
        </w:rPr>
        <w:t xml:space="preserve"> מטרים רבועים לאסיר, אך במאי </w:t>
      </w:r>
      <w:r>
        <w:rPr>
          <w:rFonts w:ascii="Times New Roman" w:cs="Times New Roman" w:eastAsia="Times New Roman" w:hAnsi="Times New Roman"/>
          <w:sz w:val="24"/>
          <w:szCs w:val="24"/>
        </w:rPr>
        <w:t xml:space="preserve">2019,</w:t>
      </w:r>
      <w:r>
        <w:rPr>
          <w:rFonts w:ascii="David" w:cs="David" w:eastAsia="David" w:hAnsi="David"/>
          <w:sz w:val="24"/>
          <w:szCs w:val="24"/>
          <w:rtl/>
        </w:rPr>
        <w:t xml:space="preserve"> מועד הפעימה הראשונה שקבע בג"ץ בעתירה </w:t>
      </w:r>
      <w:r>
        <w:rPr>
          <w:rFonts w:ascii="Times New Roman" w:cs="Times New Roman" w:eastAsia="Times New Roman" w:hAnsi="Times New Roman"/>
          <w:sz w:val="24"/>
          <w:szCs w:val="24"/>
        </w:rPr>
        <w:t xml:space="preserve">1892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14,</w:t>
      </w:r>
      <w:r>
        <w:rPr>
          <w:rFonts w:ascii="David" w:cs="David" w:eastAsia="David" w:hAnsi="David"/>
          <w:sz w:val="24"/>
          <w:szCs w:val="24"/>
          <w:rtl/>
        </w:rPr>
        <w:t xml:space="preserve">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ממקומות הכליאה עדיין היו קטנים מתקן זה (יכימוביץ-כהן,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על רקע זה נערך בסתיו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סקר תנאי המחיה הראשון בהיקפו בשירות בתי הסוהר, בקרב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תהליכי ההסתגלות למאסר, שהם חלק ממוקד המחקר, רלוונטיים לשפוטים יותר מלעצורים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מטרת המחקר ומבנה העבודה</w:t>
      </w:r>
    </w:p>
    <w:p>
      <w:pPr>
        <w:bidi/>
        <w:spacing w:after="120" w:line="360"/>
        <w:ind w:firstLine="567"/>
        <w:jc w:val="both"/>
      </w:pPr>
      <w:r>
        <w:rPr>
          <w:rFonts w:ascii="David" w:cs="David" w:eastAsia="David" w:hAnsi="David"/>
          <w:sz w:val="24"/>
          <w:szCs w:val="24"/>
          <w:rt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rPr>
        <w:t xml:space="preserve">סקירת ספרות</w:t>
      </w:r>
    </w:p>
    <w:p>
      <w:pPr>
        <w:pStyle w:val="Heading2"/>
        <w:keepNext/>
        <w:bidi/>
        <w:spacing w:after="120" w:before="240" w:line="360"/>
        <w:jc w:val="right"/>
      </w:pPr>
      <w:r>
        <w:rPr>
          <w:rFonts w:ascii="David" w:cs="David" w:eastAsia="David" w:hAnsi="David"/>
          <w:b/>
          <w:bCs/>
          <w:sz w:val="28"/>
          <w:szCs w:val="28"/>
          <w:rtl/>
        </w:rPr>
        <w:t xml:space="preserve">הסתגלות למאסר ורווחה נפשית</w:t>
      </w:r>
    </w:p>
    <w:p>
      <w:pPr>
        <w:bidi/>
        <w:spacing w:after="120" w:line="360"/>
        <w:ind w:firstLine="567"/>
        <w:jc w:val="both"/>
      </w:pPr>
      <w:r>
        <w:rPr>
          <w:rFonts w:ascii="David" w:cs="David" w:eastAsia="David" w:hAnsi="David"/>
          <w:sz w:val="24"/>
          <w:szCs w:val="24"/>
          <w:rtl/>
        </w:rPr>
        <w:t xml:space="preserve">נקודת המוצא לכל דיון בהסתגלות למאסר היא עבודתו של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שתיאר את "כאבי המאסר": אובדן החירות, אובדן טובין ושירותים, אובדן קשרים אינטימיים, אובדן האוטונומיה ואובדן תחושת הביטחון. סייקס ראה בכאבים אלו לא רק אי-נוחות אלא איום על תפיסת העצמי של האסיר, וטען שחיי האגף הם תגובה קולקטיבית לאיום זה. מודל המחסור שנגזר מעבודתו מניח שהתנהגות האסיר היא תוצאה ישירה של סביבת בית הסוהר, ולכן תנאי כליאה נוקשים צפויים להוליד התנהגות שלילית יותר (דוידסקו וולק,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חמשת הכאבים הללו הם הבסיס שממנו צומחת השאלה כיצד אדם מסתגל למקום שנועד לשלול ממנו כמעט הכול.</w:t>
      </w:r>
    </w:p>
    <w:p>
      <w:pPr>
        <w:bidi/>
        <w:spacing w:after="120" w:line="360"/>
        <w:ind w:firstLine="567"/>
        <w:jc w:val="both"/>
      </w:pPr>
      <w:r>
        <w:rPr>
          <w:rFonts w:ascii="David" w:cs="David" w:eastAsia="David" w:hAnsi="David"/>
          <w:sz w:val="24"/>
          <w:szCs w:val="24"/>
          <w:rtl/>
        </w:rPr>
        <w:t xml:space="preserve">הספרות המאוחרת עברה מתיאור כללי של המאסר לבחינה של הבדלים בין בתי סוהר ובין אסירים.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הראו שהשפעות המאסר אינן אחידות: תקופת הקליטה היא הפגיעה ביותר, והמצוקה הנפשית מרוכזת בשבועות הראשונים.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הוסיפה מסגרת מושגית שקראה לה "הביצוע המוסרי" של בית הסוהר, שכולל כבוד, אנושיות, יחסים עם הסגל, הוגנות וביטחון, ומצאה שממדים אלו נבדלים בין מוסדות ומתואמים עם רמת המצוקה של האסירים. בהמשך לכך 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סף אמפירי: בבתי סוהר שבהם ציון היחסים בין סגל לאסירים נמוך מ</w:t>
      </w:r>
      <w:r>
        <w:rPr>
          <w:rFonts w:ascii="Times New Roman" w:cs="Times New Roman" w:eastAsia="Times New Roman" w:hAnsi="Times New Roman"/>
          <w:sz w:val="24"/>
          <w:szCs w:val="24"/>
        </w:rPr>
        <w:t xml:space="preserve">-3.05</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שיעורי האלימות, הפגיעה העצמית והמוות נמצאו גבוהים באופן מובהק. בהולנד מצאו ון גינקן ואחרים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באמצעות סקר "החיים במשמורת" שממנו נגזר גם השאלון הישראלי, שממדי האקלים של בית הסוהר, ובראשם היחסים עם הסגל, קשורים לרווחתם הנפשית של האסירים.</w:t>
      </w:r>
    </w:p>
    <w:p>
      <w:pPr>
        <w:bidi/>
        <w:spacing w:after="120" w:line="360"/>
        <w:ind w:firstLine="567"/>
        <w:jc w:val="both"/>
      </w:pPr>
      <w:r>
        <w:rPr>
          <w:rFonts w:ascii="David" w:cs="David" w:eastAsia="David" w:hAnsi="David"/>
          <w:sz w:val="24"/>
          <w:szCs w:val="24"/>
          <w:rtl/>
        </w:rPr>
        <w:t xml:space="preserve">הקשר בין יחס הסגל לרווחה נחקר גם במערכי אורך. בייארסברגן ואחרים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ראיינו </w:t>
      </w:r>
      <w:r>
        <w:rPr>
          <w:rFonts w:ascii="Times New Roman" w:cs="Times New Roman" w:eastAsia="Times New Roman" w:hAnsi="Times New Roman"/>
          <w:sz w:val="24"/>
          <w:szCs w:val="24"/>
        </w:rPr>
        <w:t xml:space="preserve">824</w:t>
      </w:r>
      <w:r>
        <w:rPr>
          <w:rFonts w:ascii="David" w:cs="David" w:eastAsia="David" w:hAnsi="David"/>
          <w:sz w:val="24"/>
          <w:szCs w:val="24"/>
          <w:rtl/>
        </w:rPr>
        <w:t xml:space="preserve"> אסירים גברים שלושה שבועות ושלושה חודשים לאחר קליטתם, ומצאו שתפיסה של יחס הוגן מצד הסוהרים בזמן הראשון ניבאה פחות בעיות נפשיות בזמן השני. באוסטרליה הראו סרג'נט ואחרים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שצדק פרוצדורלי קשור לרווחה נפשית גבוהה יותר לאורך זמן, ושהקשר עובר בחלקו דרך איכות היחסים עם הסגל, ואילו תחושת הביטחון בבית הסוהר לא ניבאה רווחה לאורך זמן. גם בבתי מעצר בארצות הברית נמצא שתפיסה גבוהה של צדק פרוצדורלי קשורה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כיוון ההשפעה במחקרים אלו הוא מיחס הסגל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עוצמתו.</w:t>
      </w:r>
    </w:p>
    <w:p>
      <w:pPr>
        <w:pStyle w:val="Heading2"/>
        <w:keepNext/>
        <w:bidi/>
        <w:spacing w:after="120" w:before="240" w:line="360"/>
        <w:jc w:val="right"/>
      </w:pPr>
      <w:r>
        <w:rPr>
          <w:rFonts w:ascii="David" w:cs="David" w:eastAsia="David" w:hAnsi="David"/>
          <w:b/>
          <w:bCs/>
          <w:sz w:val="28"/>
          <w:szCs w:val="28"/>
          <w:rtl/>
        </w:rPr>
        <w:t xml:space="preserve">לגיטימיות של סגל הכליאה</w:t>
      </w:r>
    </w:p>
    <w:p>
      <w:pPr>
        <w:bidi/>
        <w:spacing w:after="120" w:line="360"/>
        <w:ind w:firstLine="567"/>
        <w:jc w:val="both"/>
      </w:pPr>
      <w:r>
        <w:rPr>
          <w:rFonts w:ascii="David" w:cs="David" w:eastAsia="David" w:hAnsi="David"/>
          <w:sz w:val="24"/>
          <w:szCs w:val="24"/>
          <w:rtl/>
        </w:rPr>
        <w:t xml:space="preserve">המודל המבוסס-תהליך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הוא הבסיס התאורטי של רוב מחקרי הלגיטימיות בכליאה. טיילר הראה, בתחילה ביחס למשטרה ולבתי המשפט, שאנשים מצייתים לחוק בעיקר משום שהם תופסים את הרשות כלגיטימית, ושהלגיטימיות נבנית דרך צדק פרוצדורלי: מתן קול, ניטרליות בקבלת החלטות, יחס מכבד ותחושה שהרשות פועלת בתום לב. ספרקס ובוטומס </w:t>
      </w:r>
      <w:r>
        <w:rPr>
          <w:rFonts w:ascii="Times New Roman" w:cs="Times New Roman" w:eastAsia="Times New Roman" w:hAnsi="Times New Roman"/>
          <w:sz w:val="24"/>
          <w:szCs w:val="24"/>
        </w:rPr>
        <w:t xml:space="preserve">(Sparks &amp; Bottoms, 1995)</w:t>
      </w:r>
      <w:r>
        <w:rPr>
          <w:rFonts w:ascii="David" w:cs="David" w:eastAsia="David" w:hAnsi="David"/>
          <w:sz w:val="24"/>
          <w:szCs w:val="24"/>
          <w:rtl/>
        </w:rPr>
        <w:t xml:space="preserve"> העבירו את המודל אל בית הסוהר וטענו שדווקא במקום שבו פערי הכוח קיצוניים, האופן שבו הסמכות מופעלת קובע אם היא תזכה לציות נורמטיבי או רק לציות אינסטרומנטלי מפחד.</w:t>
      </w:r>
    </w:p>
    <w:p>
      <w:pPr>
        <w:bidi/>
        <w:spacing w:after="120" w:line="360"/>
        <w:ind w:firstLine="567"/>
        <w:jc w:val="both"/>
      </w:pPr>
      <w:r>
        <w:rPr>
          <w:rFonts w:ascii="David" w:cs="David" w:eastAsia="David" w:hAnsi="David"/>
          <w:sz w:val="24"/>
          <w:szCs w:val="24"/>
          <w:rtl/>
        </w:rPr>
        <w:t xml:space="preserve">הממצא האמפירי הרחב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w:t>
      </w:r>
      <w:r>
        <w:rPr>
          <w:rFonts w:ascii="Times New Roman" w:cs="Times New Roman" w:eastAsia="Times New Roman" w:hAnsi="Times New Roman"/>
          <w:sz w:val="24"/>
          <w:szCs w:val="24"/>
        </w:rPr>
        <w:t xml:space="preserve">-3,000</w:t>
      </w:r>
      <w:r>
        <w:rPr>
          <w:rFonts w:ascii="David" w:cs="David" w:eastAsia="David" w:hAnsi="David"/>
          <w:sz w:val="24"/>
          <w:szCs w:val="24"/>
          <w:rt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נתוני </w:t>
      </w:r>
      <w:r>
        <w:rPr>
          <w:rFonts w:ascii="Times New Roman" w:cs="Times New Roman" w:eastAsia="Times New Roman" w:hAnsi="Times New Roman"/>
          <w:sz w:val="24"/>
          <w:szCs w:val="24"/>
        </w:rPr>
        <w:t xml:space="preserve">1,610</w:t>
      </w:r>
      <w:r>
        <w:rPr>
          <w:rFonts w:ascii="David" w:cs="David" w:eastAsia="David" w:hAnsi="David"/>
          <w:sz w:val="24"/>
          <w:szCs w:val="24"/>
          <w:rtl/>
        </w:rPr>
        <w:t xml:space="preserve"> אסירים לנתוני </w:t>
      </w:r>
      <w:r>
        <w:rPr>
          <w:rFonts w:ascii="Times New Roman" w:cs="Times New Roman" w:eastAsia="Times New Roman" w:hAnsi="Times New Roman"/>
          <w:sz w:val="24"/>
          <w:szCs w:val="24"/>
        </w:rPr>
        <w:t xml:space="preserve">690</w:t>
      </w:r>
      <w:r>
        <w:rPr>
          <w:rFonts w:ascii="David" w:cs="David" w:eastAsia="David" w:hAnsi="David"/>
          <w:sz w:val="24"/>
          <w:szCs w:val="24"/>
          <w:rtl/>
        </w:rPr>
        <w:t xml:space="preserve"> אנשי סגל, והראו שמאפייני הסגל ביחידה קשורים לתפיסת הצדק הפרוצדורלי של האסירים מעבר למאפייני האסירים עצמם.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w:t>
      </w:r>
      <w:r>
        <w:rPr>
          <w:rFonts w:ascii="Times New Roman" w:cs="Times New Roman" w:eastAsia="Times New Roman" w:hAnsi="Times New Roman"/>
          <w:sz w:val="24"/>
          <w:szCs w:val="24"/>
        </w:rPr>
        <w:t xml:space="preserve">193</w:t>
      </w:r>
      <w:r>
        <w:rPr>
          <w:rFonts w:ascii="David" w:cs="David" w:eastAsia="David" w:hAnsi="David"/>
          <w:sz w:val="24"/>
          <w:szCs w:val="24"/>
          <w:rt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ind w:firstLine="567"/>
        <w:jc w:val="both"/>
      </w:pPr>
      <w:r>
        <w:rPr>
          <w:rFonts w:ascii="David" w:cs="David" w:eastAsia="David" w:hAnsi="David"/>
          <w:sz w:val="24"/>
          <w:szCs w:val="24"/>
          <w:rtl/>
        </w:rPr>
        <w:t xml:space="preserve">שני ממצאים נוספים חשובים למחקר הנוכחי.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הוסיפו שהלגיטימיות שנבנית בבית הסוהר "נשפכת" החוצה: אסירים שחשו שהסגל נהג בהם בהוגנות תפסו גם את קצין המבחן שלהם כהוגן יותר, וסיכוייהם להיות מורשעים שוב בתוך שנה היו נמוכים יותר. 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סביב שני צירים, מה מעצב את הלגיטימיות וכיצד היא קשורה לציות, והצביעה על כך שרוב המחקרים נערכו במדינות מערביות מעטות.</w:t>
      </w:r>
    </w:p>
    <w:p>
      <w:pPr>
        <w:bidi/>
        <w:spacing w:after="120" w:line="360"/>
        <w:ind w:firstLine="567"/>
        <w:jc w:val="both"/>
      </w:pPr>
      <w:r>
        <w:rPr>
          <w:rFonts w:ascii="David" w:cs="David" w:eastAsia="David" w:hAnsi="David"/>
          <w:sz w:val="24"/>
          <w:szCs w:val="24"/>
          <w:rtl/>
        </w:rPr>
        <w:t xml:space="preserve">בישראל, המחקר של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sz w:val="24"/>
          <w:szCs w:val="24"/>
        </w:rPr>
        <w:t xml:space="preserve">4.23</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rPr>
        <w:t xml:space="preserve">שאלת המחקר</w:t>
      </w:r>
    </w:p>
    <w:p>
      <w:pPr>
        <w:bidi/>
        <w:spacing w:after="120" w:line="36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שיטת המחקר</w:t>
      </w:r>
    </w:p>
    <w:p>
      <w:pPr>
        <w:bidi/>
        <w:spacing w:after="120" w:line="360"/>
        <w:ind w:firstLine="567"/>
        <w:jc w:val="both"/>
      </w:pPr>
      <w:r>
        <w:rPr>
          <w:rFonts w:ascii="David" w:cs="David" w:eastAsia="David" w:hAnsi="David"/>
          <w:sz w:val="24"/>
          <w:szCs w:val="24"/>
          <w:rt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אמיתי. השיטה נדרשת משום שסקרי אסירים מכילים מידע רגיש שאינו ניתן למסירה לחוקרים חיצוניים. ניתוח של קובץ כזה צפוי להתנהג כמו ניתוח של הסקר האמיתי, אך 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ולכן כל תוצאה בעבודה זו היא תכונה של הקובץ הסינתטי ולא ממצא על אסירים אמיתיים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הקובץ המקורי הוא סקר תנאי המחיה שנערך באגפים הפליליים של שירות בתי הסוהר בין </w:t>
      </w:r>
      <w:r>
        <w:rPr>
          <w:rFonts w:ascii="Times New Roman" w:cs="Times New Roman" w:eastAsia="Times New Roman" w:hAnsi="Times New Roman"/>
          <w:sz w:val="24"/>
          <w:szCs w:val="24"/>
        </w:rPr>
        <w:t xml:space="preserve">17</w:t>
      </w:r>
      <w:r>
        <w:rPr>
          <w:rFonts w:ascii="David" w:cs="David" w:eastAsia="David" w:hAnsi="David"/>
          <w:sz w:val="24"/>
          <w:szCs w:val="24"/>
          <w:rtl/>
        </w:rPr>
        <w:t xml:space="preserve"> באוקטובר ל</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בנובמבר </w:t>
      </w:r>
      <w:r>
        <w:rPr>
          <w:rFonts w:ascii="Times New Roman" w:cs="Times New Roman" w:eastAsia="Times New Roman" w:hAnsi="Times New Roman"/>
          <w:sz w:val="24"/>
          <w:szCs w:val="24"/>
        </w:rPr>
        <w:t xml:space="preserve">2021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בסקר המקורי השתתפו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כלואים פליליים בגירים, </w:t>
      </w:r>
      <w:r>
        <w:rPr>
          <w:rFonts w:ascii="Times New Roman" w:cs="Times New Roman" w:eastAsia="Times New Roman" w:hAnsi="Times New Roman"/>
          <w:sz w:val="24"/>
          <w:szCs w:val="24"/>
        </w:rPr>
        <w:t xml:space="preserve">2,363</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-1,427</w:t>
      </w:r>
      <w:r>
        <w:rPr>
          <w:rFonts w:ascii="David" w:cs="David" w:eastAsia="David" w:hAnsi="David"/>
          <w:sz w:val="24"/>
          <w:szCs w:val="24"/>
          <w:rtl/>
        </w:rPr>
        <w:t xml:space="preserve"> עצורים, שהם </w:t>
      </w:r>
      <w:r>
        <w:rPr>
          <w:rFonts w:ascii="Times New Roman" w:cs="Times New Roman" w:eastAsia="Times New Roman" w:hAnsi="Times New Roman"/>
          <w:sz w:val="24"/>
          <w:szCs w:val="24"/>
        </w:rPr>
        <w:t xml:space="preserve">41</w:t>
      </w:r>
      <w:r>
        <w:rPr>
          <w:rFonts w:ascii="David" w:cs="David" w:eastAsia="David" w:hAnsi="David"/>
          <w:sz w:val="24"/>
          <w:szCs w:val="24"/>
          <w:rtl/>
        </w:rPr>
        <w:t xml:space="preserve"> אחוזים מכל הכלואים שהיו במצבת האסירים הפעילה באותה עת. השאלונים הועברו על ידי </w:t>
      </w:r>
      <w:r>
        <w:rPr>
          <w:rFonts w:ascii="Times New Roman" w:cs="Times New Roman" w:eastAsia="Times New Roman" w:hAnsi="Times New Roman"/>
          <w:sz w:val="24"/>
          <w:szCs w:val="24"/>
        </w:rPr>
        <w:t xml:space="preserve">196</w:t>
      </w:r>
      <w:r>
        <w:rPr>
          <w:rFonts w:ascii="David" w:cs="David" w:eastAsia="David" w:hAnsi="David"/>
          <w:sz w:val="24"/>
          <w:szCs w:val="24"/>
          <w:rtl/>
        </w:rPr>
        <w:t xml:space="preserve"> מנהלי אגפים וקציני חינוך, ההשתתפות הייתה אנונימית ורצונית, והמחקר אושר על ידי ועדת האתיקה של שירות בתי הסוהר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הקובץ הסינתטי כולל </w:t>
      </w:r>
      <w:r>
        <w:rPr>
          <w:rFonts w:ascii="Times New Roman" w:cs="Times New Roman" w:eastAsia="Times New Roman" w:hAnsi="Times New Roman"/>
          <w:sz w:val="24"/>
          <w:szCs w:val="24"/>
        </w:rPr>
        <w:t xml:space="preserve">3,790</w:t>
      </w:r>
      <w:r>
        <w:rPr>
          <w:rFonts w:ascii="David" w:cs="David" w:eastAsia="David" w:hAnsi="David"/>
          <w:sz w:val="24"/>
          <w:szCs w:val="24"/>
          <w:rtl/>
        </w:rPr>
        <w:t xml:space="preserve"> שורות, מהן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שפוטים ו</w:t>
      </w:r>
      <w:r>
        <w:rPr>
          <w:rFonts w:ascii="Times New Roman" w:cs="Times New Roman" w:eastAsia="Times New Roman" w:hAnsi="Times New Roman"/>
          <w:sz w:val="24"/>
          <w:szCs w:val="24"/>
        </w:rPr>
        <w:t xml:space="preserve">-1,411</w:t>
      </w:r>
      <w:r>
        <w:rPr>
          <w:rFonts w:ascii="David" w:cs="David" w:eastAsia="David" w:hAnsi="David"/>
          <w:sz w:val="24"/>
          <w:szCs w:val="24"/>
          <w:rtl/>
        </w:rPr>
        <w:t xml:space="preserve"> עצורים; הפער הקטן מהמספרים שפורסמו נובע מתהליך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המחקר הנוכחי כולל את השפוטים בלבד </w:t>
      </w:r>
      <w:r>
        <w:rPr>
          <w:rFonts w:ascii="Times New Roman" w:cs="Times New Roman" w:eastAsia="Times New Roman" w:hAnsi="Times New Roman"/>
          <w:sz w:val="24"/>
          <w:szCs w:val="24"/>
        </w:rPr>
        <w:t xml:space="preserve">(N = 2,379)</w:t>
      </w:r>
      <w:r>
        <w:rPr>
          <w:rFonts w:ascii="David" w:cs="David" w:eastAsia="David" w:hAnsi="David"/>
          <w:sz w:val="24"/>
          <w:szCs w:val="24"/>
          <w:rtl/>
        </w:rPr>
        <w:t xml:space="preserve">. רובם המכריע גברים (</w:t>
      </w:r>
      <w:r>
        <w:rPr>
          <w:rFonts w:ascii="Times New Roman" w:cs="Times New Roman" w:eastAsia="Times New Roman" w:hAnsi="Times New Roman"/>
          <w:sz w:val="24"/>
          <w:szCs w:val="24"/>
        </w:rPr>
        <w:t xml:space="preserve">2,302,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96.8</w:t>
      </w:r>
      <w:r>
        <w:rPr>
          <w:rFonts w:ascii="David" w:cs="David" w:eastAsia="David" w:hAnsi="David"/>
          <w:sz w:val="24"/>
          <w:szCs w:val="24"/>
          <w:rtl/>
        </w:rPr>
        <w:t xml:space="preserve"> אחוזים) ומיעוטם נשים (</w:t>
      </w:r>
      <w:r>
        <w:rPr>
          <w:rFonts w:ascii="Times New Roman" w:cs="Times New Roman" w:eastAsia="Times New Roman" w:hAnsi="Times New Roman"/>
          <w:sz w:val="24"/>
          <w:szCs w:val="24"/>
        </w:rPr>
        <w:t xml:space="preserve">77,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3.2</w:t>
      </w:r>
      <w:r>
        <w:rPr>
          <w:rFonts w:ascii="David" w:cs="David" w:eastAsia="David" w:hAnsi="David"/>
          <w:sz w:val="24"/>
          <w:szCs w:val="24"/>
          <w:rtl/>
        </w:rPr>
        <w:t xml:space="preserve"> אחוזים). הגיל הממוצע </w:t>
      </w:r>
      <w:r>
        <w:rPr>
          <w:rFonts w:ascii="Times New Roman" w:cs="Times New Roman" w:eastAsia="Times New Roman" w:hAnsi="Times New Roman"/>
          <w:sz w:val="24"/>
          <w:szCs w:val="24"/>
        </w:rPr>
        <w:t xml:space="preserve">37.9</w:t>
      </w:r>
      <w:r>
        <w:rPr>
          <w:rFonts w:ascii="David" w:cs="David" w:eastAsia="David" w:hAnsi="David"/>
          <w:sz w:val="24"/>
          <w:szCs w:val="24"/>
          <w:rtl/>
        </w:rPr>
        <w:t xml:space="preserve"> שנים (סטיית תקן </w:t>
      </w:r>
      <w:r>
        <w:rPr>
          <w:rFonts w:ascii="Times New Roman" w:cs="Times New Roman" w:eastAsia="Times New Roman" w:hAnsi="Times New Roman"/>
          <w:sz w:val="24"/>
          <w:szCs w:val="24"/>
        </w:rPr>
        <w:t xml:space="preserve">12.0</w:t>
      </w:r>
      <w:r>
        <w:rPr>
          <w:rFonts w:ascii="David" w:cs="David" w:eastAsia="David" w:hAnsi="David"/>
          <w:sz w:val="24"/>
          <w:szCs w:val="24"/>
          <w:rtl/>
        </w:rPr>
        <w:t xml:space="preserve">), בטווח של </w:t>
      </w:r>
      <w:r>
        <w:rPr>
          <w:rFonts w:ascii="Times New Roman" w:cs="Times New Roman" w:eastAsia="Times New Roman" w:hAnsi="Times New Roman"/>
          <w:sz w:val="24"/>
          <w:szCs w:val="24"/>
        </w:rPr>
        <w:t xml:space="preserve">18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82.</w:t>
      </w:r>
      <w:r>
        <w:rPr>
          <w:rFonts w:ascii="David" w:cs="David" w:eastAsia="David" w:hAnsi="David"/>
          <w:sz w:val="24"/>
          <w:szCs w:val="24"/>
          <w:rtl/>
        </w:rPr>
        <w:t xml:space="preserve"> מעט יותר ממחצית (</w:t>
      </w:r>
      <w:r>
        <w:rPr>
          <w:rFonts w:ascii="Times New Roman" w:cs="Times New Roman" w:eastAsia="Times New Roman" w:hAnsi="Times New Roman"/>
          <w:sz w:val="24"/>
          <w:szCs w:val="24"/>
        </w:rPr>
        <w:t xml:space="preserve">1,243,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52.2</w:t>
      </w:r>
      <w:r>
        <w:rPr>
          <w:rFonts w:ascii="David" w:cs="David" w:eastAsia="David" w:hAnsi="David"/>
          <w:sz w:val="24"/>
          <w:szCs w:val="24"/>
          <w:rtl/>
        </w:rPr>
        <w:t xml:space="preserve"> אחוזים) לא יהודים ו</w:t>
      </w:r>
      <w:r>
        <w:rPr>
          <w:rFonts w:ascii="Times New Roman" w:cs="Times New Roman" w:eastAsia="Times New Roman" w:hAnsi="Times New Roman"/>
          <w:sz w:val="24"/>
          <w:szCs w:val="24"/>
        </w:rPr>
        <w:t xml:space="preserve">-1,136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47.8</w:t>
      </w:r>
      <w:r>
        <w:rPr>
          <w:rFonts w:ascii="David" w:cs="David" w:eastAsia="David" w:hAnsi="David"/>
          <w:sz w:val="24"/>
          <w:szCs w:val="24"/>
          <w:rtl/>
        </w:rPr>
        <w:t xml:space="preserve"> אחוזים) יהודים. עבור </w:t>
      </w:r>
      <w:r>
        <w:rPr>
          <w:rFonts w:ascii="Times New Roman" w:cs="Times New Roman" w:eastAsia="Times New Roman" w:hAnsi="Times New Roman"/>
          <w:sz w:val="24"/>
          <w:szCs w:val="24"/>
        </w:rPr>
        <w:t xml:space="preserve">1,162</w:t>
      </w:r>
      <w:r>
        <w:rPr>
          <w:rFonts w:ascii="David" w:cs="David" w:eastAsia="David" w:hAnsi="David"/>
          <w:sz w:val="24"/>
          <w:szCs w:val="24"/>
          <w:rtl/>
        </w:rPr>
        <w:t xml:space="preserve"> מהשפוטים (</w:t>
      </w:r>
      <w:r>
        <w:rPr>
          <w:rFonts w:ascii="Times New Roman" w:cs="Times New Roman" w:eastAsia="Times New Roman" w:hAnsi="Times New Roman"/>
          <w:sz w:val="24"/>
          <w:szCs w:val="24"/>
        </w:rPr>
        <w:t xml:space="preserve">48.8</w:t>
      </w:r>
      <w:r>
        <w:rPr>
          <w:rFonts w:ascii="David" w:cs="David" w:eastAsia="David" w:hAnsi="David"/>
          <w:sz w:val="24"/>
          <w:szCs w:val="24"/>
          <w:rtl/>
        </w:rPr>
        <w:t xml:space="preserve"> אחוזים) זהו המאסר הראשון, </w:t>
      </w:r>
      <w:r>
        <w:rPr>
          <w:rFonts w:ascii="Times New Roman" w:cs="Times New Roman" w:eastAsia="Times New Roman" w:hAnsi="Times New Roman"/>
          <w:sz w:val="24"/>
          <w:szCs w:val="24"/>
        </w:rPr>
        <w:t xml:space="preserve">528</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22.2</w:t>
      </w:r>
      <w:r>
        <w:rPr>
          <w:rFonts w:ascii="David" w:cs="David" w:eastAsia="David" w:hAnsi="David"/>
          <w:sz w:val="24"/>
          <w:szCs w:val="24"/>
          <w:rtl/>
        </w:rPr>
        <w:t xml:space="preserve"> אחוזים) במאסרם השני ו</w:t>
      </w:r>
      <w:r>
        <w:rPr>
          <w:rFonts w:ascii="Times New Roman" w:cs="Times New Roman" w:eastAsia="Times New Roman" w:hAnsi="Times New Roman"/>
          <w:sz w:val="24"/>
          <w:szCs w:val="24"/>
        </w:rPr>
        <w:t xml:space="preserve">-689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29.0</w:t>
      </w:r>
      <w:r>
        <w:rPr>
          <w:rFonts w:ascii="David" w:cs="David" w:eastAsia="David" w:hAnsi="David"/>
          <w:sz w:val="24"/>
          <w:szCs w:val="24"/>
          <w:rtl/>
        </w:rPr>
        <w:t xml:space="preserve"> אחוזים) במאסר שלישי ומעלה. רוב השפוטים (</w:t>
      </w:r>
      <w:r>
        <w:rPr>
          <w:rFonts w:ascii="Times New Roman" w:cs="Times New Roman" w:eastAsia="Times New Roman" w:hAnsi="Times New Roman"/>
          <w:sz w:val="24"/>
          <w:szCs w:val="24"/>
        </w:rPr>
        <w:t xml:space="preserve">1,624,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68.3</w:t>
      </w:r>
      <w:r>
        <w:rPr>
          <w:rFonts w:ascii="David" w:cs="David" w:eastAsia="David" w:hAnsi="David"/>
          <w:sz w:val="24"/>
          <w:szCs w:val="24"/>
          <w:rtl/>
        </w:rPr>
        <w:t xml:space="preserve"> אחוזים) שוהים באגף הנוכחי יותר משלושה חודשים, </w:t>
      </w:r>
      <w:r>
        <w:rPr>
          <w:rFonts w:ascii="Times New Roman" w:cs="Times New Roman" w:eastAsia="Times New Roman" w:hAnsi="Times New Roman"/>
          <w:sz w:val="24"/>
          <w:szCs w:val="24"/>
        </w:rPr>
        <w:t xml:space="preserve">480</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20.2</w:t>
      </w:r>
      <w:r>
        <w:rPr>
          <w:rFonts w:ascii="David" w:cs="David" w:eastAsia="David" w:hAnsi="David"/>
          <w:sz w:val="24"/>
          <w:szCs w:val="24"/>
          <w:rtl/>
        </w:rPr>
        <w:t xml:space="preserve"> אחוזים) בין חודש לשלושה חודשים, </w:t>
      </w:r>
      <w:r>
        <w:rPr>
          <w:rFonts w:ascii="Times New Roman" w:cs="Times New Roman" w:eastAsia="Times New Roman" w:hAnsi="Times New Roman"/>
          <w:sz w:val="24"/>
          <w:szCs w:val="24"/>
        </w:rPr>
        <w:t xml:space="preserve">219</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9.2</w:t>
      </w:r>
      <w:r>
        <w:rPr>
          <w:rFonts w:ascii="David" w:cs="David" w:eastAsia="David" w:hAnsi="David"/>
          <w:sz w:val="24"/>
          <w:szCs w:val="24"/>
          <w:rtl/>
        </w:rPr>
        <w:t xml:space="preserve"> אחוזים) בין שבוע לחודש ו</w:t>
      </w:r>
      <w:r>
        <w:rPr>
          <w:rFonts w:ascii="Times New Roman" w:cs="Times New Roman" w:eastAsia="Times New Roman" w:hAnsi="Times New Roman"/>
          <w:sz w:val="24"/>
          <w:szCs w:val="24"/>
        </w:rPr>
        <w:t xml:space="preserve">-56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2.4</w:t>
      </w:r>
      <w:r>
        <w:rPr>
          <w:rFonts w:ascii="David" w:cs="David" w:eastAsia="David" w:hAnsi="David"/>
          <w:sz w:val="24"/>
          <w:szCs w:val="24"/>
          <w:rtl/>
        </w:rPr>
        <w:t xml:space="preserve"> אחוזים) פחות משבוע. </w:t>
      </w:r>
      <w:r>
        <w:rPr>
          <w:rFonts w:ascii="Times New Roman" w:cs="Times New Roman" w:eastAsia="Times New Roman" w:hAnsi="Times New Roman"/>
          <w:sz w:val="24"/>
          <w:szCs w:val="24"/>
        </w:rPr>
        <w:t xml:space="preserve">486</w:t>
      </w:r>
      <w:r>
        <w:rPr>
          <w:rFonts w:ascii="David" w:cs="David" w:eastAsia="David" w:hAnsi="David"/>
          <w:sz w:val="24"/>
          <w:szCs w:val="24"/>
          <w:rtl/>
        </w:rPr>
        <w:t xml:space="preserve"> (</w:t>
      </w:r>
      <w:r>
        <w:rPr>
          <w:rFonts w:ascii="Times New Roman" w:cs="Times New Roman" w:eastAsia="Times New Roman" w:hAnsi="Times New Roman"/>
          <w:sz w:val="24"/>
          <w:szCs w:val="24"/>
        </w:rPr>
        <w:t xml:space="preserve">20.4</w:t>
      </w:r>
      <w:r>
        <w:rPr>
          <w:rFonts w:ascii="David" w:cs="David" w:eastAsia="David" w:hAnsi="David"/>
          <w:sz w:val="24"/>
          <w:szCs w:val="24"/>
          <w:rtl/>
        </w:rPr>
        <w:t xml:space="preserve"> אחוזים) נמצאים במסלול שיקום. ההתפלגות המלאה מובאת בלוח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בפרק הממצאים.</w:t>
      </w:r>
    </w:p>
    <w:p>
      <w:pPr>
        <w:pStyle w:val="Heading2"/>
        <w:keepNext/>
        <w:bidi/>
        <w:spacing w:after="120" w:before="240" w:line="360"/>
        <w:jc w:val="right"/>
      </w:pPr>
      <w:r>
        <w:rPr>
          <w:rFonts w:ascii="David" w:cs="David" w:eastAsia="David" w:hAnsi="David"/>
          <w:b/>
          <w:bCs/>
          <w:sz w:val="28"/>
          <w:szCs w:val="28"/>
          <w:rtl/>
        </w:rPr>
        <w:t xml:space="preserve">כלי המחקר</w:t>
      </w:r>
    </w:p>
    <w:p>
      <w:pPr>
        <w:bidi/>
        <w:spacing w:after="120" w:line="360"/>
        <w:ind w:firstLine="567"/>
        <w:jc w:val="both"/>
      </w:pPr>
      <w:r>
        <w:rPr>
          <w:rFonts w:ascii="David" w:cs="David" w:eastAsia="David" w:hAnsi="David"/>
          <w:sz w:val="24"/>
          <w:szCs w:val="24"/>
          <w:rtl/>
        </w:rPr>
        <w:t xml:space="preserve">כלי המחקר הוא שאלון הדיווח העצמי של סקר תנאי המחיה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השאלון נבנה על בסיס שאלון "החיים במשמורת" </w:t>
      </w:r>
      <w:r>
        <w:rPr>
          <w:rFonts w:ascii="Times New Roman" w:cs="Times New Roman" w:eastAsia="Times New Roman" w:hAnsi="Times New Roman"/>
          <w:sz w:val="24"/>
          <w:szCs w:val="24"/>
        </w:rPr>
        <w:t xml:space="preserve">(Life in Custody)</w:t>
      </w:r>
      <w:r>
        <w:rPr>
          <w:rFonts w:ascii="David" w:cs="David" w:eastAsia="David" w:hAnsi="David"/>
          <w:sz w:val="24"/>
          <w:szCs w:val="24"/>
          <w:rtl/>
        </w:rPr>
        <w:t xml:space="preserve"> ההולנדי, שפותח ונבדק בבתי הסוהר בהולנד וכולל </w:t>
      </w:r>
      <w:r>
        <w:rPr>
          <w:rFonts w:ascii="Times New Roman" w:cs="Times New Roman" w:eastAsia="Times New Roman" w:hAnsi="Times New Roman"/>
          <w:sz w:val="24"/>
          <w:szCs w:val="24"/>
        </w:rPr>
        <w:t xml:space="preserve">136</w:t>
      </w:r>
      <w:r>
        <w:rPr>
          <w:rFonts w:ascii="David" w:cs="David" w:eastAsia="David" w:hAnsi="David"/>
          <w:sz w:val="24"/>
          <w:szCs w:val="24"/>
          <w:rtl/>
        </w:rPr>
        <w:t xml:space="preserve"> פריטים ב</w:t>
      </w:r>
      <w:r>
        <w:rPr>
          <w:rFonts w:ascii="Times New Roman" w:cs="Times New Roman" w:eastAsia="Times New Roman" w:hAnsi="Times New Roman"/>
          <w:sz w:val="24"/>
          <w:szCs w:val="24"/>
        </w:rPr>
        <w:t xml:space="preserve">-21</w:t>
      </w:r>
      <w:r>
        <w:rPr>
          <w:rFonts w:ascii="David" w:cs="David" w:eastAsia="David" w:hAnsi="David"/>
          <w:sz w:val="24"/>
          <w:szCs w:val="24"/>
          <w:rtl/>
        </w:rPr>
        <w:t xml:space="preserve"> נושאים, עם מהימנויות של </w:t>
      </w:r>
      <w:r>
        <w:rPr>
          <w:rFonts w:ascii="Times New Roman" w:cs="Times New Roman" w:eastAsia="Times New Roman" w:hAnsi="Times New Roman"/>
          <w:sz w:val="24"/>
          <w:szCs w:val="24"/>
        </w:rPr>
        <w:t xml:space="preserve">0.78</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0.90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לצורך הסקר הישראלי נבחרו </w:t>
      </w:r>
      <w:r>
        <w:rPr>
          <w:rFonts w:ascii="Times New Roman" w:cs="Times New Roman" w:eastAsia="Times New Roman" w:hAnsi="Times New Roman"/>
          <w:sz w:val="24"/>
          <w:szCs w:val="24"/>
        </w:rPr>
        <w:t xml:space="preserve">39</w:t>
      </w:r>
      <w:r>
        <w:rPr>
          <w:rFonts w:ascii="David" w:cs="David" w:eastAsia="David" w:hAnsi="David"/>
          <w:sz w:val="24"/>
          <w:szCs w:val="24"/>
          <w:rt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ליקרט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(שביעות רצון או הסכמה נמוכה מאוד)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(גבוהה מאוד). מהימנויות תשעת הנושאים בסקר המקורי נעו בין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-0.91</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משתמש בשניים מהנושאים ובמשתני רקע.</w:t>
      </w:r>
    </w:p>
    <w:p>
      <w:pPr>
        <w:bidi/>
        <w:spacing w:after="120" w:line="360"/>
        <w:ind w:firstLine="567"/>
        <w:jc w:val="both"/>
      </w:pPr>
      <w:r>
        <w:rPr>
          <w:rFonts w:ascii="David" w:cs="David" w:eastAsia="David" w:hAnsi="David"/>
          <w:sz w:val="24"/>
          <w:szCs w:val="24"/>
          <w:rt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מרכיבים של צדק פרוצדורלי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נגישות ומתן קול, יחס מכבד, והוגנות בטיפול בבקשות. בסקר המקורי מהימנות הסולם הייתה </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שניים מהשלושה, וציון גבוה מבטא לגיטימיות גבוהה.</w:t>
      </w:r>
    </w:p>
    <w:p>
      <w:pPr>
        <w:bidi/>
        <w:spacing w:after="120" w:line="360"/>
        <w:ind w:firstLine="567"/>
        <w:jc w:val="both"/>
      </w:pPr>
      <w:r>
        <w:rPr>
          <w:rFonts w:ascii="David" w:cs="David" w:eastAsia="David" w:hAnsi="David"/>
          <w:sz w:val="24"/>
          <w:szCs w:val="24"/>
          <w:rt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sz w:val="24"/>
          <w:szCs w:val="24"/>
        </w:rPr>
        <w:t xml:space="preserve">0.85</w:t>
      </w:r>
      <w:r>
        <w:rPr>
          <w:rFonts w:ascii="David" w:cs="David" w:eastAsia="David" w:hAnsi="David"/>
          <w:sz w:val="24"/>
          <w:szCs w:val="24"/>
          <w:rtl/>
        </w:rPr>
        <w:t xml:space="preserve"> ובקובץ הסינתטי </w:t>
      </w:r>
      <w:r>
        <w:rPr>
          <w:rFonts w:ascii="Times New Roman" w:cs="Times New Roman" w:eastAsia="Times New Roman" w:hAnsi="Times New Roman"/>
          <w:sz w:val="24"/>
          <w:szCs w:val="24"/>
        </w:rPr>
        <w:t xml:space="preserve">0.82</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ind w:firstLine="567"/>
        <w:jc w:val="both"/>
      </w:pPr>
      <w:r>
        <w:rPr>
          <w:rFonts w:ascii="David" w:cs="David" w:eastAsia="David" w:hAnsi="David"/>
          <w:sz w:val="24"/>
          <w:szCs w:val="24"/>
          <w:rt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ניתוחים סטטיסטיים</w:t>
      </w:r>
    </w:p>
    <w:p>
      <w:pPr>
        <w:bidi/>
        <w:spacing w:after="120" w:line="36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קרונבך, ולאחר מכן חושבו ציוני הסולמות ונבדקו התפלגויותיהם, כולל מבחני נורמליות. בשלב השלישי חושב מתאם פירסון בין הרווחה הנפשית ללגיטימיות, ובשל ההתפלגות המוטה של הלגיטימיות חושב גם מתאם ספירמן,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sz w:val="24"/>
          <w:szCs w:val="24"/>
        </w:rPr>
        <w:t xml:space="preserve">p &lt; 0.05</w:t>
      </w:r>
      <w:r>
        <w:rPr>
          <w:rFonts w:ascii="David" w:cs="David" w:eastAsia="David" w:hAnsi="David"/>
          <w:sz w:val="24"/>
          <w:szCs w:val="24"/>
          <w:rt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rPr>
        <w:t xml:space="preserve">ממצאים</w:t>
      </w:r>
    </w:p>
    <w:p>
      <w:pPr>
        <w:bidi/>
        <w:spacing w:after="120" w:line="360"/>
        <w:ind w:firstLine="567"/>
        <w:jc w:val="both"/>
      </w:pPr>
      <w:r>
        <w:rPr>
          <w:rFonts w:ascii="David" w:cs="David" w:eastAsia="David" w:hAnsi="David"/>
          <w:sz w:val="24"/>
          <w:szCs w:val="24"/>
          <w:rt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rPr>
        <w:t xml:space="preserve">אוכלוסיית המחקר</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1</w:t>
      </w:r>
      <w:r>
        <w:rPr>
          <w:rFonts w:ascii="David" w:cs="David" w:eastAsia="David" w:hAnsi="David"/>
          <w:b/>
          <w:bCs/>
          <w:sz w:val="24"/>
          <w:szCs w:val="24"/>
          <w:rt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100.0</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עולה כי כמעט שני שלישים מהמשיבים הם שפוטים, בדומה לשיעור של </w:t>
      </w:r>
      <w:r>
        <w:rPr>
          <w:rFonts w:ascii="Times New Roman" w:cs="Times New Roman" w:eastAsia="Times New Roman" w:hAnsi="Times New Roman"/>
          <w:sz w:val="24"/>
          <w:szCs w:val="24"/>
        </w:rPr>
        <w:t xml:space="preserve">62.3</w:t>
      </w:r>
      <w:r>
        <w:rPr>
          <w:rFonts w:ascii="David" w:cs="David" w:eastAsia="David" w:hAnsi="David"/>
          <w:sz w:val="24"/>
          <w:szCs w:val="24"/>
          <w:rtl/>
        </w:rPr>
        <w:t xml:space="preserve"> אחוזים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כל הניתוחים מכאן ואילך נערכו על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השפוטים בלבד. 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מציג את מאפייני הרקע שלהם.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2</w:t>
      </w:r>
      <w:r>
        <w:rPr>
          <w:rFonts w:ascii="David" w:cs="David" w:eastAsia="David" w:hAnsi="David"/>
          <w:b/>
          <w:bCs/>
          <w:sz w:val="24"/>
          <w:szCs w:val="24"/>
          <w:rtl/>
        </w:rPr>
        <w:t xml:space="preserve">: מאפייני הרקע של השפוטים </w:t>
      </w:r>
      <w:r>
        <w:rPr>
          <w:rFonts w:ascii="Times New Roman" w:cs="Times New Roman" w:eastAsia="Times New Roman" w:hAnsi="Times New Roman"/>
          <w:b/>
          <w:bCs/>
          <w:sz w:val="24"/>
          <w:szCs w:val="24"/>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18</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40</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60</w:t>
            </w:r>
            <w:r>
              <w:rPr>
                <w:rFonts w:ascii="David" w:cs="David" w:eastAsia="David" w:hAnsi="David"/>
                <w:b w:val="false"/>
                <w:bCs w:val="false"/>
                <w:sz w:val="22"/>
                <w:szCs w:val="22"/>
                <w:rt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79.6</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2</w:t>
      </w:r>
      <w:r>
        <w:rPr>
          <w:rFonts w:ascii="David" w:cs="David" w:eastAsia="David" w:hAnsi="David"/>
          <w:sz w:val="24"/>
          <w:szCs w:val="24"/>
          <w:rtl/>
        </w:rPr>
        <w:t xml:space="preserve"> ניתן ללמוד כי אוכלוסיית השפוטים היא בעיקרה גברים בגילי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59,</w:t>
      </w:r>
      <w:r>
        <w:rPr>
          <w:rFonts w:ascii="David" w:cs="David" w:eastAsia="David" w:hAnsi="David"/>
          <w:sz w:val="24"/>
          <w:szCs w:val="24"/>
          <w:rt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w:t>
      </w:r>
    </w:p>
    <w:p>
      <w:pPr>
        <w:pStyle w:val="Heading2"/>
        <w:keepNext/>
        <w:bidi/>
        <w:spacing w:after="120" w:before="240" w:line="360"/>
        <w:jc w:val="right"/>
      </w:pPr>
      <w:r>
        <w:rPr>
          <w:rFonts w:ascii="David" w:cs="David" w:eastAsia="David" w:hAnsi="David"/>
          <w:b/>
          <w:bCs/>
          <w:sz w:val="28"/>
          <w:szCs w:val="28"/>
          <w:rtl/>
        </w:rPr>
        <w:t xml:space="preserve">סטטיסטיקה תיאורית של הפריטים</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3</w:t>
      </w:r>
      <w:r>
        <w:rPr>
          <w:rFonts w:ascii="David" w:cs="David" w:eastAsia="David" w:hAnsi="David"/>
          <w:b/>
          <w:bCs/>
          <w:sz w:val="24"/>
          <w:szCs w:val="24"/>
          <w:rt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w:t>
            </w:r>
          </w:p>
        </w:tc>
      </w:tr>
    </w:tbl>
    <w:p>
      <w:pPr>
        <w:bidi/>
        <w:spacing w:after="200" w:before="60" w:line="276"/>
        <w:jc w:val="right"/>
      </w:pPr>
      <w:r>
        <w:rPr>
          <w:rFonts w:ascii="David" w:cs="David" w:eastAsia="David" w:hAnsi="David"/>
          <w:sz w:val="20"/>
          <w:szCs w:val="20"/>
          <w:rtl/>
        </w:rPr>
        <w:t xml:space="preserve">הערה. כל הפריטים נמדדו בסולם של </w:t>
      </w:r>
      <w:r>
        <w:rPr>
          <w:rFonts w:ascii="Times New Roman" w:cs="Times New Roman" w:eastAsia="Times New Roman" w:hAnsi="Times New Roman"/>
          <w:sz w:val="20"/>
          <w:szCs w:val="20"/>
        </w:rPr>
        <w:t xml:space="preserve">1</w:t>
      </w:r>
      <w:r>
        <w:rPr>
          <w:rFonts w:ascii="David" w:cs="David" w:eastAsia="David" w:hAnsi="David"/>
          <w:sz w:val="20"/>
          <w:szCs w:val="20"/>
          <w:rtl/>
        </w:rPr>
        <w:t xml:space="preserve"> עד </w:t>
      </w:r>
      <w:r>
        <w:rPr>
          <w:rFonts w:ascii="Times New Roman" w:cs="Times New Roman" w:eastAsia="Times New Roman" w:hAnsi="Times New Roman"/>
          <w:sz w:val="20"/>
          <w:szCs w:val="20"/>
        </w:rPr>
        <w:t xml:space="preserve">5.</w:t>
      </w:r>
      <w:r>
        <w:rPr>
          <w:rFonts w:ascii="David" w:cs="David" w:eastAsia="David" w:hAnsi="David"/>
          <w:sz w:val="20"/>
          <w:szCs w:val="20"/>
          <w:rtl/>
        </w:rPr>
        <w:t xml:space="preserve"> מקור: פלט </w:t>
      </w:r>
      <w:r>
        <w:rPr>
          <w:rFonts w:ascii="Times New Roman" w:cs="Times New Roman" w:eastAsia="Times New Roman" w:hAnsi="Times New Roman"/>
          <w:sz w:val="20"/>
          <w:szCs w:val="20"/>
        </w:rPr>
        <w:t xml:space="preserve">Frequencies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3</w:t>
      </w:r>
      <w:r>
        <w:rPr>
          <w:rFonts w:ascii="David" w:cs="David" w:eastAsia="David" w:hAnsi="David"/>
          <w:sz w:val="24"/>
          <w:szCs w:val="24"/>
          <w:rt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sz w:val="24"/>
          <w:szCs w:val="24"/>
        </w:rPr>
        <w:t xml:space="preserve">4.44</w:t>
      </w:r>
      <w:r>
        <w:rPr>
          <w:rFonts w:ascii="David" w:cs="David" w:eastAsia="David" w:hAnsi="David"/>
          <w:sz w:val="24"/>
          <w:szCs w:val="24"/>
          <w:rt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sz w:val="24"/>
          <w:szCs w:val="24"/>
        </w:rPr>
        <w:t xml:space="preserve">3.58</w:t>
      </w:r>
      <w:r>
        <w:rPr>
          <w:rFonts w:ascii="David" w:cs="David" w:eastAsia="David" w:hAnsi="David"/>
          <w:sz w:val="24"/>
          <w:szCs w:val="24"/>
          <w:rt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-4.4</w:t>
      </w:r>
      <w:r>
        <w:rPr>
          <w:rFonts w:ascii="David" w:cs="David" w:eastAsia="David" w:hAnsi="David"/>
          <w:sz w:val="24"/>
          <w:szCs w:val="24"/>
          <w:rtl/>
        </w:rPr>
        <w:t xml:space="preserve"> וממוצע פריטי הבריאות והרווחה בין </w:t>
      </w:r>
      <w:r>
        <w:rPr>
          <w:rFonts w:ascii="Times New Roman" w:cs="Times New Roman" w:eastAsia="Times New Roman" w:hAnsi="Times New Roman"/>
          <w:sz w:val="24"/>
          <w:szCs w:val="24"/>
        </w:rPr>
        <w:t xml:space="preserve">3.6</w:t>
      </w:r>
      <w:r>
        <w:rPr>
          <w:rFonts w:ascii="David" w:cs="David" w:eastAsia="David" w:hAnsi="David"/>
          <w:sz w:val="24"/>
          <w:szCs w:val="24"/>
          <w:rtl/>
        </w:rPr>
        <w:t xml:space="preserve"> ל</w:t>
      </w:r>
      <w:r>
        <w:rPr>
          <w:rFonts w:ascii="Times New Roman" w:cs="Times New Roman" w:eastAsia="Times New Roman" w:hAnsi="Times New Roman"/>
          <w:sz w:val="24"/>
          <w:szCs w:val="24"/>
        </w:rPr>
        <w:t xml:space="preserve">-4.0</w:t>
      </w:r>
      <w:r>
        <w:rPr>
          <w:rFonts w:ascii="David" w:cs="David" w:eastAsia="David" w:hAnsi="David"/>
          <w:sz w:val="24"/>
          <w:szCs w:val="24"/>
          <w:rtl/>
        </w:rPr>
        <w:t xml:space="preserve">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לפריט הטיפול בבקשות </w:t>
      </w:r>
      <w:r>
        <w:rPr>
          <w:rFonts w:ascii="Times New Roman" w:cs="Times New Roman" w:eastAsia="Times New Roman" w:hAnsi="Times New Roman"/>
          <w:sz w:val="24"/>
          <w:szCs w:val="24"/>
        </w:rPr>
        <w:t xml:space="preserve">227</w:t>
      </w:r>
      <w:r>
        <w:rPr>
          <w:rFonts w:ascii="David" w:cs="David" w:eastAsia="David" w:hAnsi="David"/>
          <w:sz w:val="24"/>
          <w:szCs w:val="24"/>
          <w:rt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rPr>
        <w:t xml:space="preserve">מהימנות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מציג את הרכב שני הסולמות, מקדמי אלפא של קרונבך ומתאמי הפריט עם יתר הסולם.</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4</w:t>
      </w:r>
      <w:r>
        <w:rPr>
          <w:rFonts w:ascii="David" w:cs="David" w:eastAsia="David" w:hAnsi="David"/>
          <w:b/>
          <w:bCs/>
          <w:sz w:val="24"/>
          <w:szCs w:val="24"/>
          <w:rt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2,114</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 </w:t>
            </w:r>
            <w:r>
              <w:rPr>
                <w:rFonts w:ascii="Times New Roman" w:cs="Times New Roman" w:eastAsia="Times New Roman" w:hAnsi="Times New Roman"/>
                <w:b w:val="false"/>
                <w:bCs w:val="false"/>
                <w:sz w:val="22"/>
                <w:szCs w:val="22"/>
              </w:rPr>
              <w:t xml:space="preserve">n = 2,379</w:t>
            </w:r>
            <w:r>
              <w:rPr>
                <w:rFonts w:ascii="David" w:cs="David" w:eastAsia="David" w:hAnsi="David"/>
                <w:b w:val="false"/>
                <w:bCs w:val="false"/>
                <w:sz w:val="22"/>
                <w:szCs w:val="22"/>
                <w:rt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rPr>
        <w:t xml:space="preserve">הערה. מתאמים בין פריטי הלגיטימיות: </w:t>
      </w:r>
      <w:r>
        <w:rPr>
          <w:rFonts w:ascii="Times New Roman" w:cs="Times New Roman" w:eastAsia="Times New Roman" w:hAnsi="Times New Roman"/>
          <w:sz w:val="20"/>
          <w:szCs w:val="20"/>
        </w:rPr>
        <w:t xml:space="preserve">0.55</w:t>
      </w:r>
      <w:r>
        <w:rPr>
          <w:rFonts w:ascii="David" w:cs="David" w:eastAsia="David" w:hAnsi="David"/>
          <w:sz w:val="20"/>
          <w:szCs w:val="20"/>
          <w:rtl/>
        </w:rPr>
        <w:t xml:space="preserve"> (דיבור עם סוהרים וכבוד), </w:t>
      </w:r>
      <w:r>
        <w:rPr>
          <w:rFonts w:ascii="Times New Roman" w:cs="Times New Roman" w:eastAsia="Times New Roman" w:hAnsi="Times New Roman"/>
          <w:sz w:val="20"/>
          <w:szCs w:val="20"/>
        </w:rPr>
        <w:t xml:space="preserve">0.33</w:t>
      </w:r>
      <w:r>
        <w:rPr>
          <w:rFonts w:ascii="David" w:cs="David" w:eastAsia="David" w:hAnsi="David"/>
          <w:sz w:val="20"/>
          <w:szCs w:val="20"/>
          <w:rtl/>
        </w:rPr>
        <w:t xml:space="preserve"> (דיבור ובקשות), </w:t>
      </w:r>
      <w:r>
        <w:rPr>
          <w:rFonts w:ascii="Times New Roman" w:cs="Times New Roman" w:eastAsia="Times New Roman" w:hAnsi="Times New Roman"/>
          <w:sz w:val="20"/>
          <w:szCs w:val="20"/>
        </w:rPr>
        <w:t xml:space="preserve">0.37</w:t>
      </w:r>
      <w:r>
        <w:rPr>
          <w:rFonts w:ascii="David" w:cs="David" w:eastAsia="David" w:hAnsi="David"/>
          <w:sz w:val="20"/>
          <w:szCs w:val="20"/>
          <w:rtl/>
        </w:rPr>
        <w:t xml:space="preserve"> (כבוד ובקשות). מקור: פלט </w:t>
      </w:r>
      <w:r>
        <w:rPr>
          <w:rFonts w:ascii="Times New Roman" w:cs="Times New Roman" w:eastAsia="Times New Roman" w:hAnsi="Times New Roman"/>
          <w:sz w:val="20"/>
          <w:szCs w:val="20"/>
        </w:rPr>
        <w:t xml:space="preserve">Reliability</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4</w:t>
      </w:r>
      <w:r>
        <w:rPr>
          <w:rFonts w:ascii="David" w:cs="David" w:eastAsia="David" w:hAnsi="David"/>
          <w:sz w:val="24"/>
          <w:szCs w:val="24"/>
          <w:rtl/>
        </w:rPr>
        <w:t xml:space="preserve"> ניתן ללמוד כי סולם הרווחה הנפשית מהימן (α =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מהסף המקובל של </w:t>
      </w:r>
      <w:r>
        <w:rPr>
          <w:rFonts w:ascii="Times New Roman" w:cs="Times New Roman" w:eastAsia="Times New Roman" w:hAnsi="Times New Roman"/>
          <w:sz w:val="24"/>
          <w:szCs w:val="24"/>
        </w:rPr>
        <w:t xml:space="preserve">0.70,</w:t>
      </w:r>
      <w:r>
        <w:rPr>
          <w:rFonts w:ascii="David" w:cs="David" w:eastAsia="David" w:hAnsi="David"/>
          <w:sz w:val="24"/>
          <w:szCs w:val="24"/>
          <w:rtl/>
        </w:rPr>
        <w:t xml:space="preserve"> אך זהה למהימנות שדווחה לקובץ הסינתטי וקרובה ל</w:t>
      </w:r>
      <w:r>
        <w:rPr>
          <w:rFonts w:ascii="Times New Roman" w:cs="Times New Roman" w:eastAsia="Times New Roman" w:hAnsi="Times New Roman"/>
          <w:sz w:val="24"/>
          <w:szCs w:val="24"/>
        </w:rPr>
        <w:t xml:space="preserve">-0.72</w:t>
      </w:r>
      <w:r>
        <w:rPr>
          <w:rFonts w:ascii="David" w:cs="David" w:eastAsia="David" w:hAnsi="David"/>
          <w:sz w:val="24"/>
          <w:szCs w:val="24"/>
          <w:rtl/>
        </w:rPr>
        <w:t xml:space="preserve"> שנמצאה בסקר המקורי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לסולם שלושה פריטים בלבד, ומקדם אלפא רגיש למספר הפריטים. שני הפריטים העוסקים ביחס הישיר של הסוהרים, האפשרות לדבר איתם והיחס המכבד, קשורים זה לזה בחוזקה (</w:t>
      </w:r>
      <w:r>
        <w:rPr>
          <w:rFonts w:ascii="Times New Roman" w:cs="Times New Roman" w:eastAsia="Times New Roman" w:hAnsi="Times New Roman"/>
          <w:sz w:val="24"/>
          <w:szCs w:val="24"/>
        </w:rPr>
        <w:t xml:space="preserve">0.55</w:t>
      </w:r>
      <w:r>
        <w:rPr>
          <w:rFonts w:ascii="David" w:cs="David" w:eastAsia="David" w:hAnsi="David"/>
          <w:sz w:val="24"/>
          <w:szCs w:val="24"/>
          <w:rtl/>
        </w:rPr>
        <w:t xml:space="preserve">), ואילו פריט הטיפול בבקשות קשור אליהם פחות, והסרתו הייתה מעלה את האלפא ל</w:t>
      </w:r>
      <w:r>
        <w:rPr>
          <w:rFonts w:ascii="Times New Roman" w:cs="Times New Roman" w:eastAsia="Times New Roman" w:hAnsi="Times New Roman"/>
          <w:sz w:val="24"/>
          <w:szCs w:val="24"/>
        </w:rPr>
        <w:t xml:space="preserve">-0.69.</w:t>
      </w:r>
      <w:r>
        <w:rPr>
          <w:rFonts w:ascii="David" w:cs="David" w:eastAsia="David" w:hAnsi="David"/>
          <w:sz w:val="24"/>
          <w:szCs w:val="24"/>
          <w:rtl/>
        </w:rPr>
        <w:t xml:space="preserve"> הוחלט להשאירו, משום שהטיפול בבקשות הוא ליבת ההוגנות הפרוצדורלית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rPr>
        <w:t xml:space="preserve">ממוצעי הסולמות</w:t>
      </w:r>
    </w:p>
    <w:p>
      <w:pPr>
        <w:bidi/>
        <w:spacing w:after="120" w:line="360"/>
        <w:ind w:firstLine="567"/>
        <w:jc w:val="both"/>
      </w:pPr>
      <w:r>
        <w:rPr>
          <w:rFonts w:ascii="David" w:cs="David" w:eastAsia="David" w:hAnsi="David"/>
          <w:sz w:val="24"/>
          <w:szCs w:val="24"/>
          <w:rtl/>
        </w:rPr>
        <w:t xml:space="preserve">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5</w:t>
      </w:r>
      <w:r>
        <w:rPr>
          <w:rFonts w:ascii="David" w:cs="David" w:eastAsia="David" w:hAnsi="David"/>
          <w:b/>
          <w:bCs/>
          <w:sz w:val="24"/>
          <w:szCs w:val="24"/>
          <w:rt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-0.01</w:t>
            </w:r>
          </w:p>
        </w:tc>
      </w:tr>
    </w:tbl>
    <w:p>
      <w:pPr>
        <w:bidi/>
        <w:spacing w:after="200" w:before="60" w:line="276"/>
        <w:jc w:val="right"/>
      </w:pPr>
      <w:r>
        <w:rPr>
          <w:rFonts w:ascii="David" w:cs="David" w:eastAsia="David" w:hAnsi="David"/>
          <w:sz w:val="20"/>
          <w:szCs w:val="20"/>
          <w:rtl/>
        </w:rPr>
        <w:t xml:space="preserve">הערה. מבחני קולמוגורוב-סמירנוב ושפירו-וילק מובהקים לשני המשתנים </w:t>
      </w:r>
      <w:r>
        <w:rPr>
          <w:rFonts w:ascii="Times New Roman" w:cs="Times New Roman" w:eastAsia="Times New Roman" w:hAnsi="Times New Roman"/>
          <w:sz w:val="20"/>
          <w:szCs w:val="20"/>
        </w:rPr>
        <w:t xml:space="preserve">(p &lt; 0.001)</w:t>
      </w:r>
      <w:r>
        <w:rPr>
          <w:rFonts w:ascii="David" w:cs="David" w:eastAsia="David" w:hAnsi="David"/>
          <w:sz w:val="20"/>
          <w:szCs w:val="20"/>
          <w:rtl/>
        </w:rPr>
        <w:t xml:space="preserve">. מקור: פלטי </w:t>
      </w:r>
      <w:r>
        <w:rPr>
          <w:rFonts w:ascii="Times New Roman" w:cs="Times New Roman" w:eastAsia="Times New Roman" w:hAnsi="Times New Roman"/>
          <w:sz w:val="20"/>
          <w:szCs w:val="20"/>
        </w:rPr>
        <w:t xml:space="preserve">Descriptives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Explore</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עולה כי ממוצע הלגיטימיות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גבוה ומתקרב לתקרת הסולם, בעוד ממוצע הרווחה הנפשית (</w:t>
      </w:r>
      <w:r>
        <w:rPr>
          <w:rFonts w:ascii="Times New Roman" w:cs="Times New Roman" w:eastAsia="Times New Roman" w:hAnsi="Times New Roman"/>
          <w:sz w:val="24"/>
          <w:szCs w:val="24"/>
        </w:rPr>
        <w:t xml:space="preserve">3.78</w:t>
      </w:r>
      <w:r>
        <w:rPr>
          <w:rFonts w:ascii="David" w:cs="David" w:eastAsia="David" w:hAnsi="David"/>
          <w:sz w:val="24"/>
          <w:szCs w:val="24"/>
          <w:rt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sz w:val="24"/>
          <w:szCs w:val="24"/>
        </w:rPr>
        <w:t xml:space="preserve">4.28</w:t>
      </w:r>
      <w:r>
        <w:rPr>
          <w:rFonts w:ascii="David" w:cs="David" w:eastAsia="David" w:hAnsi="David"/>
          <w:sz w:val="24"/>
          <w:szCs w:val="24"/>
          <w:rtl/>
        </w:rPr>
        <w:t xml:space="preserve"> ללגיטימיות ו</w:t>
      </w:r>
      <w:r>
        <w:rPr>
          <w:rFonts w:ascii="Times New Roman" w:cs="Times New Roman" w:eastAsia="Times New Roman" w:hAnsi="Times New Roman"/>
          <w:sz w:val="24"/>
          <w:szCs w:val="24"/>
        </w:rPr>
        <w:t xml:space="preserve">-3.84</w:t>
      </w:r>
      <w:r>
        <w:rPr>
          <w:rFonts w:ascii="David" w:cs="David" w:eastAsia="David" w:hAnsi="David"/>
          <w:sz w:val="24"/>
          <w:szCs w:val="24"/>
          <w:rtl/>
        </w:rPr>
        <w:t xml:space="preserve"> לבריאות ולרווחה נפשית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פירסון עדיין תקף, אך כדי להיות בטוחות חושב לצדו גם מתאם ספירמן.</w:t>
      </w:r>
    </w:p>
    <w:p>
      <w:pPr>
        <w:pStyle w:val="Heading2"/>
        <w:keepNext/>
        <w:bidi/>
        <w:spacing w:after="120" w:before="240" w:line="360"/>
        <w:jc w:val="right"/>
      </w:pPr>
      <w:r>
        <w:rPr>
          <w:rFonts w:ascii="David" w:cs="David" w:eastAsia="David" w:hAnsi="David"/>
          <w:b/>
          <w:bCs/>
          <w:sz w:val="28"/>
          <w:szCs w:val="28"/>
          <w:rtl/>
        </w:rPr>
        <w:t xml:space="preserve">הקשר בין רווחה נפשית ללגיטימיות</w:t>
      </w:r>
    </w:p>
    <w:p>
      <w:pPr>
        <w:bidi/>
        <w:spacing w:after="120" w:line="360"/>
        <w:ind w:firstLine="567"/>
        <w:jc w:val="both"/>
      </w:pPr>
      <w:r>
        <w:rPr>
          <w:rFonts w:ascii="David" w:cs="David" w:eastAsia="David" w:hAnsi="David"/>
          <w:sz w:val="24"/>
          <w:szCs w:val="24"/>
          <w:rtl/>
        </w:rPr>
        <w:t xml:space="preserve">כדי לבחון את השערה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חושבו מתאמי פירסון וספירמן בין ציון הרווחה הנפשית לציון הלגיטימיות, וכן מתאמי ספירמן בין הרווחה לכל אחד מפריטי הלגיטימיות. 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מציג את התוצאות.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6</w:t>
      </w:r>
      <w:r>
        <w:rPr>
          <w:rFonts w:ascii="David" w:cs="David" w:eastAsia="David" w:hAnsi="David"/>
          <w:b/>
          <w:bCs/>
          <w:sz w:val="24"/>
          <w:szCs w:val="24"/>
          <w:rtl/>
        </w:rPr>
        <w:t xml:space="preserve">: מתאמים בין רווחה נפשית לבין לגיטימיות הסגל ופריטיה </w:t>
      </w:r>
      <w:r>
        <w:rPr>
          <w:rFonts w:ascii="Times New Roman" w:cs="Times New Roman" w:eastAsia="Times New Roman" w:hAnsi="Times New Roman"/>
          <w:b/>
          <w:bCs/>
          <w:sz w:val="24"/>
          <w:szCs w:val="24"/>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פירסון </w:t>
            </w:r>
            <w:r>
              <w:rPr>
                <w:rFonts w:ascii="Times New Roman" w:cs="Times New Roman" w:eastAsia="Times New Roman" w:hAnsi="Times New Roman"/>
                <w:b/>
                <w:bCs/>
                <w:sz w:val="22"/>
                <w:szCs w:val="22"/>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ספירמן </w:t>
            </w:r>
            <w:r>
              <w:rPr>
                <w:rFonts w:ascii="Times New Roman" w:cs="Times New Roman" w:eastAsia="Times New Roman" w:hAnsi="Times New Roman"/>
                <w:b/>
                <w:bCs/>
                <w:sz w:val="22"/>
                <w:szCs w:val="22"/>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bidi/>
        <w:spacing w:after="200" w:before="60" w:line="276"/>
        <w:jc w:val="right"/>
      </w:pPr>
      <w:r>
        <w:rPr>
          <w:rFonts w:ascii="David" w:cs="David" w:eastAsia="David" w:hAnsi="David"/>
          <w:sz w:val="20"/>
          <w:szCs w:val="20"/>
          <w:rtl/>
        </w:rPr>
        <w:t xml:space="preserve">מקור: פלטי </w:t>
      </w:r>
      <w:r>
        <w:rPr>
          <w:rFonts w:ascii="Times New Roman" w:cs="Times New Roman" w:eastAsia="Times New Roman" w:hAnsi="Times New Roman"/>
          <w:sz w:val="20"/>
          <w:szCs w:val="20"/>
        </w:rPr>
        <w:t xml:space="preserve">Correlations</w:t>
      </w:r>
      <w:r>
        <w:rPr>
          <w:rFonts w:ascii="David" w:cs="David" w:eastAsia="David" w:hAnsi="David"/>
          <w:sz w:val="20"/>
          <w:szCs w:val="20"/>
          <w:rtl/>
        </w:rPr>
        <w:t xml:space="preserve"> ו-</w:t>
      </w:r>
      <w:r>
        <w:rPr>
          <w:rFonts w:ascii="Times New Roman" w:cs="Times New Roman" w:eastAsia="Times New Roman" w:hAnsi="Times New Roman"/>
          <w:sz w:val="20"/>
          <w:szCs w:val="20"/>
        </w:rPr>
        <w:t xml:space="preserve">Nonparametric Correlations</w:t>
      </w:r>
      <w:r>
        <w:rPr>
          <w:rFonts w:ascii="David" w:cs="David" w:eastAsia="David" w:hAnsi="David"/>
          <w:sz w:val="20"/>
          <w:szCs w:val="20"/>
          <w:rtl/>
        </w:rPr>
        <w:t xml:space="preserve">, נספח א'.</w:t>
      </w: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6</w:t>
      </w:r>
      <w:r>
        <w:rPr>
          <w:rFonts w:ascii="David" w:cs="David" w:eastAsia="David" w:hAnsi="David"/>
          <w:sz w:val="24"/>
          <w:szCs w:val="24"/>
          <w:rtl/>
        </w:rPr>
        <w:t xml:space="preserve"> ניתן ללמוד כי נמצא קשר חיובי מובהק בעוצמה בינונית בין רווחה נפשית ללגיטימיות </w:t>
      </w:r>
      <w:r>
        <w:rPr>
          <w:rFonts w:ascii="Times New Roman" w:cs="Times New Roman" w:eastAsia="Times New Roman" w:hAnsi="Times New Roman"/>
          <w:sz w:val="24"/>
          <w:szCs w:val="24"/>
        </w:rPr>
        <w:t xml:space="preserve">(r = 0.32, p &lt; 0.001)</w:t>
      </w:r>
      <w:r>
        <w:rPr>
          <w:rFonts w:ascii="David" w:cs="David" w:eastAsia="David" w:hAnsi="David"/>
          <w:sz w:val="24"/>
          <w:szCs w:val="24"/>
          <w:rtl/>
        </w:rPr>
        <w:t xml:space="preserve">: ככל שהשפוט מדווח על רווחה נפשית גבוהה יותר, כך הוא מייחס לסגל לגיטימיות גבוהה יותר, ולהפך. מתאם ספירמן (</w:t>
      </w:r>
      <w:r>
        <w:rPr>
          <w:rFonts w:ascii="Times New Roman" w:cs="Times New Roman" w:eastAsia="Times New Roman" w:hAnsi="Times New Roman"/>
          <w:sz w:val="24"/>
          <w:szCs w:val="24"/>
        </w:rPr>
        <w:t xml:space="preserve">0.34</w:t>
      </w:r>
      <w:r>
        <w:rPr>
          <w:rFonts w:ascii="David" w:cs="David" w:eastAsia="David" w:hAnsi="David"/>
          <w:sz w:val="24"/>
          <w:szCs w:val="24"/>
          <w:rtl/>
        </w:rPr>
        <w:t xml:space="preserve">) קרוב מאוד למתאם פירסון,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sz w:val="24"/>
          <w:szCs w:val="24"/>
        </w:rPr>
        <w:t xml:space="preserve">0.29</w:t>
      </w:r>
      <w:r>
        <w:rPr>
          <w:rFonts w:ascii="David" w:cs="David" w:eastAsia="David" w:hAnsi="David"/>
          <w:sz w:val="24"/>
          <w:szCs w:val="24"/>
          <w:rtl/>
        </w:rPr>
        <w:t xml:space="preserve">). ממצא זה מתיישב עם עבודתו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על מתן קול כמרכיב הצדק הפרוצדורלי, ועם הממצא ההולנדי שלפיו יחסי הסגל הם ממד האקלים הקשור ביותר לרווחה </w:t>
      </w:r>
      <w:r>
        <w:rPr>
          <w:rFonts w:ascii="Times New Roman" w:cs="Times New Roman" w:eastAsia="Times New Roman" w:hAnsi="Times New Roman"/>
          <w:sz w:val="24"/>
          <w:szCs w:val="24"/>
        </w:rPr>
        <w:t xml:space="preserve">(Van Ginneken et al., 2019)</w:t>
      </w:r>
      <w:r>
        <w:rPr>
          <w:rFonts w:ascii="David" w:cs="David" w:eastAsia="David" w:hAnsi="David"/>
          <w:sz w:val="24"/>
          <w:szCs w:val="24"/>
          <w:rtl/>
        </w:rPr>
        <w:t xml:space="preserve">. השערת המחקר אוששה. 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rPr>
        <w:t xml:space="preserve">לוח </w:t>
      </w:r>
      <w:r>
        <w:rPr>
          <w:rFonts w:ascii="Times New Roman" w:cs="Times New Roman" w:eastAsia="Times New Roman" w:hAnsi="Times New Roman"/>
          <w:b/>
          <w:bCs/>
          <w:sz w:val="24"/>
          <w:szCs w:val="24"/>
        </w:rPr>
        <w:t xml:space="preserve">7</w:t>
      </w:r>
      <w:r>
        <w:rPr>
          <w:rFonts w:ascii="David" w:cs="David" w:eastAsia="David" w:hAnsi="David"/>
          <w:b/>
          <w:bCs/>
          <w:sz w:val="24"/>
          <w:szCs w:val="24"/>
          <w:rtl/>
        </w:rPr>
        <w:t xml:space="preserve">: ממוצע הרווחה הנפשית לפי רמת הלגיטימיות </w:t>
      </w:r>
      <w:r>
        <w:rPr>
          <w:rFonts w:ascii="Times New Roman" w:cs="Times New Roman" w:eastAsia="Times New Roman" w:hAnsi="Times New Roman"/>
          <w:b/>
          <w:bCs/>
          <w:sz w:val="24"/>
          <w:szCs w:val="24"/>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עד </w:t>
            </w:r>
            <w:r>
              <w:rPr>
                <w:rFonts w:ascii="Times New Roman" w:cs="Times New Roman" w:eastAsia="Times New Roman" w:hAnsi="Times New Roman"/>
                <w:b w:val="false"/>
                <w:bCs w:val="false"/>
                <w:sz w:val="22"/>
                <w:szCs w:val="22"/>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sz w:val="22"/>
                <w:szCs w:val="22"/>
              </w:rPr>
              <w:t xml:space="preserve">3.51</w:t>
            </w:r>
            <w:r>
              <w:rPr>
                <w:rFonts w:ascii="David" w:cs="David" w:eastAsia="David" w:hAnsi="David"/>
                <w:b w:val="false"/>
                <w:bCs w:val="false"/>
                <w:sz w:val="22"/>
                <w:szCs w:val="22"/>
                <w:rtl/>
              </w:rPr>
              <w:t xml:space="preserve"> עד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rPr>
              <w:t xml:space="preserve">מעל </w:t>
            </w:r>
            <w:r>
              <w:rPr>
                <w:rFonts w:ascii="Times New Roman" w:cs="Times New Roman" w:eastAsia="Times New Roman" w:hAnsi="Times New Roman"/>
                <w:b w:val="false"/>
                <w:bCs w:val="false"/>
                <w:sz w:val="22"/>
                <w:szCs w:val="22"/>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w:t>
            </w:r>
          </w:p>
        </w:tc>
      </w:tr>
    </w:tbl>
    <w:p>
      <w:pPr>
        <w:bidi/>
        <w:spacing w:after="200" w:before="60" w:line="276"/>
        <w:jc w:val="right"/>
      </w:pPr>
    </w:p>
    <w:p>
      <w:pPr>
        <w:bidi/>
        <w:spacing w:after="120" w:line="360"/>
        <w:ind w:firstLine="567"/>
        <w:jc w:val="both"/>
      </w:pPr>
      <w:r>
        <w:rPr>
          <w:rFonts w:ascii="David" w:cs="David" w:eastAsia="David" w:hAnsi="David"/>
          <w:sz w:val="24"/>
          <w:szCs w:val="24"/>
          <w:rtl/>
        </w:rPr>
        <w:t xml:space="preserve">מלוח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sz w:val="24"/>
          <w:szCs w:val="24"/>
        </w:rPr>
        <w:t xml:space="preserve">3.34,</w:t>
      </w:r>
      <w:r>
        <w:rPr>
          <w:rFonts w:ascii="David" w:cs="David" w:eastAsia="David" w:hAnsi="David"/>
          <w:sz w:val="24"/>
          <w:szCs w:val="24"/>
          <w:rtl/>
        </w:rPr>
        <w:t xml:space="preserve"> ואילו אלו ברמה הגבוהה על </w:t>
      </w:r>
      <w:r>
        <w:rPr>
          <w:rFonts w:ascii="Times New Roman" w:cs="Times New Roman" w:eastAsia="Times New Roman" w:hAnsi="Times New Roman"/>
          <w:sz w:val="24"/>
          <w:szCs w:val="24"/>
        </w:rPr>
        <w:t xml:space="preserve">4.05,</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שהוא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פער בגודל כזה בין קבוצות שנבדלות רק בתפיסת הסגל דומה בעוצמתו לפער שמצאו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בין בתי סוהר שמעל ומתחת לסף היחסים שזיהו.</w:t>
      </w:r>
    </w:p>
    <w:p>
      <w:pPr>
        <w:bidi/>
        <w:spacing w:after="120" w:line="360"/>
        <w:ind w:firstLine="567"/>
        <w:jc w:val="both"/>
      </w:pPr>
      <w:r>
        <w:rPr>
          <w:rFonts w:ascii="David" w:cs="David" w:eastAsia="David" w:hAnsi="David"/>
          <w:sz w:val="24"/>
          <w:szCs w:val="24"/>
          <w:rtl/>
        </w:rPr>
        <w:t xml:space="preserve">המדרג שבלוח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מאפשר גם להעריך את גודל האפקט במונחים מוכרים: מתאם של </w:t>
      </w:r>
      <w:r>
        <w:rPr>
          <w:rFonts w:ascii="Times New Roman" w:cs="Times New Roman" w:eastAsia="Times New Roman" w:hAnsi="Times New Roman"/>
          <w:sz w:val="24"/>
          <w:szCs w:val="24"/>
        </w:rPr>
        <w:t xml:space="preserve">0.32</w:t>
      </w:r>
      <w:r>
        <w:rPr>
          <w:rFonts w:ascii="David" w:cs="David" w:eastAsia="David" w:hAnsi="David"/>
          <w:sz w:val="24"/>
          <w:szCs w:val="24"/>
          <w:rtl/>
        </w:rPr>
        <w:t xml:space="preserve"> פירושו שהרווחה הנפשית והלגיטימיות חולקות כעשרה אחוזים מהשונות. זהו קשר בינוני, קרוב בעוצמתו לקשרים שנמצאו בין מאפייני האסיר ללגיטימיות באנגליה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rPr>
        <w:t xml:space="preserve">דיון</w:t>
      </w:r>
    </w:p>
    <w:p>
      <w:pPr>
        <w:pStyle w:val="Heading2"/>
        <w:keepNext/>
        <w:bidi/>
        <w:spacing w:after="120" w:before="240" w:line="360"/>
        <w:jc w:val="right"/>
      </w:pPr>
      <w:r>
        <w:rPr>
          <w:rFonts w:ascii="David" w:cs="David" w:eastAsia="David" w:hAnsi="David"/>
          <w:b/>
          <w:bCs/>
          <w:sz w:val="28"/>
          <w:szCs w:val="28"/>
          <w:rtl/>
        </w:rPr>
        <w:t xml:space="preserve">רקע למחקר</w:t>
      </w:r>
    </w:p>
    <w:p>
      <w:pPr>
        <w:bidi/>
        <w:spacing w:after="120" w:line="360"/>
        <w:ind w:firstLine="567"/>
        <w:jc w:val="both"/>
      </w:pPr>
      <w:r>
        <w:rPr>
          <w:rFonts w:ascii="David" w:cs="David" w:eastAsia="David" w:hAnsi="David"/>
          <w:sz w:val="24"/>
          <w:szCs w:val="24"/>
          <w:rtl/>
        </w:rPr>
        <w:t xml:space="preserve">המחקר ביקש לבחון באיזו מידה קיים קשר בין רווחה נפשית לבין תפיסת הלגיטימיות של סגל הכליאה בקרב אסירים שפוטים בישראל. הוא נשען על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שלפיו הציות לסמכות נובע מתפיסתה כלגיטימית, ועל ספרות ההסתגלות למאסר שתיארה את הפגיעה ברווחה הנפשית כחלק בלתי נפרד מחוויית הכליאה </w:t>
      </w:r>
      <w:r>
        <w:rPr>
          <w:rFonts w:ascii="Times New Roman" w:cs="Times New Roman" w:eastAsia="Times New Roman" w:hAnsi="Times New Roman"/>
          <w:sz w:val="24"/>
          <w:szCs w:val="24"/>
        </w:rPr>
        <w:t xml:space="preserve">(Sykes, 1958; Liebling &amp; Maruna, 2005)</w:t>
      </w:r>
      <w:r>
        <w:rPr>
          <w:rFonts w:ascii="David" w:cs="David" w:eastAsia="David" w:hAnsi="David"/>
          <w:sz w:val="24"/>
          <w:szCs w:val="24"/>
          <w:rtl/>
        </w:rPr>
        <w:t xml:space="preserve">. הנתונים נלקחו מקובץ סינתטי המבוסס על סקר תנאי המחיה של שירות בתי הסוהר (ועקנין, </w:t>
      </w:r>
      <w:r>
        <w:rPr>
          <w:rFonts w:ascii="Times New Roman" w:cs="Times New Roman" w:eastAsia="Times New Roman" w:hAnsi="Times New Roman"/>
          <w:sz w:val="24"/>
          <w:szCs w:val="24"/>
        </w:rPr>
        <w:t xml:space="preserve">2024,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שני ממצאים עיקריים עלו. ראשית, נמצא קשר חיובי מובהק בעוצמה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כ</w:t>
      </w:r>
      <w:r>
        <w:rPr>
          <w:rFonts w:ascii="Times New Roman" w:cs="Times New Roman" w:eastAsia="Times New Roman" w:hAnsi="Times New Roman"/>
          <w:sz w:val="24"/>
          <w:szCs w:val="24"/>
        </w:rPr>
        <w:t xml:space="preserve">-80</w:t>
      </w:r>
      <w:r>
        <w:rPr>
          <w:rFonts w:ascii="David" w:cs="David" w:eastAsia="David" w:hAnsi="David"/>
          <w:sz w:val="24"/>
          <w:szCs w:val="24"/>
          <w:rt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rPr>
        <w:t xml:space="preserve">רווחה נפשית ולגיטימיות</w:t>
      </w:r>
    </w:p>
    <w:p>
      <w:pPr>
        <w:bidi/>
        <w:spacing w:after="120" w:line="360"/>
        <w:ind w:firstLine="567"/>
        <w:jc w:val="both"/>
      </w:pPr>
      <w:r>
        <w:rPr>
          <w:rFonts w:ascii="David" w:cs="David" w:eastAsia="David" w:hAnsi="David"/>
          <w:sz w:val="24"/>
          <w:szCs w:val="24"/>
          <w:rtl/>
        </w:rPr>
        <w:t xml:space="preserve">הקשר החיובי שנמצא עולה בקנה אחד עם המחקר ההולנדי, שבו יחס הוגן מצד הסוהרים ניבא פחות בעיות נפשיות בהמשך המאסר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ועם המחקר האוסטרלי, שבו צדק פרוצדורלי ניבא רווחה גבוהה יותר דרך איכות היחסים עם הסגל </w:t>
      </w:r>
      <w:r>
        <w:rPr>
          <w:rFonts w:ascii="Times New Roman" w:cs="Times New Roman" w:eastAsia="Times New Roman" w:hAnsi="Times New Roman"/>
          <w:sz w:val="24"/>
          <w:szCs w:val="24"/>
        </w:rPr>
        <w:t xml:space="preserve">(Sargeant et al., 2026)</w:t>
      </w:r>
      <w:r>
        <w:rPr>
          <w:rFonts w:ascii="David" w:cs="David" w:eastAsia="David" w:hAnsi="David"/>
          <w:sz w:val="24"/>
          <w:szCs w:val="24"/>
          <w:rtl/>
        </w:rPr>
        <w:t xml:space="preserve">.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הממצא שיחסי אמון עם הסגל הם המרכיב שמלווה את האסיר גם אחרי השחרור </w:t>
      </w:r>
      <w:r>
        <w:rPr>
          <w:rFonts w:ascii="Times New Roman" w:cs="Times New Roman" w:eastAsia="Times New Roman" w:hAnsi="Times New Roman"/>
          <w:sz w:val="24"/>
          <w:szCs w:val="24"/>
        </w:rPr>
        <w:t xml:space="preserve">(Horowitz &amp; Hyatt, 2025)</w:t>
      </w:r>
      <w:r>
        <w:rPr>
          <w:rFonts w:ascii="David" w:cs="David" w:eastAsia="David" w:hAnsi="David"/>
          <w:sz w:val="24"/>
          <w:szCs w:val="24"/>
          <w:rtl/>
        </w:rPr>
        <w:t xml:space="preserve">.</w:t>
      </w:r>
    </w:p>
    <w:p>
      <w:pPr>
        <w:bidi/>
        <w:spacing w:after="120" w:line="360"/>
        <w:ind w:firstLine="567"/>
        <w:jc w:val="both"/>
      </w:pPr>
      <w:r>
        <w:rPr>
          <w:rFonts w:ascii="David" w:cs="David" w:eastAsia="David" w:hAnsi="David"/>
          <w:sz w:val="24"/>
          <w:szCs w:val="24"/>
          <w:rtl/>
        </w:rPr>
        <w:t xml:space="preserve">הממצא מתיישב גם עם הטענה של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שממדים כמו כבוד, אנושיות ויחסים עם הסגל מתואמים עם רמת המצוקה של האסירים,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המדרג שנמצא בלוח </w:t>
      </w:r>
      <w:r>
        <w:rPr>
          <w:rFonts w:ascii="Times New Roman" w:cs="Times New Roman" w:eastAsia="Times New Roman" w:hAnsi="Times New Roman"/>
          <w:sz w:val="24"/>
          <w:szCs w:val="24"/>
        </w:rPr>
        <w:t xml:space="preserve">7,</w:t>
      </w:r>
      <w:r>
        <w:rPr>
          <w:rFonts w:ascii="David" w:cs="David" w:eastAsia="David" w:hAnsi="David"/>
          <w:sz w:val="24"/>
          <w:szCs w:val="24"/>
          <w:rtl/>
        </w:rPr>
        <w:t xml:space="preserve"> 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השפוטים ברמת הלגיטימיות הנמוכה לאלו ברמה הגבוהה, מקבל משמעות מעשית לאור הסף שזיהו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 מתחת לרמה מסוימת של יחסים בין סגל לאסירים עולים באופן חד שיעורי הפגיעה העצמית והאלימות. הממצא האמריקני שלפיו צדק פרוצדורלי קשור לפחות מחשבות אובדניות </w:t>
      </w:r>
      <w:r>
        <w:rPr>
          <w:rFonts w:ascii="Times New Roman" w:cs="Times New Roman" w:eastAsia="Times New Roman" w:hAnsi="Times New Roman"/>
          <w:sz w:val="24"/>
          <w:szCs w:val="24"/>
        </w:rPr>
        <w:t xml:space="preserve">(Abderhalden &amp; Alward, 2024)</w:t>
      </w:r>
      <w:r>
        <w:rPr>
          <w:rFonts w:ascii="David" w:cs="David" w:eastAsia="David" w:hAnsi="David"/>
          <w:sz w:val="24"/>
          <w:szCs w:val="24"/>
          <w:rtl/>
        </w:rPr>
        <w:t xml:space="preserve"> מצביע על אותו כיוון.</w:t>
      </w:r>
    </w:p>
    <w:p>
      <w:pPr>
        <w:bidi/>
        <w:spacing w:after="120" w:line="360"/>
        <w:ind w:firstLine="567"/>
        <w:jc w:val="both"/>
      </w:pPr>
      <w:r>
        <w:rPr>
          <w:rFonts w:ascii="David" w:cs="David" w:eastAsia="David" w:hAnsi="David"/>
          <w:sz w:val="24"/>
          <w:szCs w:val="24"/>
          <w:rt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sz w:val="24"/>
          <w:szCs w:val="24"/>
        </w:rPr>
        <w:t xml:space="preserve">30</w:t>
      </w:r>
      <w:r>
        <w:rPr>
          <w:rFonts w:ascii="David" w:cs="David" w:eastAsia="David" w:hAnsi="David"/>
          <w:sz w:val="24"/>
          <w:szCs w:val="24"/>
          <w:rtl/>
        </w:rPr>
        <w:t xml:space="preserve"> אחוזים משביעות הרצון מפעילויות השיקום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אך שם המנבא המרכזי היה שביעות הרצון מתנאי המחיה, שהיא קרובה מושגית למשתנה המנובא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rPr>
        <w:t xml:space="preserve">לגיטימיות בהקשר הישראלי</w:t>
      </w:r>
    </w:p>
    <w:p>
      <w:pPr>
        <w:bidi/>
        <w:spacing w:after="120" w:line="360"/>
        <w:ind w:firstLine="567"/>
        <w:jc w:val="both"/>
      </w:pPr>
      <w:r>
        <w:rPr>
          <w:rFonts w:ascii="David" w:cs="David" w:eastAsia="David" w:hAnsi="David"/>
          <w:sz w:val="24"/>
          <w:szCs w:val="24"/>
          <w:rt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(ועקנין,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sz w:val="24"/>
          <w:szCs w:val="24"/>
        </w:rPr>
        <w:t xml:space="preserve">4.24</w:t>
      </w:r>
      <w:r>
        <w:rPr>
          <w:rFonts w:ascii="David" w:cs="David" w:eastAsia="David" w:hAnsi="David"/>
          <w:sz w:val="24"/>
          <w:szCs w:val="24"/>
          <w:rtl/>
        </w:rPr>
        <w:t xml:space="preserve"> בסולם של </w:t>
      </w:r>
      <w:r>
        <w:rPr>
          <w:rFonts w:ascii="Times New Roman" w:cs="Times New Roman" w:eastAsia="Times New Roman" w:hAnsi="Times New Roman"/>
          <w:sz w:val="24"/>
          <w:szCs w:val="24"/>
        </w:rPr>
        <w:t xml:space="preserve">1</w:t>
      </w:r>
      <w:r>
        <w:rPr>
          <w:rFonts w:ascii="David" w:cs="David" w:eastAsia="David" w:hAnsi="David"/>
          <w:sz w:val="24"/>
          <w:szCs w:val="24"/>
          <w:rtl/>
        </w:rPr>
        <w:t xml:space="preserve"> עד </w:t>
      </w:r>
      <w:r>
        <w:rPr>
          <w:rFonts w:ascii="Times New Roman" w:cs="Times New Roman" w:eastAsia="Times New Roman" w:hAnsi="Times New Roman"/>
          <w:sz w:val="24"/>
          <w:szCs w:val="24"/>
        </w:rPr>
        <w:t xml:space="preserve">5,</w:t>
      </w:r>
      <w:r>
        <w:rPr>
          <w:rFonts w:ascii="David" w:cs="David" w:eastAsia="David" w:hAnsi="David"/>
          <w:sz w:val="24"/>
          <w:szCs w:val="24"/>
          <w:rtl/>
        </w:rPr>
        <w:t xml:space="preserve"> שונה מהתמונה בסלובניה, שם יותר ממחצית האסירים לא נתנו אמון בסגל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ממצאי ון הול ואחרים </w:t>
      </w:r>
      <w:r>
        <w:rPr>
          <w:rFonts w:ascii="Times New Roman" w:cs="Times New Roman" w:eastAsia="Times New Roman" w:hAnsi="Times New Roman"/>
          <w:sz w:val="24"/>
          <w:szCs w:val="24"/>
        </w:rPr>
        <w:t xml:space="preserve">(van Hall et al., 2025)</w:t>
      </w:r>
      <w:r>
        <w:rPr>
          <w:rFonts w:ascii="David" w:cs="David" w:eastAsia="David" w:hAnsi="David"/>
          <w:sz w:val="24"/>
          <w:szCs w:val="24"/>
          <w:rtl/>
        </w:rPr>
        <w:t xml:space="preserve"> בדבר ה"שפיכה" של הלגיטימיות אל מחוץ לחומות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rPr>
        <w:t xml:space="preserve">השלכות יישומיות</w:t>
      </w:r>
    </w:p>
    <w:p>
      <w:pPr>
        <w:bidi/>
        <w:spacing w:after="120" w:line="36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חמשת פריטי הרווחה שבשאלון הנוכחי, שמהימנותם </w:t>
      </w:r>
      <w:r>
        <w:rPr>
          <w:rFonts w:ascii="Times New Roman" w:cs="Times New Roman" w:eastAsia="Times New Roman" w:hAnsi="Times New Roman"/>
          <w:sz w:val="24"/>
          <w:szCs w:val="24"/>
        </w:rPr>
        <w:t xml:space="preserve">0.81,</w:t>
      </w:r>
      <w:r>
        <w:rPr>
          <w:rFonts w:ascii="David" w:cs="David" w:eastAsia="David" w:hAnsi="David"/>
          <w:sz w:val="24"/>
          <w:szCs w:val="24"/>
          <w:rt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sz w:val="24"/>
          <w:szCs w:val="24"/>
        </w:rPr>
        <w:t xml:space="preserve">3.5,</w:t>
      </w:r>
      <w:r>
        <w:rPr>
          <w:rFonts w:ascii="David" w:cs="David" w:eastAsia="David" w:hAnsi="David"/>
          <w:sz w:val="24"/>
          <w:szCs w:val="24"/>
          <w:rtl/>
        </w:rPr>
        <w:t xml:space="preserve"> יזוהו ויקבלו ליווי, בדומה לסף שהציעו אוטי וליבלינג </w:t>
      </w:r>
      <w:r>
        <w:rPr>
          <w:rFonts w:ascii="Times New Roman" w:cs="Times New Roman" w:eastAsia="Times New Roman" w:hAnsi="Times New Roman"/>
          <w:sz w:val="24"/>
          <w:szCs w:val="24"/>
        </w:rPr>
        <w:t xml:space="preserve">(Auty &amp; Liebling, 2024)</w:t>
      </w:r>
      <w:r>
        <w:rPr>
          <w:rFonts w:ascii="David" w:cs="David" w:eastAsia="David" w:hAnsi="David"/>
          <w:sz w:val="24"/>
          <w:szCs w:val="24"/>
          <w:rtl/>
        </w:rPr>
        <w:t xml:space="preserve">.</w:t>
      </w:r>
    </w:p>
    <w:p>
      <w:pPr>
        <w:pStyle w:val="Heading1"/>
        <w:pageBreakBefore/>
        <w:bidi/>
        <w:spacing w:after="240" w:before="0" w:line="360"/>
        <w:jc w:val="right"/>
      </w:pPr>
      <w:r>
        <w:rPr>
          <w:rFonts w:ascii="David" w:cs="David" w:eastAsia="David" w:hAnsi="David"/>
          <w:b/>
          <w:bCs/>
          <w:sz w:val="32"/>
          <w:szCs w:val="32"/>
          <w:rtl/>
        </w:rPr>
        <w:t xml:space="preserve">מגבלות המחקר</w:t>
      </w:r>
    </w:p>
    <w:p>
      <w:pPr>
        <w:bidi/>
        <w:spacing w:after="120" w:line="36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sz w:val="24"/>
          <w:szCs w:val="24"/>
        </w:rPr>
        <w:t xml:space="preserve">p</w:t>
      </w:r>
      <w:r>
        <w:rPr>
          <w:rFonts w:ascii="David" w:cs="David" w:eastAsia="David" w:hAnsi="David"/>
          <w:sz w:val="24"/>
          <w:szCs w:val="24"/>
          <w:rtl/>
        </w:rPr>
        <w:t xml:space="preserve"> מושפעים מרעש הסינתזה (ועקנין,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אמיתיים.</w:t>
      </w:r>
    </w:p>
    <w:p>
      <w:pPr>
        <w:bidi/>
        <w:spacing w:after="120" w:line="36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המחקרים ההולנדי והאוסטרלי הראו שאפשר לענות על שאלה זו רק במערך אורך עם שתי מדידות לפחות </w:t>
      </w:r>
      <w:r>
        <w:rPr>
          <w:rFonts w:ascii="Times New Roman" w:cs="Times New Roman" w:eastAsia="Times New Roman" w:hAnsi="Times New Roman"/>
          <w:sz w:val="24"/>
          <w:szCs w:val="24"/>
        </w:rPr>
        <w:t xml:space="preserve">(Beijersbergen et al., 2014; Sargeant et al., 2026)</w:t>
      </w:r>
      <w:r>
        <w:rPr>
          <w:rFonts w:ascii="David" w:cs="David" w:eastAsia="David" w:hAnsi="David"/>
          <w:sz w:val="24"/>
          <w:szCs w:val="24"/>
          <w:rt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sz w:val="24"/>
          <w:szCs w:val="24"/>
        </w:rPr>
        <w:t xml:space="preserve">0.67</w:t>
      </w:r>
      <w:r>
        <w:rPr>
          <w:rFonts w:ascii="David" w:cs="David" w:eastAsia="David" w:hAnsi="David"/>
          <w:sz w:val="24"/>
          <w:szCs w:val="24"/>
          <w:rtl/>
        </w:rPr>
        <w:t xml:space="preserve">) נמוכה מעט מהמקובל, וסולם של שלושה פריטים אינו מכסה את כל מרכיבי הצדק הפרוצדורלי.</w:t>
      </w:r>
    </w:p>
    <w:p>
      <w:pPr>
        <w:bidi/>
        <w:spacing w:after="120" w:line="36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rPr>
        <w:t xml:space="preserve">סיכום</w:t>
      </w:r>
    </w:p>
    <w:p>
      <w:pPr>
        <w:bidi/>
        <w:spacing w:after="120" w:line="36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w:t>
      </w:r>
      <w:r>
        <w:rPr>
          <w:rFonts w:ascii="Times New Roman" w:cs="Times New Roman" w:eastAsia="Times New Roman" w:hAnsi="Times New Roman"/>
          <w:sz w:val="24"/>
          <w:szCs w:val="24"/>
        </w:rPr>
        <w:t xml:space="preserve">2,379</w:t>
      </w:r>
      <w:r>
        <w:rPr>
          <w:rFonts w:ascii="David" w:cs="David" w:eastAsia="David" w:hAnsi="David"/>
          <w:sz w:val="24"/>
          <w:szCs w:val="24"/>
          <w:rt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בעוצמה בינונית בין רווחה נפשית ללגיטימיות, בכל שלושת פריטי הסולם, ופער של כ</w:t>
      </w:r>
      <w:r>
        <w:rPr>
          <w:rFonts w:ascii="Times New Roman" w:cs="Times New Roman" w:eastAsia="Times New Roman" w:hAnsi="Times New Roman"/>
          <w:sz w:val="24"/>
          <w:szCs w:val="24"/>
        </w:rPr>
        <w:t xml:space="preserve">-0.7</w:t>
      </w:r>
      <w:r>
        <w:rPr>
          <w:rFonts w:ascii="David" w:cs="David" w:eastAsia="David" w:hAnsi="David"/>
          <w:sz w:val="24"/>
          <w:szCs w:val="24"/>
          <w:rt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אמיתיים ובמערך אורך.</w:t>
      </w:r>
    </w:p>
    <w:p>
      <w:pPr>
        <w:pStyle w:val="Heading1"/>
        <w:pageBreakBefore/>
        <w:bidi/>
        <w:spacing w:after="240" w:before="0" w:line="360"/>
        <w:jc w:val="right"/>
      </w:pPr>
      <w:r>
        <w:rPr>
          <w:rFonts w:ascii="David" w:cs="David" w:eastAsia="David" w:hAnsi="David"/>
          <w:b/>
          <w:bCs/>
          <w:sz w:val="32"/>
          <w:szCs w:val="32"/>
          <w:rtl/>
        </w:rPr>
        <w:t xml:space="preserve">גילוי נאות</w:t>
      </w:r>
    </w:p>
    <w:p>
      <w:pPr>
        <w:bidi/>
        <w:spacing w:after="120" w:line="36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ועזרה באיתור מקורות. בחירת שאלות המחקר, קריאת המקורות, הרצת הניתוחים, פירוש הממצאים והמסקנות הם של הכותבות.</w:t>
      </w:r>
    </w:p>
    <w:p>
      <w:pPr>
        <w:bidi/>
        <w:spacing w:after="120" w:line="36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והריצה את הניתוחים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360"/>
        <w:jc w:val="right"/>
      </w:pPr>
      <w:r>
        <w:rPr>
          <w:rFonts w:ascii="David" w:cs="David" w:eastAsia="David" w:hAnsi="David"/>
          <w:b/>
          <w:bCs/>
          <w:sz w:val="32"/>
          <w:szCs w:val="32"/>
          <w:rtl/>
        </w:rPr>
        <w:t xml:space="preserve">ביבליוגרפיה</w:t>
      </w:r>
    </w:p>
    <w:p>
      <w:pPr>
        <w:bidi/>
        <w:spacing w:after="120" w:line="360"/>
        <w:ind w:start="709" w:hanging="709"/>
        <w:jc w:val="right"/>
      </w:pPr>
      <w:r>
        <w:rPr>
          <w:rFonts w:ascii="David" w:cs="David" w:eastAsia="David" w:hAnsi="David"/>
          <w:sz w:val="24"/>
          <w:szCs w:val="24"/>
          <w:rtl/>
        </w:rPr>
        <w:t xml:space="preserve">בן צבי, ק' וכרמל, ת' (</w:t>
      </w:r>
      <w:r>
        <w:rPr>
          <w:rFonts w:ascii="Times New Roman" w:cs="Times New Roman" w:eastAsia="Times New Roman" w:hAnsi="Times New Roman"/>
          <w:sz w:val="24"/>
          <w:szCs w:val="24"/>
        </w:rPr>
        <w:t xml:space="preserve">2013</w:t>
      </w:r>
      <w:r>
        <w:rPr>
          <w:rFonts w:ascii="David" w:cs="David" w:eastAsia="David" w:hAnsi="David"/>
          <w:sz w:val="24"/>
          <w:szCs w:val="24"/>
          <w:rtl/>
        </w:rPr>
        <w:t xml:space="preserve">). אלימות כלואה: הקשר בין רמת צפיפות בבתי סוהר פליליים בישראל לרמת האלימות הפיזית. צוהר לבית הסוהר, </w:t>
      </w: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28-44.</w:t>
      </w:r>
    </w:p>
    <w:p>
      <w:pPr>
        <w:bidi/>
        <w:spacing w:after="120" w:line="360"/>
        <w:ind w:start="709" w:hanging="709"/>
        <w:jc w:val="right"/>
      </w:pPr>
      <w:r>
        <w:rPr>
          <w:rFonts w:ascii="David" w:cs="David" w:eastAsia="David" w:hAnsi="David"/>
          <w:sz w:val="24"/>
          <w:szCs w:val="24"/>
          <w:rtl/>
        </w:rPr>
        <w:t xml:space="preserve">דוידסקו, ע' וולק, ד' (</w:t>
      </w:r>
      <w:r>
        <w:rPr>
          <w:rFonts w:ascii="Times New Roman" w:cs="Times New Roman" w:eastAsia="Times New Roman" w:hAnsi="Times New Roman"/>
          <w:sz w:val="24"/>
          <w:szCs w:val="24"/>
        </w:rPr>
        <w:t xml:space="preserve">2015</w:t>
      </w:r>
      <w:r>
        <w:rPr>
          <w:rFonts w:ascii="David" w:cs="David" w:eastAsia="David" w:hAnsi="David"/>
          <w:sz w:val="24"/>
          <w:szCs w:val="24"/>
          <w:rtl/>
        </w:rPr>
        <w:t xml:space="preserve">). תנאי כליאה של אסירים: בין רווחה לנוקשות [סקירת ספרות, פרסום מס' </w:t>
      </w:r>
      <w:r>
        <w:rPr>
          <w:rFonts w:ascii="Times New Roman" w:cs="Times New Roman" w:eastAsia="Times New Roman" w:hAnsi="Times New Roman"/>
          <w:sz w:val="24"/>
          <w:szCs w:val="24"/>
        </w:rPr>
        <w:t xml:space="preserve">LR-02-2015</w:t>
      </w:r>
      <w:r>
        <w:rPr>
          <w:rFonts w:ascii="David" w:cs="David" w:eastAsia="David" w:hAnsi="David"/>
          <w:sz w:val="24"/>
          <w:szCs w:val="24"/>
          <w:rtl/>
        </w:rPr>
        <w:t xml:space="preserve">]. שירות בתי הסוהר, מחלקת מחקר ואסטרטגיה.</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2024</w:t>
      </w:r>
      <w:r>
        <w:rPr>
          <w:rFonts w:ascii="David" w:cs="David" w:eastAsia="David" w:hAnsi="David"/>
          <w:sz w:val="24"/>
          <w:szCs w:val="24"/>
          <w:rtl/>
        </w:rPr>
        <w:t xml:space="preserve">). בין שיקום ללגיטימיות: התפקיד של לגיטימיות בקשר שבין שביעות רצון מתנאי המחיה לשביעות רצון מפעילות חטו"ש בקרב כלואים פליליים בישראל. צוהר לבית הסוהר: מחקרים בכליאה, ביטחון ואכיפה, </w:t>
      </w: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62-77.</w:t>
      </w:r>
    </w:p>
    <w:p>
      <w:pPr>
        <w:bidi/>
        <w:spacing w:after="120" w:line="360"/>
        <w:ind w:start="709" w:hanging="709"/>
        <w:jc w:val="right"/>
      </w:pPr>
      <w:r>
        <w:rPr>
          <w:rFonts w:ascii="David" w:cs="David" w:eastAsia="David" w:hAnsi="David"/>
          <w:sz w:val="24"/>
          <w:szCs w:val="24"/>
          <w:rtl/>
        </w:rPr>
        <w:t xml:space="preserve">ועקנין, י'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סקר תנאי מחיה באגפים פליליים: מערך נתונים סינתטי להוראה, ספר משתנים ובנק שאלות מחקר [חומרי קורס]. סמינריון תנאי כליאה של אסירים פליליים בישראל ובעולם, המכללה האקדמית אשקלון.</w:t>
      </w:r>
    </w:p>
    <w:p>
      <w:pPr>
        <w:bidi/>
        <w:spacing w:after="120" w:line="360"/>
        <w:ind w:start="709" w:hanging="709"/>
        <w:jc w:val="right"/>
      </w:pPr>
      <w:r>
        <w:rPr>
          <w:rFonts w:ascii="David" w:cs="David" w:eastAsia="David" w:hAnsi="David"/>
          <w:sz w:val="24"/>
          <w:szCs w:val="24"/>
          <w:rtl/>
        </w:rPr>
        <w:t xml:space="preserve">יכימוביץ-כהן, נ' (</w:t>
      </w:r>
      <w:r>
        <w:rPr>
          <w:rFonts w:ascii="Times New Roman" w:cs="Times New Roman" w:eastAsia="Times New Roman" w:hAnsi="Times New Roman"/>
          <w:sz w:val="24"/>
          <w:szCs w:val="24"/>
        </w:rPr>
        <w:t xml:space="preserve">2020</w:t>
      </w:r>
      <w:r>
        <w:rPr>
          <w:rFonts w:ascii="David" w:cs="David" w:eastAsia="David" w:hAnsi="David"/>
          <w:sz w:val="24"/>
          <w:szCs w:val="24"/>
          <w:rtl/>
        </w:rPr>
        <w:t xml:space="preserve">). סוגיות בכליאה בישראל. הכנסת, מרכז המחקר והמידע.</w:t>
      </w:r>
    </w:p>
    <w:p>
      <w:pPr>
        <w:spacing w:after="120" w:line="360"/>
        <w:ind w:left="709" w:hanging="709"/>
        <w:jc w:val="left"/>
      </w:pPr>
      <w:r>
        <w:rPr>
          <w:rFonts w:ascii="Times New Roman" w:cs="Times New Roman" w:eastAsia="Times New Roman" w:hAnsi="Times New Roman"/>
          <w:i w:val="false"/>
          <w:iCs w:val="false"/>
          <w:sz w:val="24"/>
          <w:szCs w:val="24"/>
        </w:rPr>
        <w:t xml:space="preserve">Abderhalden, F. P., &amp; Alward, L. (2024). Jailed individuals' perceptions of procedural justice and suicidal ideation: An empirical examination. </w:t>
      </w:r>
      <w:r>
        <w:rPr>
          <w:rFonts w:ascii="Times New Roman" w:cs="Times New Roman" w:eastAsia="Times New Roman" w:hAnsi="Times New Roman"/>
          <w:i/>
          <w:iCs/>
          <w:sz w:val="24"/>
          <w:szCs w:val="24"/>
        </w:rPr>
        <w:t xml:space="preserve">Crime &amp; Delinquency, 70</w:t>
      </w:r>
      <w:r>
        <w:rPr>
          <w:rFonts w:ascii="Times New Roman" w:cs="Times New Roman" w:eastAsia="Times New Roman" w:hAnsi="Times New Roman"/>
          <w:i w:val="false"/>
          <w:iCs w:val="false"/>
          <w:sz w:val="24"/>
          <w:szCs w:val="24"/>
        </w:rPr>
        <w:t xml:space="preserve">(2), 414-440. https://doi.org/10.1177/00111287221106942</w:t>
      </w:r>
    </w:p>
    <w:p>
      <w:pPr>
        <w:spacing w:after="120" w:line="360"/>
        <w:ind w:left="709" w:hanging="709"/>
        <w:jc w:val="left"/>
      </w:pPr>
      <w:r>
        <w:rPr>
          <w:rFonts w:ascii="Times New Roman" w:cs="Times New Roman" w:eastAsia="Times New Roman" w:hAnsi="Times New Roman"/>
          <w:i w:val="false"/>
          <w:iCs w:val="false"/>
          <w:sz w:val="24"/>
          <w:szCs w:val="24"/>
        </w:rPr>
        <w:t xml:space="preserve">Auty, K. M., &amp; Liebling, A. (2024). What is a 'good enough' prison? An empirical analysis of key thresholds using prison moral quality data. </w:t>
      </w:r>
      <w:r>
        <w:rPr>
          <w:rFonts w:ascii="Times New Roman" w:cs="Times New Roman" w:eastAsia="Times New Roman" w:hAnsi="Times New Roman"/>
          <w:i/>
          <w:iCs/>
          <w:sz w:val="24"/>
          <w:szCs w:val="24"/>
        </w:rPr>
        <w:t xml:space="preserve">European Journal of Criminology, 21</w:t>
      </w:r>
      <w:r>
        <w:rPr>
          <w:rFonts w:ascii="Times New Roman" w:cs="Times New Roman" w:eastAsia="Times New Roman" w:hAnsi="Times New Roman"/>
          <w:i w:val="false"/>
          <w:iCs w:val="false"/>
          <w:sz w:val="24"/>
          <w:szCs w:val="24"/>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Eichelsheim, V. I., van der Laan, P. H., &amp; Nieuwbeerta, P. (2014). Procedural justice and prisoners' mental health problems: A longitudinal study. </w:t>
      </w:r>
      <w:r>
        <w:rPr>
          <w:rFonts w:ascii="Times New Roman" w:cs="Times New Roman" w:eastAsia="Times New Roman" w:hAnsi="Times New Roman"/>
          <w:i/>
          <w:iCs/>
          <w:sz w:val="24"/>
          <w:szCs w:val="24"/>
        </w:rPr>
        <w:t xml:space="preserve">Criminal Behaviour and Mental Health, 24</w:t>
      </w:r>
      <w:r>
        <w:rPr>
          <w:rFonts w:ascii="Times New Roman" w:cs="Times New Roman" w:eastAsia="Times New Roman" w:hAnsi="Times New Roman"/>
          <w:i w:val="false"/>
          <w:iCs w:val="false"/>
          <w:sz w:val="24"/>
          <w:szCs w:val="24"/>
        </w:rPr>
        <w:t xml:space="preserve">(2), 100-112. https://doi.org/10.1002/cbm.1881</w:t>
      </w:r>
    </w:p>
    <w:p>
      <w:pPr>
        <w:spacing w:after="120" w:line="36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sz w:val="24"/>
          <w:szCs w:val="24"/>
        </w:rPr>
        <w:t xml:space="preserve">Horowitz, V. L., &amp; Hyatt, J. M. (2025). Trusting relationships in prison and well-being after release. </w:t>
      </w:r>
      <w:r>
        <w:rPr>
          <w:rFonts w:ascii="Times New Roman" w:cs="Times New Roman" w:eastAsia="Times New Roman" w:hAnsi="Times New Roman"/>
          <w:i/>
          <w:iCs/>
          <w:sz w:val="24"/>
          <w:szCs w:val="24"/>
        </w:rPr>
        <w:t xml:space="preserve">International Journal of Law, Crime and Justice, 82</w:t>
      </w:r>
      <w:r>
        <w:rPr>
          <w:rFonts w:ascii="Times New Roman" w:cs="Times New Roman" w:eastAsia="Times New Roman" w:hAnsi="Times New Roman"/>
          <w:i w:val="false"/>
          <w:iCs w:val="false"/>
          <w:sz w:val="24"/>
          <w:szCs w:val="24"/>
        </w:rPr>
        <w:t xml:space="preserve">, Article 100755. https://www.sciencedirect.com/science/article/pii/S2666560325001513</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(2004). </w:t>
      </w:r>
      <w:r>
        <w:rPr>
          <w:rFonts w:ascii="Times New Roman" w:cs="Times New Roman" w:eastAsia="Times New Roman" w:hAnsi="Times New Roman"/>
          <w:i/>
          <w:iCs/>
          <w:sz w:val="24"/>
          <w:szCs w:val="24"/>
        </w:rPr>
        <w:t xml:space="preserve">Prisons and their moral performance: A study of values, quality, and prison life</w:t>
      </w:r>
      <w:r>
        <w:rPr>
          <w:rFonts w:ascii="Times New Roman" w:cs="Times New Roman" w:eastAsia="Times New Roman" w:hAnsi="Times New Roman"/>
          <w:i w:val="false"/>
          <w:iCs w:val="false"/>
          <w:sz w:val="24"/>
          <w:szCs w:val="24"/>
        </w:rPr>
        <w:t xml:space="preserve">. Oxford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Liebling, A., &amp; Maruna, S. (Eds.). (2005). </w:t>
      </w:r>
      <w:r>
        <w:rPr>
          <w:rFonts w:ascii="Times New Roman" w:cs="Times New Roman" w:eastAsia="Times New Roman" w:hAnsi="Times New Roman"/>
          <w:i/>
          <w:iCs/>
          <w:sz w:val="24"/>
          <w:szCs w:val="24"/>
        </w:rPr>
        <w:t xml:space="preserve">The effects of imprisonment</w:t>
      </w:r>
      <w:r>
        <w:rPr>
          <w:rFonts w:ascii="Times New Roman" w:cs="Times New Roman" w:eastAsia="Times New Roman" w:hAnsi="Times New Roman"/>
          <w:i w:val="false"/>
          <w:iCs w:val="false"/>
          <w:sz w:val="24"/>
          <w:szCs w:val="24"/>
        </w:rPr>
        <w:t xml:space="preserve">. Willan.</w:t>
      </w:r>
    </w:p>
    <w:p>
      <w:pPr>
        <w:spacing w:after="120" w:line="36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sz w:val="24"/>
          <w:szCs w:val="24"/>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sz w:val="24"/>
          <w:szCs w:val="24"/>
        </w:rPr>
        <w:t xml:space="preserve">Criminal Justice and Behavior</w:t>
      </w:r>
      <w:r>
        <w:rPr>
          <w:rFonts w:ascii="Times New Roman" w:cs="Times New Roman" w:eastAsia="Times New Roman" w:hAnsi="Times New Roman"/>
          <w:i w:val="false"/>
          <w:iCs w:val="false"/>
          <w:sz w:val="24"/>
          <w:szCs w:val="24"/>
        </w:rPr>
        <w:t xml:space="preserve">. Advance online publication. https://doi.org/10.1177/00938548251400649</w:t>
      </w:r>
    </w:p>
    <w:p>
      <w:pPr>
        <w:spacing w:after="120" w:line="360"/>
        <w:ind w:left="709" w:hanging="709"/>
        <w:jc w:val="left"/>
      </w:pPr>
      <w:r>
        <w:rPr>
          <w:rFonts w:ascii="Times New Roman" w:cs="Times New Roman" w:eastAsia="Times New Roman" w:hAnsi="Times New Roman"/>
          <w:i w:val="false"/>
          <w:iCs w:val="false"/>
          <w:sz w:val="24"/>
          <w:szCs w:val="24"/>
        </w:rPr>
        <w:t xml:space="preserve">Sparks, J. R., &amp; Bottoms, A. E. (1995). Legitimacy and order in prisons. </w:t>
      </w:r>
      <w:r>
        <w:rPr>
          <w:rFonts w:ascii="Times New Roman" w:cs="Times New Roman" w:eastAsia="Times New Roman" w:hAnsi="Times New Roman"/>
          <w:i/>
          <w:iCs/>
          <w:sz w:val="24"/>
          <w:szCs w:val="24"/>
        </w:rPr>
        <w:t xml:space="preserve">British Journal of Sociology, 46</w:t>
      </w:r>
      <w:r>
        <w:rPr>
          <w:rFonts w:ascii="Times New Roman" w:cs="Times New Roman" w:eastAsia="Times New Roman" w:hAnsi="Times New Roman"/>
          <w:i w:val="false"/>
          <w:iCs w:val="false"/>
          <w:sz w:val="24"/>
          <w:szCs w:val="24"/>
        </w:rPr>
        <w:t xml:space="preserve">(1), 45-62. https://doi.org/10.2307/591622</w:t>
      </w:r>
    </w:p>
    <w:p>
      <w:pPr>
        <w:spacing w:after="120" w:line="360"/>
        <w:ind w:left="709" w:hanging="709"/>
        <w:jc w:val="left"/>
      </w:pPr>
      <w:r>
        <w:rPr>
          <w:rFonts w:ascii="Times New Roman" w:cs="Times New Roman" w:eastAsia="Times New Roman" w:hAnsi="Times New Roman"/>
          <w:i w:val="false"/>
          <w:iCs w:val="false"/>
          <w:sz w:val="24"/>
          <w:szCs w:val="24"/>
        </w:rPr>
        <w:t xml:space="preserve">Sykes, G. M. (1958). </w:t>
      </w:r>
      <w:r>
        <w:rPr>
          <w:rFonts w:ascii="Times New Roman" w:cs="Times New Roman" w:eastAsia="Times New Roman" w:hAnsi="Times New Roman"/>
          <w:i/>
          <w:iCs/>
          <w:sz w:val="24"/>
          <w:szCs w:val="24"/>
        </w:rPr>
        <w:t xml:space="preserve">The society of captives: A study of a maximum security prison</w:t>
      </w:r>
      <w:r>
        <w:rPr>
          <w:rFonts w:ascii="Times New Roman" w:cs="Times New Roman" w:eastAsia="Times New Roman" w:hAnsi="Times New Roman"/>
          <w:i w:val="false"/>
          <w:iCs w:val="false"/>
          <w:sz w:val="24"/>
          <w:szCs w:val="24"/>
        </w:rPr>
        <w:t xml:space="preserve">. Princeton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Tyler, T. R. (1990). </w:t>
      </w:r>
      <w:r>
        <w:rPr>
          <w:rFonts w:ascii="Times New Roman" w:cs="Times New Roman" w:eastAsia="Times New Roman" w:hAnsi="Times New Roman"/>
          <w:i/>
          <w:iCs/>
          <w:sz w:val="24"/>
          <w:szCs w:val="24"/>
        </w:rPr>
        <w:t xml:space="preserve">Why people obey the law</w:t>
      </w:r>
      <w:r>
        <w:rPr>
          <w:rFonts w:ascii="Times New Roman" w:cs="Times New Roman" w:eastAsia="Times New Roman" w:hAnsi="Times New Roman"/>
          <w:i w:val="false"/>
          <w:iCs w:val="false"/>
          <w:sz w:val="24"/>
          <w:szCs w:val="24"/>
        </w:rPr>
        <w:t xml:space="preserve">. Yale University Press.</w:t>
      </w:r>
    </w:p>
    <w:p>
      <w:pPr>
        <w:spacing w:after="120" w:line="360"/>
        <w:ind w:left="709" w:hanging="709"/>
        <w:jc w:val="left"/>
      </w:pPr>
      <w:r>
        <w:rPr>
          <w:rFonts w:ascii="Times New Roman" w:cs="Times New Roman" w:eastAsia="Times New Roman" w:hAnsi="Times New Roman"/>
          <w:i w:val="false"/>
          <w:iCs w:val="false"/>
          <w:sz w:val="24"/>
          <w:szCs w:val="24"/>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sz w:val="24"/>
          <w:szCs w:val="24"/>
        </w:rPr>
        <w:t xml:space="preserve">Criminal Justice and Behavior, 46</w:t>
      </w:r>
      <w:r>
        <w:rPr>
          <w:rFonts w:ascii="Times New Roman" w:cs="Times New Roman" w:eastAsia="Times New Roman" w:hAnsi="Times New Roman"/>
          <w:i w:val="false"/>
          <w:iCs w:val="false"/>
          <w:sz w:val="24"/>
          <w:szCs w:val="24"/>
        </w:rPr>
        <w:t xml:space="preserve">(10), 1385-1404. https://doi.org/10.1177/0093854819867373</w:t>
      </w:r>
    </w:p>
    <w:p>
      <w:pPr>
        <w:spacing w:after="120" w:line="360"/>
        <w:ind w:left="709" w:hanging="709"/>
        <w:jc w:val="left"/>
      </w:pPr>
      <w:r>
        <w:rPr>
          <w:rFonts w:ascii="Times New Roman" w:cs="Times New Roman" w:eastAsia="Times New Roman" w:hAnsi="Times New Roman"/>
          <w:i w:val="false"/>
          <w:iCs w:val="false"/>
          <w:sz w:val="24"/>
          <w:szCs w:val="24"/>
        </w:rPr>
        <w:t xml:space="preserve">van Hall, M., Baker, T., Nieuwbeerta, P., &amp; Dirkzwager, A. J. E. (2025). Procedural justice spill-over and recidivism after release from prison. </w:t>
      </w:r>
      <w:r>
        <w:rPr>
          <w:rFonts w:ascii="Times New Roman" w:cs="Times New Roman" w:eastAsia="Times New Roman" w:hAnsi="Times New Roman"/>
          <w:i/>
          <w:iCs/>
          <w:sz w:val="24"/>
          <w:szCs w:val="24"/>
        </w:rPr>
        <w:t xml:space="preserve">Crime &amp; Delinquency</w:t>
      </w:r>
      <w:r>
        <w:rPr>
          <w:rFonts w:ascii="Times New Roman" w:cs="Times New Roman" w:eastAsia="Times New Roman" w:hAnsi="Times New Roman"/>
          <w:i w:val="false"/>
          <w:iCs w:val="false"/>
          <w:sz w:val="24"/>
          <w:szCs w:val="24"/>
        </w:rPr>
        <w:t xml:space="preserve">. Advance online publication. https://doi.org/10.1177/00111287241248104</w:t>
      </w:r>
    </w:p>
    <w:p>
      <w:pPr>
        <w:pStyle w:val="Heading1"/>
        <w:pageBreakBefore/>
        <w:bidi/>
        <w:spacing w:after="240" w:before="0" w:line="360"/>
        <w:jc w:val="right"/>
      </w:pPr>
      <w:r>
        <w:rPr>
          <w:rFonts w:ascii="David" w:cs="David" w:eastAsia="David" w:hAnsi="David"/>
          <w:b/>
          <w:bCs/>
          <w:sz w:val="32"/>
          <w:szCs w:val="32"/>
          <w:rtl/>
        </w:rPr>
        <w:t xml:space="preserve">נספחים</w:t>
      </w:r>
    </w:p>
    <w:p>
      <w:pPr>
        <w:pStyle w:val="Heading1"/>
        <w:bidi/>
        <w:spacing w:after="240" w:before="0" w:line="360"/>
        <w:jc w:val="right"/>
      </w:pPr>
      <w:r>
        <w:rPr>
          <w:rFonts w:ascii="David" w:cs="David" w:eastAsia="David" w:hAnsi="David"/>
          <w:b/>
          <w:bCs/>
          <w:sz w:val="32"/>
          <w:szCs w:val="32"/>
          <w:rtl/>
        </w:rPr>
        <w:t xml:space="preserve">נספח א'</w:t>
      </w:r>
    </w:p>
    <w:p>
      <w:pPr>
        <w:bidi/>
        <w:spacing w:after="120" w:line="360"/>
        <w:jc w:val="both"/>
      </w:pPr>
      <w:r>
        <w:rPr>
          <w:rFonts w:ascii="David" w:cs="David" w:eastAsia="David" w:hAnsi="David"/>
          <w:sz w:val="24"/>
          <w:szCs w:val="24"/>
          <w:rtl/>
        </w:rPr>
        <w:t xml:space="preserve">פלטי </w:t>
      </w:r>
      <w:r>
        <w:rPr>
          <w:rFonts w:ascii="Times New Roman" w:cs="Times New Roman" w:eastAsia="Times New Roman" w:hAnsi="Times New Roman"/>
          <w:sz w:val="24"/>
          <w:szCs w:val="24"/>
        </w:rPr>
        <w:t xml:space="preserve">SPSS</w:t>
      </w:r>
    </w:p>
    <w:p>
      <w:pPr>
        <w:bidi/>
        <w:spacing w:after="120" w:line="360"/>
        <w:jc w:val="both"/>
      </w:pPr>
      <w:r>
        <w:rPr>
          <w:rFonts w:ascii="David" w:cs="David" w:eastAsia="David" w:hAnsi="David"/>
          <w:sz w:val="24"/>
          <w:szCs w:val="24"/>
          <w:rtl/>
        </w:rPr>
        <w:t xml:space="preserve">להלן הלוחות המרכזיים מפלט ה-</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(הרצה מיום </w:t>
      </w:r>
      <w:r>
        <w:rPr>
          <w:rFonts w:ascii="Times New Roman" w:cs="Times New Roman" w:eastAsia="Times New Roman" w:hAnsi="Times New Roman"/>
          <w:sz w:val="24"/>
          <w:szCs w:val="24"/>
        </w:rPr>
        <w:t xml:space="preserve">8</w:t>
      </w:r>
      <w:r>
        <w:rPr>
          <w:rFonts w:ascii="David" w:cs="David" w:eastAsia="David" w:hAnsi="David"/>
          <w:sz w:val="24"/>
          <w:szCs w:val="24"/>
          <w:rtl/>
        </w:rPr>
        <w:t xml:space="preserve"> בספטמבר </w:t>
      </w:r>
      <w:r>
        <w:rPr>
          <w:rFonts w:ascii="Times New Roman" w:cs="Times New Roman" w:eastAsia="Times New Roman" w:hAnsi="Times New Roman"/>
          <w:sz w:val="24"/>
          <w:szCs w:val="24"/>
        </w:rPr>
        <w:t xml:space="preserve">2026</w:t>
      </w:r>
      <w:r>
        <w:rPr>
          <w:rFonts w:ascii="David" w:cs="David" w:eastAsia="David" w:hAnsi="David"/>
          <w:sz w:val="24"/>
          <w:szCs w:val="24"/>
          <w:rt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-1</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Crosstabs, inmate</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type</w:t>
      </w:r>
      <w:r>
        <w:rPr>
          <w:rFonts w:ascii="David" w:cs="David" w:eastAsia="David" w:hAnsi="David"/>
          <w:b/>
          <w:bCs/>
          <w:sz w:val="24"/>
          <w:szCs w:val="24"/>
          <w:rt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3790</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-2</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Frequencies, Statistics (Filter: filt</w:t>
      </w:r>
      <w:r>
        <w:rPr>
          <w:rFonts w:ascii="David" w:cs="David" w:eastAsia="David" w:hAnsi="David"/>
          <w:b/>
          <w:bCs/>
          <w:sz w:val="24"/>
          <w:szCs w:val="24"/>
          <w:rtl/>
        </w:rPr>
        <w:t xml:space="preserve">_</w:t>
      </w:r>
      <w:r>
        <w:rPr>
          <w:rFonts w:ascii="Times New Roman" w:cs="Times New Roman" w:eastAsia="Times New Roman" w:hAnsi="Times New Roman"/>
          <w:b/>
          <w:bCs/>
          <w:sz w:val="24"/>
          <w:szCs w:val="24"/>
        </w:rPr>
        <w:t xml:space="preserve">shafut</w:t>
      </w:r>
      <w:r>
        <w:rPr>
          <w:rFonts w:ascii="David" w:cs="David" w:eastAsia="David" w:hAnsi="David"/>
          <w:b/>
          <w:bCs/>
          <w:sz w:val="24"/>
          <w:szCs w:val="24"/>
          <w:rtl/>
        </w:rPr>
        <w:t xml:space="preserve">)</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-0.155</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-3</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לגיטימיות הסגל </w:t>
      </w:r>
      <w:r>
        <w:rPr>
          <w:rFonts w:ascii="Times New Roman" w:cs="Times New Roman" w:eastAsia="Times New Roman" w:hAnsi="Times New Roman"/>
          <w:b/>
          <w:bCs/>
          <w:sz w:val="24"/>
          <w:szCs w:val="24"/>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0.687</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-4</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Reliability, Scale</w:t>
      </w:r>
      <w:r>
        <w:rPr>
          <w:rFonts w:ascii="David" w:cs="David" w:eastAsia="David" w:hAnsi="David"/>
          <w:b/>
          <w:bCs/>
          <w:sz w:val="24"/>
          <w:szCs w:val="24"/>
          <w:rtl/>
        </w:rPr>
        <w:t xml:space="preserve">: רווחה נפשית </w:t>
      </w:r>
      <w:r>
        <w:rPr>
          <w:rFonts w:ascii="Times New Roman" w:cs="Times New Roman" w:eastAsia="Times New Roman" w:hAnsi="Times New Roman"/>
          <w:b/>
          <w:bCs/>
          <w:sz w:val="24"/>
          <w:szCs w:val="24"/>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0.781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-5</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Descriptives</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(ממוצע </w:t>
            </w:r>
            <w:r>
              <w:rPr>
                <w:rFonts w:ascii="Times New Roman" w:cs="Times New Roman" w:eastAsia="Times New Roman" w:hAnsi="Times New Roman"/>
                <w:b w:val="false"/>
                <w:bCs w:val="false"/>
                <w:sz w:val="22"/>
                <w:szCs w:val="22"/>
              </w:rPr>
              <w:t xml:space="preserve">3</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(ממוצע </w:t>
            </w:r>
            <w:r>
              <w:rPr>
                <w:rFonts w:ascii="Times New Roman" w:cs="Times New Roman" w:eastAsia="Times New Roman" w:hAnsi="Times New Roman"/>
                <w:b w:val="false"/>
                <w:bCs w:val="false"/>
                <w:sz w:val="22"/>
                <w:szCs w:val="22"/>
              </w:rPr>
              <w:t xml:space="preserve">5</w:t>
            </w:r>
            <w:r>
              <w:rPr>
                <w:rFonts w:ascii="David" w:cs="David" w:eastAsia="David" w:hAnsi="David"/>
                <w:b w:val="false"/>
                <w:bCs w:val="false"/>
                <w:sz w:val="22"/>
                <w:szCs w:val="22"/>
                <w:rt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sz w:val="22"/>
                <w:szCs w:val="22"/>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&lt; 0.001</w:t>
            </w:r>
          </w:p>
        </w:tc>
      </w:tr>
    </w:tbl>
    <w:p>
      <w:pPr>
        <w:keepNext/>
        <w:bidi/>
        <w:spacing w:after="80" w:before="200" w:line="360"/>
        <w:jc w:val="right"/>
      </w:pPr>
      <w:r>
        <w:rPr>
          <w:rFonts w:ascii="David" w:cs="David" w:eastAsia="David" w:hAnsi="David"/>
          <w:b/>
          <w:bCs/>
          <w:sz w:val="24"/>
          <w:szCs w:val="24"/>
          <w:rtl/>
        </w:rPr>
        <w:t xml:space="preserve">א</w:t>
      </w:r>
      <w:r>
        <w:rPr>
          <w:rFonts w:ascii="Times New Roman" w:cs="Times New Roman" w:eastAsia="Times New Roman" w:hAnsi="Times New Roman"/>
          <w:b/>
          <w:bCs/>
          <w:sz w:val="24"/>
          <w:szCs w:val="24"/>
        </w:rPr>
        <w:t xml:space="preserve">-6</w:t>
      </w: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Correlations (Pearson)</w:t>
      </w:r>
      <w:r>
        <w:rPr>
          <w:rFonts w:ascii="David" w:cs="David" w:eastAsia="David" w:hAnsi="David"/>
          <w:b/>
          <w:bCs/>
          <w:sz w:val="24"/>
          <w:szCs w:val="24"/>
          <w:rtl/>
        </w:rPr>
        <w:t xml:space="preserve"> ו-</w:t>
      </w:r>
      <w:r>
        <w:rPr>
          <w:rFonts w:ascii="Times New Roman" w:cs="Times New Roman" w:eastAsia="Times New Roman" w:hAnsi="Times New Roman"/>
          <w:b/>
          <w:bCs/>
          <w:sz w:val="24"/>
          <w:szCs w:val="24"/>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לגיטימיות הסגל: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rPr>
              <w:t xml:space="preserve">רווחה נפשית: </w:t>
            </w:r>
            <w:r>
              <w:rPr>
                <w:rFonts w:ascii="Times New Roman" w:cs="Times New Roman" w:eastAsia="Times New Roman" w:hAnsi="Times New Roman"/>
                <w:b w:val="false"/>
                <w:bCs w:val="false"/>
                <w:sz w:val="22"/>
                <w:szCs w:val="22"/>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sz w:val="22"/>
                <w:szCs w:val="22"/>
              </w:rPr>
              <w:t xml:space="preserve">all p &lt; 0.001</w:t>
            </w:r>
          </w:p>
        </w:tc>
      </w:tr>
    </w:tbl>
    <w:p>
      <w:pPr>
        <w:bidi/>
        <w:spacing w:after="200" w:before="60" w:line="276"/>
        <w:jc w:val="right"/>
      </w:pPr>
      <w:r>
        <w:rPr>
          <w:rFonts w:ascii="Times New Roman" w:cs="Times New Roman" w:eastAsia="Times New Roman" w:hAnsi="Times New Roman"/>
          <w:sz w:val="20"/>
          <w:szCs w:val="20"/>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2026-09-09T13:29:44.969Z</dcterms:created>
  <dcterms:modified xsi:type="dcterms:W3CDTF">2026-09-09T13:29:44.979Z</dcterms:modified>
</cp:coreProperties>
</file>

<file path=docProps/custom.xml><?xml version="1.0" encoding="utf-8"?>
<Properties xmlns="http://schemas.openxmlformats.org/officeDocument/2006/custom-properties" xmlns:vt="http://schemas.openxmlformats.org/officeDocument/2006/docPropsVTypes"/>
</file>