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2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bidi/>
        <w:spacing w:after="120" w:line="360"/>
        <w:jc w:val="center"/>
      </w:pPr>
      <w:r>
        <w:rPr>
          <w:rFonts w:ascii="David" w:cs="David" w:eastAsia="David" w:hAnsi="David"/>
          <w:b/>
          <w:bCs/>
          <w:color w:val="000000"/>
          <w:sz w:val="36"/>
          <w:szCs w:val="36"/>
          <w:rtl/>
        </w:rPr>
        <w:t xml:space="preserve">הקריה האקדמית אונו</w:t>
      </w:r>
    </w:p>
    <w:p>
      <w:pPr>
        <w:bidi/>
        <w:spacing w:after="120" w:line="360"/>
        <w:jc w:val="center"/>
      </w:pPr>
      <w:r>
        <w:rPr>
          <w:rFonts w:ascii="David" w:cs="David" w:eastAsia="David" w:hAnsi="David"/>
          <w:color w:val="000000"/>
          <w:sz w:val="24"/>
          <w:szCs w:val="24"/>
          <w:rtl/>
        </w:rPr>
        <w:t xml:space="preserve">Ono Academic College</w:t>
      </w:r>
    </w:p>
    <w:p>
      <w:pPr>
        <w:bidi/>
        <w:spacing w:after="120" w:line="360"/>
        <w:jc w:val="center"/>
      </w:pPr>
      <w:r>
        <w:rPr>
          <w:rFonts w:ascii="David" w:cs="David" w:eastAsia="David" w:hAnsi="David"/>
          <w:sz w:val="26"/>
          <w:szCs w:val="26"/>
          <w:rtl/>
        </w:rPr>
        <w:t xml:space="preserve">הפקולטה למנהל עסקים B.A</w:t>
      </w:r>
    </w:p>
    <w:p>
      <w:pPr>
        <w:spacing w:after="500"/>
      </w:pPr>
    </w:p>
    <w:p>
      <w:pPr>
        <w:bidi/>
        <w:spacing w:after="120" w:line="360"/>
        <w:jc w:val="center"/>
      </w:pPr>
      <w:r>
        <w:rPr>
          <w:rFonts w:ascii="David" w:cs="David" w:eastAsia="David" w:hAnsi="David"/>
          <w:b/>
          <w:bCs/>
          <w:sz w:val="28"/>
          <w:szCs w:val="28"/>
          <w:rtl/>
        </w:rPr>
        <w:t xml:space="preserve">עבודה מסכמת בקורס: ניהול קריירה בארגונים</w:t>
      </w:r>
    </w:p>
    <w:p>
      <w:pPr>
        <w:bidi/>
        <w:spacing w:after="120" w:line="360"/>
        <w:jc w:val="center"/>
      </w:pPr>
      <w:r>
        <w:rPr>
          <w:rFonts w:ascii="David" w:cs="David" w:eastAsia="David" w:hAnsi="David"/>
          <w:sz w:val="24"/>
          <w:szCs w:val="24"/>
          <w:rtl/>
        </w:rPr>
        <w:t xml:space="preserve">שנת הלימודים תשפ"ו, סמסטר 3</w:t>
      </w:r>
    </w:p>
    <w:p>
      <w:pPr>
        <w:spacing w:after="400"/>
      </w:pPr>
    </w:p>
    <w:p>
      <w:pPr>
        <w:bidi/>
        <w:spacing w:after="80" w:line="360"/>
        <w:jc w:val="center"/>
      </w:pPr>
      <w:r>
        <w:rPr>
          <w:rFonts w:ascii="David" w:cs="David" w:eastAsia="David" w:hAnsi="David"/>
          <w:b/>
          <w:bCs/>
          <w:color w:val="000000"/>
          <w:sz w:val="44"/>
          <w:szCs w:val="44"/>
          <w:rtl/>
        </w:rPr>
        <w:t xml:space="preserve">התמודדות עם חוסר ודאות תעסוקתי</w:t>
      </w:r>
    </w:p>
    <w:p>
      <w:pPr>
        <w:bidi/>
        <w:spacing w:after="40" w:line="360"/>
        <w:jc w:val="center"/>
      </w:pPr>
      <w:r>
        <w:rPr>
          <w:rFonts w:ascii="David" w:cs="David" w:eastAsia="David" w:hAnsi="David"/>
          <w:sz w:val="26"/>
          <w:szCs w:val="26"/>
          <w:rtl/>
        </w:rPr>
        <w:t xml:space="preserve">עיצוב תפקיד מבוסס צרכים כדרך לבנות בהירות, שליטה ומשמעות בעבודה</w:t>
      </w:r>
    </w:p>
    <w:p>
      <w:pPr>
        <w:spacing w:after="60"/>
        <w:jc w:val="center"/>
      </w:pPr>
      <w:r>
        <w:rPr>
          <w:rFonts w:ascii="Times New Roman" w:cs="Times New Roman" w:eastAsia="Times New Roman" w:hAnsi="Times New Roman"/>
          <w:i/>
          <w:iCs/>
          <w:color w:val="000000"/>
          <w:sz w:val="22"/>
          <w:szCs w:val="22"/>
        </w:rPr>
        <w:t xml:space="preserve">Cetkovská, K., Bauer, G. F., &amp; Tušl, M. (2026). The role of needs-based job crafting in strengthening work-related sense of coherence: A two-wave panel study. Scandinavian Journal of Work and Organizational Psychology, 11(1), Article 14.</w:t>
      </w:r>
    </w:p>
    <w:p>
      <w:pPr>
        <w:bidi/>
        <w:spacing w:after="40" w:line="360"/>
        <w:jc w:val="center"/>
      </w:pPr>
      <w:r>
        <w:rPr>
          <w:rFonts w:ascii="David" w:cs="David" w:eastAsia="David" w:hAnsi="David"/>
          <w:color w:val="000000"/>
          <w:sz w:val="22"/>
          <w:szCs w:val="22"/>
          <w:rtl/>
        </w:rPr>
        <w:t xml:space="preserve">מאמר משלים:</w:t>
      </w:r>
    </w:p>
    <w:p>
      <w:pPr>
        <w:spacing w:after="120"/>
        <w:jc w:val="center"/>
      </w:pPr>
      <w:r>
        <w:rPr>
          <w:rFonts w:ascii="Times New Roman" w:cs="Times New Roman" w:eastAsia="Times New Roman" w:hAnsi="Times New Roman"/>
          <w:i/>
          <w:iCs/>
          <w:color w:val="000000"/>
          <w:sz w:val="22"/>
          <w:szCs w:val="22"/>
        </w:rPr>
        <w:t xml:space="preserve">Chung, Y. W., Im, S., Kim, J. E., &amp; Yun, J. K. (2025). Artificial intelligence awareness, career resilience, job insecurity and behavioural outcomes. Australian Journal of Psychology, 77(1), Article 2559910.</w:t>
      </w:r>
    </w:p>
    <w:p>
      <w:pPr>
        <w:spacing w:after="400"/>
      </w:pPr>
    </w:p>
    <w:tbl>
      <w:tblPr>
        <w:bidiVisual/>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rPr>
          <w:tblHeader/>
        </w:trPr>
        <w:tc>
          <w:tcPr>
            <w:tcW w:type="dxa" w:w="3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center"/>
            </w:pPr>
            <w:r>
              <w:rPr>
                <w:rFonts w:ascii="David" w:cs="David" w:eastAsia="David" w:hAnsi="David"/>
                <w:b/>
                <w:bCs/>
                <w:sz w:val="22"/>
                <w:szCs w:val="22"/>
                <w:rtl/>
              </w:rPr>
              <w:t xml:space="preserve">שם המגיש/ה</w:t>
            </w:r>
          </w:p>
        </w:tc>
        <w:tc>
          <w:tcPr>
            <w:tcW w:type="dxa" w:w="3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center"/>
            </w:pPr>
            <w:r>
              <w:rPr>
                <w:rFonts w:ascii="David" w:cs="David" w:eastAsia="David" w:hAnsi="David"/>
                <w:b/>
                <w:bCs/>
                <w:sz w:val="22"/>
                <w:szCs w:val="22"/>
                <w:rtl/>
              </w:rPr>
              <w:t xml:space="preserve">מספר תעודת זהות</w:t>
            </w:r>
          </w:p>
        </w:tc>
      </w:tr>
      <w:tr>
        <w:tc>
          <w:tcPr>
            <w:tcW w:type="dxa" w:w="3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center"/>
            </w:pPr>
            <w:r>
              <w:rPr>
                <w:rFonts w:ascii="David" w:cs="David" w:eastAsia="David" w:hAnsi="David"/>
                <w:sz w:val="22"/>
                <w:szCs w:val="22"/>
                <w:rtl/>
              </w:rPr>
              <w:t xml:space="preserve">[שם מלא]</w:t>
            </w:r>
          </w:p>
        </w:tc>
        <w:tc>
          <w:tcPr>
            <w:tcW w:type="dxa" w:w="3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center"/>
            </w:pPr>
            <w:r>
              <w:rPr>
                <w:rFonts w:ascii="David" w:cs="David" w:eastAsia="David" w:hAnsi="David"/>
                <w:sz w:val="22"/>
                <w:szCs w:val="22"/>
                <w:rtl/>
              </w:rPr>
              <w:t xml:space="preserve">[ת.ז.]</w:t>
            </w:r>
          </w:p>
        </w:tc>
      </w:tr>
      <w:tr>
        <w:tc>
          <w:tcPr>
            <w:tcW w:type="dxa" w:w="3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center"/>
            </w:pPr>
            <w:r>
              <w:rPr>
                <w:rFonts w:ascii="David" w:cs="David" w:eastAsia="David" w:hAnsi="David"/>
                <w:sz w:val="22"/>
                <w:szCs w:val="22"/>
                <w:rtl/>
              </w:rPr>
              <w:t xml:space="preserve">[שם מלא]</w:t>
            </w:r>
          </w:p>
        </w:tc>
        <w:tc>
          <w:tcPr>
            <w:tcW w:type="dxa" w:w="3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center"/>
            </w:pPr>
            <w:r>
              <w:rPr>
                <w:rFonts w:ascii="David" w:cs="David" w:eastAsia="David" w:hAnsi="David"/>
                <w:sz w:val="22"/>
                <w:szCs w:val="22"/>
                <w:rtl/>
              </w:rPr>
              <w:t xml:space="preserve">[ת.ז.]</w:t>
            </w:r>
          </w:p>
        </w:tc>
      </w:tr>
      <w:tr>
        <w:tc>
          <w:tcPr>
            <w:tcW w:type="dxa" w:w="3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center"/>
            </w:pPr>
            <w:r>
              <w:rPr>
                <w:rFonts w:ascii="David" w:cs="David" w:eastAsia="David" w:hAnsi="David"/>
                <w:sz w:val="22"/>
                <w:szCs w:val="22"/>
                <w:rtl/>
              </w:rPr>
              <w:t xml:space="preserve">[שם מלא, אם ההגשה בשלשה]</w:t>
            </w:r>
          </w:p>
        </w:tc>
        <w:tc>
          <w:tcPr>
            <w:tcW w:type="dxa" w:w="3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center"/>
            </w:pPr>
            <w:r>
              <w:rPr>
                <w:rFonts w:ascii="David" w:cs="David" w:eastAsia="David" w:hAnsi="David"/>
                <w:sz w:val="22"/>
                <w:szCs w:val="22"/>
                <w:rtl/>
              </w:rPr>
              <w:t xml:space="preserve">[ת.ז.]</w:t>
            </w:r>
          </w:p>
        </w:tc>
      </w:tr>
    </w:tbl>
    <w:p>
      <w:pPr>
        <w:spacing w:after="400"/>
      </w:pPr>
    </w:p>
    <w:p>
      <w:pPr>
        <w:bidi/>
        <w:spacing w:after="120" w:line="360"/>
        <w:jc w:val="center"/>
      </w:pPr>
      <w:r>
        <w:rPr>
          <w:rFonts w:ascii="David" w:cs="David" w:eastAsia="David" w:hAnsi="David"/>
          <w:sz w:val="24"/>
          <w:szCs w:val="24"/>
          <w:rtl/>
        </w:rPr>
        <w:t xml:space="preserve">מרצה: גב' מורן דבדבני דקל</w:t>
      </w:r>
    </w:p>
    <w:p>
      <w:pPr>
        <w:bidi/>
        <w:spacing w:after="120" w:line="360"/>
        <w:jc w:val="center"/>
      </w:pPr>
      <w:r>
        <w:rPr>
          <w:rFonts w:ascii="David" w:cs="David" w:eastAsia="David" w:hAnsi="David"/>
          <w:sz w:val="24"/>
          <w:szCs w:val="24"/>
          <w:rtl/>
        </w:rPr>
        <w:t xml:space="preserve">עוזר הוראה: מר פאר רועי</w:t>
      </w:r>
    </w:p>
    <w:p>
      <w:pPr>
        <w:spacing w:after="200"/>
      </w:pPr>
    </w:p>
    <w:p>
      <w:pPr>
        <w:bidi/>
        <w:spacing w:after="120" w:line="360"/>
        <w:jc w:val="center"/>
      </w:pPr>
      <w:r>
        <w:rPr>
          <w:rFonts w:ascii="David" w:cs="David" w:eastAsia="David" w:hAnsi="David"/>
          <w:sz w:val="24"/>
          <w:szCs w:val="24"/>
          <w:rtl/>
        </w:rPr>
        <w:t xml:space="preserve">תאריך הגשה: י' בתשרי תשפ"ז, 21.09.2026</w:t>
      </w:r>
    </w:p>
    <w:p>
      <w:r>
        <w:br w:type="page"/>
      </w:r>
    </w:p>
    <w:p>
      <w:pPr>
        <w:pStyle w:val="Heading1"/>
        <w:bidi/>
        <w:spacing w:after="240" w:before="240" w:line="480"/>
        <w:jc w:val="right"/>
      </w:pPr>
      <w:r>
        <w:rPr>
          <w:rFonts w:ascii="David" w:cs="David" w:eastAsia="David" w:hAnsi="David"/>
          <w:b/>
          <w:bCs/>
          <w:color w:val="000000"/>
          <w:sz w:val="32"/>
          <w:szCs w:val="32"/>
          <w:rtl/>
        </w:rPr>
        <w:t xml:space="preserve">תוכן העניינים</w:t>
      </w:r>
    </w:p>
    <w:sdt>
      <w:sdtPr>
        <w:alias w:val="תוכן העניינים"/>
      </w:sdtPr>
      <w:sdtContent>
        <w:p>
          <w:r>
            <w:fldChar w:fldCharType="begin" w:dirty="true"/>
            <w:instrText xml:space="preserve">TOC \h \o "1-2"</w:instrText>
            <w:fldChar w:fldCharType="separate"/>
          </w:r>
        </w:p>
        <w:p>
          <w:pPr>
            <w:pStyle w:val="TOC1"/>
            <w:tabs>
              <w:tab w:val="left" w:leader="dot" w:pos="8800"/>
            </w:tabs>
            <w:bidi/>
            <w:spacing w:line="300" w:lineRule="auto" w:after="40"/>
            <w:ind w:left="0" w:right="0"/>
          </w:pPr>
          <w:r>
            <w:rPr>
              <w:rFonts w:ascii="David" w:hAnsi="David" w:cs="David"/>
              <w:sz w:val="24"/>
              <w:szCs w:val="24"/>
              <w:rtl/>
            </w:rPr>
            <w:t xml:space="preserve">מבוא</w:t>
          </w:r>
          <w:r>
            <w:rPr>
              <w:rFonts w:ascii="David" w:hAnsi="David" w:cs="David"/>
              <w:sz w:val="24"/>
              <w:szCs w:val="24"/>
              <w:rtl/>
            </w:rPr>
            <w:tab/>
            <w:t>4</w:t>
          </w:r>
        </w:p>
        <w:p>
          <w:pPr>
            <w:pStyle w:val="TOC1"/>
            <w:tabs>
              <w:tab w:val="left" w:leader="dot" w:pos="8800"/>
            </w:tabs>
            <w:bidi/>
            <w:spacing w:line="300" w:lineRule="auto" w:after="40"/>
            <w:ind w:left="0" w:right="0"/>
          </w:pPr>
          <w:r>
            <w:rPr>
              <w:rFonts w:ascii="David" w:hAnsi="David" w:cs="David"/>
              <w:sz w:val="24"/>
              <w:szCs w:val="24"/>
              <w:rtl/>
            </w:rPr>
            <w:t xml:space="preserve">פרק 1: הצגת המאמר המרכזי</w:t>
          </w:r>
          <w:r>
            <w:rPr>
              <w:rFonts w:ascii="David" w:hAnsi="David" w:cs="David"/>
              <w:sz w:val="24"/>
              <w:szCs w:val="24"/>
              <w:rtl/>
            </w:rPr>
            <w:tab/>
            <w:t>6</w:t>
          </w:r>
        </w:p>
        <w:p>
          <w:pPr>
            <w:pStyle w:val="TOC2"/>
            <w:tabs>
              <w:tab w:val="left" w:leader="dot" w:pos="8800"/>
            </w:tabs>
            <w:bidi/>
            <w:spacing w:line="300" w:lineRule="auto" w:after="40"/>
            <w:ind w:left="0" w:right="400"/>
          </w:pPr>
          <w:r>
            <w:rPr>
              <w:rFonts w:ascii="David" w:hAnsi="David" w:cs="David"/>
              <w:sz w:val="24"/>
              <w:szCs w:val="24"/>
              <w:rtl/>
            </w:rPr>
            <w:t xml:space="preserve">1.1 פרטי המאמר</w:t>
          </w:r>
          <w:r>
            <w:rPr>
              <w:rFonts w:ascii="David" w:hAnsi="David" w:cs="David"/>
              <w:sz w:val="24"/>
              <w:szCs w:val="24"/>
              <w:rtl/>
            </w:rPr>
            <w:tab/>
            <w:t>6</w:t>
          </w:r>
        </w:p>
        <w:p>
          <w:pPr>
            <w:pStyle w:val="TOC2"/>
            <w:tabs>
              <w:tab w:val="left" w:leader="dot" w:pos="8800"/>
            </w:tabs>
            <w:bidi/>
            <w:spacing w:line="300" w:lineRule="auto" w:after="40"/>
            <w:ind w:left="0" w:right="400"/>
          </w:pPr>
          <w:r>
            <w:rPr>
              <w:rFonts w:ascii="David" w:hAnsi="David" w:cs="David"/>
              <w:sz w:val="24"/>
              <w:szCs w:val="24"/>
              <w:rtl/>
            </w:rPr>
            <w:t xml:space="preserve">1.2 רקע ומטרות המאמר</w:t>
          </w:r>
          <w:r>
            <w:rPr>
              <w:rFonts w:ascii="David" w:hAnsi="David" w:cs="David"/>
              <w:sz w:val="24"/>
              <w:szCs w:val="24"/>
              <w:rtl/>
            </w:rPr>
            <w:tab/>
            <w:t>6</w:t>
          </w:r>
        </w:p>
        <w:p>
          <w:pPr>
            <w:pStyle w:val="TOC1"/>
            <w:tabs>
              <w:tab w:val="left" w:leader="dot" w:pos="8800"/>
            </w:tabs>
            <w:bidi/>
            <w:spacing w:line="300" w:lineRule="auto" w:after="40"/>
            <w:ind w:left="0" w:right="0"/>
          </w:pPr>
          <w:r>
            <w:rPr>
              <w:rFonts w:ascii="David" w:hAnsi="David" w:cs="David"/>
              <w:sz w:val="24"/>
              <w:szCs w:val="24"/>
              <w:rtl/>
            </w:rPr>
            <w:t xml:space="preserve">פרק 2: תמצית המאמר והנקודות המרכזיות</w:t>
          </w:r>
          <w:r>
            <w:rPr>
              <w:rFonts w:ascii="David" w:hAnsi="David" w:cs="David"/>
              <w:sz w:val="24"/>
              <w:szCs w:val="24"/>
              <w:rtl/>
            </w:rPr>
            <w:tab/>
            <w:t>8</w:t>
          </w:r>
        </w:p>
        <w:p>
          <w:pPr>
            <w:pStyle w:val="TOC2"/>
            <w:tabs>
              <w:tab w:val="left" w:leader="dot" w:pos="8800"/>
            </w:tabs>
            <w:bidi/>
            <w:spacing w:line="300" w:lineRule="auto" w:after="40"/>
            <w:ind w:left="0" w:right="400"/>
          </w:pPr>
          <w:r>
            <w:rPr>
              <w:rFonts w:ascii="David" w:hAnsi="David" w:cs="David"/>
              <w:sz w:val="24"/>
              <w:szCs w:val="24"/>
              <w:rtl/>
            </w:rPr>
            <w:t xml:space="preserve">2.1 הרקע התיאורטי: סלוטוגנזה ותחושת קוהרנטיות בעבודה</w:t>
          </w:r>
          <w:r>
            <w:rPr>
              <w:rFonts w:ascii="David" w:hAnsi="David" w:cs="David"/>
              <w:sz w:val="24"/>
              <w:szCs w:val="24"/>
              <w:rtl/>
            </w:rPr>
            <w:tab/>
            <w:t>8</w:t>
          </w:r>
        </w:p>
        <w:p>
          <w:pPr>
            <w:pStyle w:val="TOC2"/>
            <w:tabs>
              <w:tab w:val="left" w:leader="dot" w:pos="8800"/>
            </w:tabs>
            <w:bidi/>
            <w:spacing w:line="300" w:lineRule="auto" w:after="40"/>
            <w:ind w:left="0" w:right="400"/>
          </w:pPr>
          <w:r>
            <w:rPr>
              <w:rFonts w:ascii="David" w:hAnsi="David" w:cs="David"/>
              <w:sz w:val="24"/>
              <w:szCs w:val="24"/>
              <w:rtl/>
            </w:rPr>
            <w:t xml:space="preserve">2.2 עיצוב תפקיד מבוסס צרכים</w:t>
          </w:r>
          <w:r>
            <w:rPr>
              <w:rFonts w:ascii="David" w:hAnsi="David" w:cs="David"/>
              <w:sz w:val="24"/>
              <w:szCs w:val="24"/>
              <w:rtl/>
            </w:rPr>
            <w:tab/>
            <w:t>8</w:t>
          </w:r>
        </w:p>
        <w:p>
          <w:pPr>
            <w:pStyle w:val="TOC2"/>
            <w:tabs>
              <w:tab w:val="left" w:leader="dot" w:pos="8800"/>
            </w:tabs>
            <w:bidi/>
            <w:spacing w:line="300" w:lineRule="auto" w:after="40"/>
            <w:ind w:left="0" w:right="400"/>
          </w:pPr>
          <w:r>
            <w:rPr>
              <w:rFonts w:ascii="David" w:hAnsi="David" w:cs="David"/>
              <w:sz w:val="24"/>
              <w:szCs w:val="24"/>
              <w:rtl/>
            </w:rPr>
            <w:t xml:space="preserve">2.3 ההשערות: ספירלת רווח</w:t>
          </w:r>
          <w:r>
            <w:rPr>
              <w:rFonts w:ascii="David" w:hAnsi="David" w:cs="David"/>
              <w:sz w:val="24"/>
              <w:szCs w:val="24"/>
              <w:rtl/>
            </w:rPr>
            <w:tab/>
            <w:t>9</w:t>
          </w:r>
        </w:p>
        <w:p>
          <w:pPr>
            <w:pStyle w:val="TOC2"/>
            <w:tabs>
              <w:tab w:val="left" w:leader="dot" w:pos="8800"/>
            </w:tabs>
            <w:bidi/>
            <w:spacing w:line="300" w:lineRule="auto" w:after="40"/>
            <w:ind w:left="0" w:right="400"/>
          </w:pPr>
          <w:r>
            <w:rPr>
              <w:rFonts w:ascii="David" w:hAnsi="David" w:cs="David"/>
              <w:sz w:val="24"/>
              <w:szCs w:val="24"/>
              <w:rtl/>
            </w:rPr>
            <w:t xml:space="preserve">2.4 השיטה בקצרה</w:t>
          </w:r>
          <w:r>
            <w:rPr>
              <w:rFonts w:ascii="David" w:hAnsi="David" w:cs="David"/>
              <w:sz w:val="24"/>
              <w:szCs w:val="24"/>
              <w:rtl/>
            </w:rPr>
            <w:tab/>
            <w:t>9</w:t>
          </w:r>
        </w:p>
        <w:p>
          <w:pPr>
            <w:pStyle w:val="TOC2"/>
            <w:tabs>
              <w:tab w:val="left" w:leader="dot" w:pos="8800"/>
            </w:tabs>
            <w:bidi/>
            <w:spacing w:line="300" w:lineRule="auto" w:after="40"/>
            <w:ind w:left="0" w:right="400"/>
          </w:pPr>
          <w:r>
            <w:rPr>
              <w:rFonts w:ascii="David" w:hAnsi="David" w:cs="David"/>
              <w:sz w:val="24"/>
              <w:szCs w:val="24"/>
              <w:rtl/>
            </w:rPr>
            <w:t xml:space="preserve">2.5 הממצאים המרכזיים</w:t>
          </w:r>
          <w:r>
            <w:rPr>
              <w:rFonts w:ascii="David" w:hAnsi="David" w:cs="David"/>
              <w:sz w:val="24"/>
              <w:szCs w:val="24"/>
              <w:rtl/>
            </w:rPr>
            <w:tab/>
            <w:t>10</w:t>
          </w:r>
        </w:p>
        <w:p>
          <w:pPr>
            <w:pStyle w:val="TOC2"/>
            <w:tabs>
              <w:tab w:val="left" w:leader="dot" w:pos="8800"/>
            </w:tabs>
            <w:bidi/>
            <w:spacing w:line="300" w:lineRule="auto" w:after="40"/>
            <w:ind w:left="0" w:right="400"/>
          </w:pPr>
          <w:r>
            <w:rPr>
              <w:rFonts w:ascii="David" w:hAnsi="David" w:cs="David"/>
              <w:sz w:val="24"/>
              <w:szCs w:val="24"/>
              <w:rtl/>
            </w:rPr>
            <w:t xml:space="preserve">2.6 המסקנות</w:t>
          </w:r>
          <w:r>
            <w:rPr>
              <w:rFonts w:ascii="David" w:hAnsi="David" w:cs="David"/>
              <w:sz w:val="24"/>
              <w:szCs w:val="24"/>
              <w:rtl/>
            </w:rPr>
            <w:tab/>
            <w:t>10</w:t>
          </w:r>
        </w:p>
        <w:p>
          <w:pPr>
            <w:pStyle w:val="TOC1"/>
            <w:tabs>
              <w:tab w:val="left" w:leader="dot" w:pos="8800"/>
            </w:tabs>
            <w:bidi/>
            <w:spacing w:line="300" w:lineRule="auto" w:after="40"/>
            <w:ind w:left="0" w:right="0"/>
          </w:pPr>
          <w:r>
            <w:rPr>
              <w:rFonts w:ascii="David" w:hAnsi="David" w:cs="David"/>
              <w:sz w:val="24"/>
              <w:szCs w:val="24"/>
              <w:rtl/>
            </w:rPr>
            <w:t xml:space="preserve">פרק 3: ניתוח המאמר לפי מבנה, שיטה וממצאים</w:t>
          </w:r>
          <w:r>
            <w:rPr>
              <w:rFonts w:ascii="David" w:hAnsi="David" w:cs="David"/>
              <w:sz w:val="24"/>
              <w:szCs w:val="24"/>
              <w:rtl/>
            </w:rPr>
            <w:tab/>
            <w:t>12</w:t>
          </w:r>
        </w:p>
        <w:p>
          <w:pPr>
            <w:pStyle w:val="TOC2"/>
            <w:tabs>
              <w:tab w:val="left" w:leader="dot" w:pos="8800"/>
            </w:tabs>
            <w:bidi/>
            <w:spacing w:line="300" w:lineRule="auto" w:after="40"/>
            <w:ind w:left="0" w:right="400"/>
          </w:pPr>
          <w:r>
            <w:rPr>
              <w:rFonts w:ascii="David" w:hAnsi="David" w:cs="David"/>
              <w:sz w:val="24"/>
              <w:szCs w:val="24"/>
              <w:rtl/>
            </w:rPr>
            <w:t xml:space="preserve">3.1 מבנה המאמר</w:t>
          </w:r>
          <w:r>
            <w:rPr>
              <w:rFonts w:ascii="David" w:hAnsi="David" w:cs="David"/>
              <w:sz w:val="24"/>
              <w:szCs w:val="24"/>
              <w:rtl/>
            </w:rPr>
            <w:tab/>
            <w:t>12</w:t>
          </w:r>
        </w:p>
        <w:p>
          <w:pPr>
            <w:pStyle w:val="TOC2"/>
            <w:tabs>
              <w:tab w:val="left" w:leader="dot" w:pos="8800"/>
            </w:tabs>
            <w:bidi/>
            <w:spacing w:line="300" w:lineRule="auto" w:after="40"/>
            <w:ind w:left="0" w:right="400"/>
          </w:pPr>
          <w:r>
            <w:rPr>
              <w:rFonts w:ascii="David" w:hAnsi="David" w:cs="David"/>
              <w:sz w:val="24"/>
              <w:szCs w:val="24"/>
              <w:rtl/>
            </w:rPr>
            <w:t xml:space="preserve">3.2 השיטה</w:t>
          </w:r>
          <w:r>
            <w:rPr>
              <w:rFonts w:ascii="David" w:hAnsi="David" w:cs="David"/>
              <w:sz w:val="24"/>
              <w:szCs w:val="24"/>
              <w:rtl/>
            </w:rPr>
            <w:tab/>
            <w:t>12</w:t>
          </w:r>
        </w:p>
        <w:p>
          <w:pPr>
            <w:pStyle w:val="TOC2"/>
            <w:tabs>
              <w:tab w:val="left" w:leader="dot" w:pos="8800"/>
            </w:tabs>
            <w:bidi/>
            <w:spacing w:line="300" w:lineRule="auto" w:after="40"/>
            <w:ind w:left="0" w:right="400"/>
          </w:pPr>
          <w:r>
            <w:rPr>
              <w:rFonts w:ascii="David" w:hAnsi="David" w:cs="David"/>
              <w:sz w:val="24"/>
              <w:szCs w:val="24"/>
              <w:rtl/>
            </w:rPr>
            <w:t xml:space="preserve">3.3 הממצאים והמסקנות</w:t>
          </w:r>
          <w:r>
            <w:rPr>
              <w:rFonts w:ascii="David" w:hAnsi="David" w:cs="David"/>
              <w:sz w:val="24"/>
              <w:szCs w:val="24"/>
              <w:rtl/>
            </w:rPr>
            <w:tab/>
            <w:t>13</w:t>
          </w:r>
        </w:p>
        <w:p>
          <w:pPr>
            <w:pStyle w:val="TOC1"/>
            <w:tabs>
              <w:tab w:val="left" w:leader="dot" w:pos="8800"/>
            </w:tabs>
            <w:bidi/>
            <w:spacing w:line="300" w:lineRule="auto" w:after="40"/>
            <w:ind w:left="0" w:right="0"/>
          </w:pPr>
          <w:r>
            <w:rPr>
              <w:rFonts w:ascii="David" w:hAnsi="David" w:cs="David"/>
              <w:sz w:val="24"/>
              <w:szCs w:val="24"/>
              <w:rtl/>
            </w:rPr>
            <w:t xml:space="preserve">פרק 4: המאמר המשלים</w:t>
          </w:r>
          <w:r>
            <w:rPr>
              <w:rFonts w:ascii="David" w:hAnsi="David" w:cs="David"/>
              <w:sz w:val="24"/>
              <w:szCs w:val="24"/>
              <w:rtl/>
            </w:rPr>
            <w:tab/>
            <w:t>14</w:t>
          </w:r>
        </w:p>
        <w:p>
          <w:pPr>
            <w:pStyle w:val="TOC2"/>
            <w:tabs>
              <w:tab w:val="left" w:leader="dot" w:pos="8800"/>
            </w:tabs>
            <w:bidi/>
            <w:spacing w:line="300" w:lineRule="auto" w:after="40"/>
            <w:ind w:left="0" w:right="400"/>
          </w:pPr>
          <w:r>
            <w:rPr>
              <w:rFonts w:ascii="David" w:hAnsi="David" w:cs="David"/>
              <w:sz w:val="24"/>
              <w:szCs w:val="24"/>
              <w:rtl/>
            </w:rPr>
            <w:t xml:space="preserve">4.1 הצגת המאמר המשלים</w:t>
          </w:r>
          <w:r>
            <w:rPr>
              <w:rFonts w:ascii="David" w:hAnsi="David" w:cs="David"/>
              <w:sz w:val="24"/>
              <w:szCs w:val="24"/>
              <w:rtl/>
            </w:rPr>
            <w:tab/>
            <w:t>14</w:t>
          </w:r>
        </w:p>
        <w:p>
          <w:pPr>
            <w:pStyle w:val="TOC2"/>
            <w:tabs>
              <w:tab w:val="left" w:leader="dot" w:pos="8800"/>
            </w:tabs>
            <w:bidi/>
            <w:spacing w:line="300" w:lineRule="auto" w:after="40"/>
            <w:ind w:left="0" w:right="400"/>
          </w:pPr>
          <w:r>
            <w:rPr>
              <w:rFonts w:ascii="David" w:hAnsi="David" w:cs="David"/>
              <w:sz w:val="24"/>
              <w:szCs w:val="24"/>
              <w:rtl/>
            </w:rPr>
            <w:t xml:space="preserve">4.2 הקשר לנושא העבודה</w:t>
          </w:r>
          <w:r>
            <w:rPr>
              <w:rFonts w:ascii="David" w:hAnsi="David" w:cs="David"/>
              <w:sz w:val="24"/>
              <w:szCs w:val="24"/>
              <w:rtl/>
            </w:rPr>
            <w:tab/>
            <w:t>14</w:t>
          </w:r>
        </w:p>
        <w:p>
          <w:pPr>
            <w:pStyle w:val="TOC1"/>
            <w:tabs>
              <w:tab w:val="left" w:leader="dot" w:pos="8800"/>
            </w:tabs>
            <w:bidi/>
            <w:spacing w:line="300" w:lineRule="auto" w:after="40"/>
            <w:ind w:left="0" w:right="0"/>
          </w:pPr>
          <w:r>
            <w:rPr>
              <w:rFonts w:ascii="David" w:hAnsi="David" w:cs="David"/>
              <w:sz w:val="24"/>
              <w:szCs w:val="24"/>
              <w:rtl/>
            </w:rPr>
            <w:t xml:space="preserve">פרק 5: תובנות, מסקנות ודעה אישית</w:t>
          </w:r>
          <w:r>
            <w:rPr>
              <w:rFonts w:ascii="David" w:hAnsi="David" w:cs="David"/>
              <w:sz w:val="24"/>
              <w:szCs w:val="24"/>
              <w:rtl/>
            </w:rPr>
            <w:tab/>
            <w:t>15</w:t>
          </w:r>
        </w:p>
        <w:p>
          <w:pPr>
            <w:pStyle w:val="TOC2"/>
            <w:tabs>
              <w:tab w:val="left" w:leader="dot" w:pos="8800"/>
            </w:tabs>
            <w:bidi/>
            <w:spacing w:line="300" w:lineRule="auto" w:after="40"/>
            <w:ind w:left="0" w:right="400"/>
          </w:pPr>
          <w:r>
            <w:rPr>
              <w:rFonts w:ascii="David" w:hAnsi="David" w:cs="David"/>
              <w:sz w:val="24"/>
              <w:szCs w:val="24"/>
              <w:rtl/>
            </w:rPr>
            <w:t xml:space="preserve">5.1 תובנות מרכזיות</w:t>
          </w:r>
          <w:r>
            <w:rPr>
              <w:rFonts w:ascii="David" w:hAnsi="David" w:cs="David"/>
              <w:sz w:val="24"/>
              <w:szCs w:val="24"/>
              <w:rtl/>
            </w:rPr>
            <w:tab/>
            <w:t>15</w:t>
          </w:r>
        </w:p>
        <w:p>
          <w:pPr>
            <w:pStyle w:val="TOC2"/>
            <w:tabs>
              <w:tab w:val="left" w:leader="dot" w:pos="8800"/>
            </w:tabs>
            <w:bidi/>
            <w:spacing w:line="300" w:lineRule="auto" w:after="40"/>
            <w:ind w:left="0" w:right="400"/>
          </w:pPr>
          <w:r>
            <w:rPr>
              <w:rFonts w:ascii="David" w:hAnsi="David" w:cs="David"/>
              <w:sz w:val="24"/>
              <w:szCs w:val="24"/>
              <w:rtl/>
            </w:rPr>
            <w:t xml:space="preserve">5.2 מסקנות</w:t>
          </w:r>
          <w:r>
            <w:rPr>
              <w:rFonts w:ascii="David" w:hAnsi="David" w:cs="David"/>
              <w:sz w:val="24"/>
              <w:szCs w:val="24"/>
              <w:rtl/>
            </w:rPr>
            <w:tab/>
            <w:t>15</w:t>
          </w:r>
        </w:p>
        <w:p>
          <w:pPr>
            <w:pStyle w:val="TOC2"/>
            <w:tabs>
              <w:tab w:val="left" w:leader="dot" w:pos="8800"/>
            </w:tabs>
            <w:bidi/>
            <w:spacing w:line="300" w:lineRule="auto" w:after="40"/>
            <w:ind w:left="0" w:right="400"/>
          </w:pPr>
          <w:r>
            <w:rPr>
              <w:rFonts w:ascii="David" w:hAnsi="David" w:cs="David"/>
              <w:sz w:val="24"/>
              <w:szCs w:val="24"/>
              <w:rtl/>
            </w:rPr>
            <w:t xml:space="preserve">5.3 דעה אישית וביקורת</w:t>
          </w:r>
          <w:r>
            <w:rPr>
              <w:rFonts w:ascii="David" w:hAnsi="David" w:cs="David"/>
              <w:sz w:val="24"/>
              <w:szCs w:val="24"/>
              <w:rtl/>
            </w:rPr>
            <w:tab/>
            <w:t>16</w:t>
          </w:r>
        </w:p>
        <w:p>
          <w:pPr>
            <w:pStyle w:val="TOC1"/>
            <w:tabs>
              <w:tab w:val="left" w:leader="dot" w:pos="8800"/>
            </w:tabs>
            <w:bidi/>
            <w:spacing w:line="300" w:lineRule="auto" w:after="40"/>
            <w:ind w:left="0" w:right="0"/>
          </w:pPr>
          <w:r>
            <w:rPr>
              <w:rFonts w:ascii="David" w:hAnsi="David" w:cs="David"/>
              <w:sz w:val="24"/>
              <w:szCs w:val="24"/>
              <w:rtl/>
            </w:rPr>
            <w:t xml:space="preserve">פרק 6: יישום מעשי בניהול קריירה</w:t>
          </w:r>
          <w:r>
            <w:rPr>
              <w:rFonts w:ascii="David" w:hAnsi="David" w:cs="David"/>
              <w:sz w:val="24"/>
              <w:szCs w:val="24"/>
              <w:rtl/>
            </w:rPr>
            <w:tab/>
            <w:t>17</w:t>
          </w:r>
        </w:p>
        <w:p>
          <w:pPr>
            <w:pStyle w:val="TOC2"/>
            <w:tabs>
              <w:tab w:val="left" w:leader="dot" w:pos="8800"/>
            </w:tabs>
            <w:bidi/>
            <w:spacing w:line="300" w:lineRule="auto" w:after="40"/>
            <w:ind w:left="0" w:right="400"/>
          </w:pPr>
          <w:r>
            <w:rPr>
              <w:rFonts w:ascii="David" w:hAnsi="David" w:cs="David"/>
              <w:sz w:val="24"/>
              <w:szCs w:val="24"/>
              <w:rtl/>
            </w:rPr>
            <w:t xml:space="preserve">6.1 תוכנית עיצוב תפקיד אישית: כלי הנגזר מהמאמר</w:t>
          </w:r>
          <w:r>
            <w:rPr>
              <w:rFonts w:ascii="David" w:hAnsi="David" w:cs="David"/>
              <w:sz w:val="24"/>
              <w:szCs w:val="24"/>
              <w:rtl/>
            </w:rPr>
            <w:tab/>
            <w:t>17</w:t>
          </w:r>
        </w:p>
        <w:p>
          <w:pPr>
            <w:pStyle w:val="TOC2"/>
            <w:tabs>
              <w:tab w:val="left" w:leader="dot" w:pos="8800"/>
            </w:tabs>
            <w:bidi/>
            <w:spacing w:line="300" w:lineRule="auto" w:after="40"/>
            <w:ind w:left="0" w:right="400"/>
          </w:pPr>
          <w:r>
            <w:rPr>
              <w:rFonts w:ascii="David" w:hAnsi="David" w:cs="David"/>
              <w:sz w:val="24"/>
              <w:szCs w:val="24"/>
              <w:rtl/>
            </w:rPr>
            <w:t xml:space="preserve">6.2 קישור לחומר הנלמד בקורס</w:t>
          </w:r>
          <w:r>
            <w:rPr>
              <w:rFonts w:ascii="David" w:hAnsi="David" w:cs="David"/>
              <w:sz w:val="24"/>
              <w:szCs w:val="24"/>
              <w:rtl/>
            </w:rPr>
            <w:tab/>
            <w:t>17</w:t>
          </w:r>
        </w:p>
        <w:p>
          <w:pPr>
            <w:pStyle w:val="TOC2"/>
            <w:tabs>
              <w:tab w:val="left" w:leader="dot" w:pos="8800"/>
            </w:tabs>
            <w:bidi/>
            <w:spacing w:line="300" w:lineRule="auto" w:after="40"/>
            <w:ind w:left="0" w:right="400"/>
          </w:pPr>
          <w:r>
            <w:rPr>
              <w:rFonts w:ascii="David" w:hAnsi="David" w:cs="David"/>
              <w:sz w:val="24"/>
              <w:szCs w:val="24"/>
              <w:rtl/>
            </w:rPr>
            <w:t xml:space="preserve">6.3 השלכות למנהלים בכיתה</w:t>
          </w:r>
          <w:r>
            <w:rPr>
              <w:rFonts w:ascii="David" w:hAnsi="David" w:cs="David"/>
              <w:sz w:val="24"/>
              <w:szCs w:val="24"/>
              <w:rtl/>
            </w:rPr>
            <w:tab/>
            <w:t>18</w:t>
          </w:r>
        </w:p>
        <w:p>
          <w:pPr>
            <w:pStyle w:val="TOC2"/>
            <w:tabs>
              <w:tab w:val="left" w:leader="dot" w:pos="8800"/>
            </w:tabs>
            <w:bidi/>
            <w:spacing w:line="300" w:lineRule="auto" w:after="40"/>
            <w:ind w:left="0" w:right="400"/>
          </w:pPr>
          <w:r>
            <w:rPr>
              <w:rFonts w:ascii="David" w:hAnsi="David" w:cs="David"/>
              <w:sz w:val="24"/>
              <w:szCs w:val="24"/>
              <w:rtl/>
            </w:rPr>
            <w:t xml:space="preserve">6.4 האמצעים להמחשה ולהפעלה במצגת</w:t>
          </w:r>
          <w:r>
            <w:rPr>
              <w:rFonts w:ascii="David" w:hAnsi="David" w:cs="David"/>
              <w:sz w:val="24"/>
              <w:szCs w:val="24"/>
              <w:rtl/>
            </w:rPr>
            <w:tab/>
            <w:t>19</w:t>
          </w:r>
        </w:p>
        <w:p>
          <w:pPr>
            <w:pStyle w:val="TOC1"/>
            <w:tabs>
              <w:tab w:val="left" w:leader="dot" w:pos="8800"/>
            </w:tabs>
            <w:bidi/>
            <w:spacing w:line="300" w:lineRule="auto" w:after="40"/>
            <w:ind w:left="0" w:right="0"/>
          </w:pPr>
          <w:r>
            <w:rPr>
              <w:rFonts w:ascii="David" w:hAnsi="David" w:cs="David"/>
              <w:sz w:val="24"/>
              <w:szCs w:val="24"/>
              <w:rtl/>
            </w:rPr>
            <w:t xml:space="preserve">סיכום ומסקנות</w:t>
          </w:r>
          <w:r>
            <w:rPr>
              <w:rFonts w:ascii="David" w:hAnsi="David" w:cs="David"/>
              <w:sz w:val="24"/>
              <w:szCs w:val="24"/>
              <w:rtl/>
            </w:rPr>
            <w:tab/>
            <w:t>20</w:t>
          </w:r>
        </w:p>
        <w:p>
          <w:pPr>
            <w:pStyle w:val="TOC1"/>
            <w:tabs>
              <w:tab w:val="left" w:leader="dot" w:pos="8800"/>
            </w:tabs>
            <w:bidi/>
            <w:spacing w:line="300" w:lineRule="auto" w:after="40"/>
            <w:ind w:left="0" w:right="0"/>
          </w:pPr>
          <w:r>
            <w:rPr>
              <w:rFonts w:ascii="David" w:hAnsi="David" w:cs="David"/>
              <w:sz w:val="24"/>
              <w:szCs w:val="24"/>
              <w:rtl/>
            </w:rPr>
            <w:t xml:space="preserve">נספח א: תכנון המצגת והאמצעים להמחשה</w:t>
          </w:r>
          <w:r>
            <w:rPr>
              <w:rFonts w:ascii="David" w:hAnsi="David" w:cs="David"/>
              <w:sz w:val="24"/>
              <w:szCs w:val="24"/>
              <w:rtl/>
            </w:rPr>
            <w:tab/>
            <w:t>21</w:t>
          </w:r>
        </w:p>
        <w:p>
          <w:pPr>
            <w:pStyle w:val="TOC2"/>
            <w:tabs>
              <w:tab w:val="left" w:leader="dot" w:pos="8800"/>
            </w:tabs>
            <w:bidi/>
            <w:spacing w:line="300" w:lineRule="auto" w:after="40"/>
            <w:ind w:left="0" w:right="400"/>
          </w:pPr>
          <w:r>
            <w:rPr>
              <w:rFonts w:ascii="David" w:hAnsi="David" w:cs="David"/>
              <w:sz w:val="24"/>
              <w:szCs w:val="24"/>
              <w:rtl/>
            </w:rPr>
            <w:t xml:space="preserve">כרטיסיות ההפעלה</w:t>
          </w:r>
          <w:r>
            <w:rPr>
              <w:rFonts w:ascii="David" w:hAnsi="David" w:cs="David"/>
              <w:sz w:val="24"/>
              <w:szCs w:val="24"/>
              <w:rtl/>
            </w:rPr>
            <w:tab/>
            <w:t>21</w:t>
          </w:r>
        </w:p>
        <w:p>
          <w:pPr>
            <w:pStyle w:val="TOC1"/>
            <w:tabs>
              <w:tab w:val="left" w:leader="dot" w:pos="8800"/>
            </w:tabs>
            <w:bidi/>
            <w:spacing w:line="300" w:lineRule="auto" w:after="40"/>
            <w:ind w:left="0" w:right="0"/>
          </w:pPr>
          <w:r>
            <w:rPr>
              <w:rFonts w:ascii="David" w:hAnsi="David" w:cs="David"/>
              <w:sz w:val="24"/>
              <w:szCs w:val="24"/>
              <w:rtl/>
            </w:rPr>
            <w:t xml:space="preserve">נספח ב: שאלון קצר להערכה עצמית</w:t>
          </w:r>
          <w:r>
            <w:rPr>
              <w:rFonts w:ascii="David" w:hAnsi="David" w:cs="David"/>
              <w:sz w:val="24"/>
              <w:szCs w:val="24"/>
              <w:rtl/>
            </w:rPr>
            <w:tab/>
            <w:t>22</w:t>
          </w:r>
        </w:p>
        <w:p>
          <w:pPr>
            <w:pStyle w:val="TOC1"/>
            <w:tabs>
              <w:tab w:val="left" w:leader="dot" w:pos="8800"/>
            </w:tabs>
            <w:bidi/>
            <w:spacing w:line="300" w:lineRule="auto" w:after="40"/>
            <w:ind w:left="0" w:right="0"/>
          </w:pPr>
          <w:r>
            <w:rPr>
              <w:rFonts w:ascii="David" w:hAnsi="David" w:cs="David"/>
              <w:sz w:val="24"/>
              <w:szCs w:val="24"/>
              <w:rtl/>
            </w:rPr>
            <w:t xml:space="preserve">רשימת מקורות</w:t>
          </w:r>
          <w:r>
            <w:rPr>
              <w:rFonts w:ascii="David" w:hAnsi="David" w:cs="David"/>
              <w:sz w:val="24"/>
              <w:szCs w:val="24"/>
              <w:rtl/>
            </w:rPr>
            <w:tab/>
            <w:t>23</w:t>
          </w:r>
        </w:p>
        <w:p>
          <w:r>
            <w:fldChar w:fldCharType="end"/>
          </w:r>
        </w:p>
      </w:sdtContent>
    </w:sdt>
    <w:p>
      <w:r>
        <w:br w:type="page"/>
      </w:r>
    </w:p>
    <w:p>
      <w:pPr>
        <w:pStyle w:val="Heading1"/>
        <w:bidi/>
        <w:spacing w:after="240" w:before="240" w:line="480"/>
        <w:jc w:val="right"/>
      </w:pPr>
      <w:r>
        <w:rPr>
          <w:rFonts w:ascii="David" w:cs="David" w:eastAsia="David" w:hAnsi="David"/>
          <w:b/>
          <w:bCs/>
          <w:color w:val="000000"/>
          <w:sz w:val="32"/>
          <w:szCs w:val="32"/>
          <w:rtl/>
        </w:rPr>
        <w:t xml:space="preserve">מבוא</w:t>
      </w:r>
    </w:p>
    <w:p>
      <w:pPr>
        <w:bidi/>
        <w:spacing w:after="120" w:before="0" w:line="480"/>
        <w:jc w:val="both"/>
      </w:pPr>
      <w:r>
        <w:rPr>
          <w:rFonts w:ascii="David" w:cs="David" w:eastAsia="David" w:hAnsi="David"/>
          <w:sz w:val="24"/>
          <w:szCs w:val="24"/>
          <w:rtl/>
        </w:rPr>
        <w:t xml:space="preserve">עולם העבודה של שנת 2026 מתאפיין באי-ודאות. גלי הפיטורים וההתייעלות בענף ההייטק, כניסת הבינה המלאכותית היוצרת לתפקידי צווארון לבן, המלחמה ושירות המילואים הממושך, והמעבר לצורות העסקה גמישות, יצרו מציאות שבה גם עובדים בעלי ותק ומיומנויות גבוהות אינם יודעים כיצד ייראה תפקידם בעוד שנה. תיבה בדוח בנק ישראל לשנת 2024 העריכה כי כחמישית מהמועסקים בישראל עובדים במקצועות שבהם הביקוש לעובדים צפוי לרדת באופן משמעותי עם התרחבות השימוש בבינה מלאכותית (בנק ישראל, 2025). בעיתונות הכלכלית דווח כי ההתייעלות באמצעות בינה מלאכותית עומדת בראש סדר היום של מנהלי ההייטק ("הקשיים של מנהלי הייטק", 2026). חוסר ביטחון תעסוקתי, כלומר החשש של העובד לאבד את משרתו או את המאפיינים החשובים לו בה, הפך מאירוע חריג לתנאי קבוע (</w:t>
      </w:r>
      <w:r>
        <w:rPr>
          <w:rFonts w:ascii="Times New Roman" w:cs="Times New Roman" w:eastAsia="Times New Roman" w:hAnsi="Times New Roman"/>
          <w:sz w:val="24"/>
          <w:szCs w:val="24"/>
        </w:rPr>
        <w:t xml:space="preserve">‎Chung et al., 2025‎</w:t>
      </w:r>
      <w:r>
        <w:rPr>
          <w:rFonts w:ascii="David" w:cs="David" w:eastAsia="David" w:hAnsi="David"/>
          <w:sz w:val="24"/>
          <w:szCs w:val="24"/>
          <w:rtl/>
        </w:rPr>
        <w:t xml:space="preserve">).</w:t>
      </w:r>
    </w:p>
    <w:p>
      <w:pPr>
        <w:bidi/>
        <w:spacing w:after="120" w:before="0" w:line="480"/>
        <w:jc w:val="both"/>
      </w:pPr>
      <w:r>
        <w:rPr>
          <w:rFonts w:ascii="David" w:cs="David" w:eastAsia="David" w:hAnsi="David"/>
          <w:sz w:val="24"/>
          <w:szCs w:val="24"/>
          <w:rtl/>
        </w:rPr>
        <w:t xml:space="preserve">רוב המחקר על חוסר ודאות תעסוקתי שואל מה הנזק שהיא גורמת. עבודה זו בוחרת בשאלה ההפוכה: מה מאפשר לעובדים להישאר בריאים, מוטיבציוניים ומתפקדים גם כשהסביבה אינה יציבה? זו השאלה שהציב אהרן אנטונובסקי, סוציולוג הבריאות שפעל באוניברסיטת בן-גוריון בנגב, כאשר טבע את המושג "סלוטוגנזה", חקר מקורות הבריאות במקום מקורות המחלה, והציע את המושג "תחושת קוהרנטיות" כמשאב שמסביר מדוע אנשים מסוימים שומרים על בריאותם גם במצבי דחק (</w:t>
      </w:r>
      <w:r>
        <w:rPr>
          <w:rFonts w:ascii="Times New Roman" w:cs="Times New Roman" w:eastAsia="Times New Roman" w:hAnsi="Times New Roman"/>
          <w:sz w:val="24"/>
          <w:szCs w:val="24"/>
        </w:rPr>
        <w:t xml:space="preserve">‎Antonovsky, 1987‎</w:t>
      </w:r>
      <w:r>
        <w:rPr>
          <w:rFonts w:ascii="David" w:cs="David" w:eastAsia="David" w:hAnsi="David"/>
          <w:sz w:val="24"/>
          <w:szCs w:val="24"/>
          <w:rtl/>
        </w:rPr>
        <w:t xml:space="preserve">, כפי שמצוטט אצל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 ניהול קריירה, כפי שנלמד בקורס, הוא תהליך מתמשך של למידה, בניית זהות מקצועית וטיפוח רשת אנשים, והוא נשען על משאבים שהסביבה מספקת, כגון תמיכה במקום העבודה ובמשפחה (</w:t>
      </w:r>
      <w:r>
        <w:rPr>
          <w:rFonts w:ascii="Times New Roman" w:cs="Times New Roman" w:eastAsia="Times New Roman" w:hAnsi="Times New Roman"/>
          <w:sz w:val="24"/>
          <w:szCs w:val="24"/>
        </w:rPr>
        <w:t xml:space="preserve">‎Russo et al., 2016‎</w:t>
      </w:r>
      <w:r>
        <w:rPr>
          <w:rFonts w:ascii="David" w:cs="David" w:eastAsia="David" w:hAnsi="David"/>
          <w:sz w:val="24"/>
          <w:szCs w:val="24"/>
          <w:rtl/>
        </w:rPr>
        <w:t xml:space="preserve">). תהליך כזה מניח מידה של יציבות. בעולם של אי-ודאות, השאלה היא אילו אסטרטגיות זמינות לעובד עצמו, ולא רק לארגון.</w:t>
      </w:r>
    </w:p>
    <w:p>
      <w:pPr>
        <w:bidi/>
        <w:spacing w:after="120" w:before="0" w:line="480"/>
        <w:jc w:val="both"/>
      </w:pPr>
      <w:r>
        <w:rPr>
          <w:rFonts w:ascii="David" w:cs="David" w:eastAsia="David" w:hAnsi="David"/>
          <w:sz w:val="24"/>
          <w:szCs w:val="24"/>
          <w:rtl/>
        </w:rPr>
        <w:t xml:space="preserve">העבודה נשענת על מחקר האורך של צטקובסקה ואחרים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 שפורסם בכתב העת השפיט </w:t>
      </w:r>
      <w:r>
        <w:rPr>
          <w:rFonts w:ascii="Times New Roman" w:cs="Times New Roman" w:eastAsia="Times New Roman" w:hAnsi="Times New Roman"/>
          <w:sz w:val="24"/>
          <w:szCs w:val="24"/>
        </w:rPr>
        <w:t xml:space="preserve">‎Scandinavian Journal of Work and Organizational Psychology‎</w:t>
      </w:r>
      <w:r>
        <w:rPr>
          <w:rFonts w:ascii="David" w:cs="David" w:eastAsia="David" w:hAnsi="David"/>
          <w:sz w:val="24"/>
          <w:szCs w:val="24"/>
          <w:rtl/>
        </w:rPr>
        <w:t xml:space="preserve"> בגישה פתוחה מלאה. המחקר עקב אחר 924 עובדים בגרמניה ובשווייץ במשך חצי שנה ובחן האם עיצוב תפקיד מבוסס צרכים, כלומר מאמצים יזומים של העובד לספק את צרכיו הפסיכולוגיים בעבודה, מחזק את תחושת הקוהרנטיות בעבודה: התפיסה שמצב העבודה מובן, ניתן לניהול ומשמעותי. הנושא נבחר משום שהוא מציע לסטודנטים הנמצאים בתחילת דרכם המקצועית כלי שבשליטתם, ומשום שהוא מתחבר לנושאים שנלמדו בקורס: מסע הקריירה במאה ה-21, שלושת "סלי הכלים" לניהול קריירה, רשת אנשים, זהות מקצועית והתפתחות, וההסתכלות על משבר כעל הזדמנות. כמאמר משלים, לצורך הגשה בשלשה, נבחר מחקר האורך של צ'ונג ואחרים (</w:t>
      </w:r>
      <w:r>
        <w:rPr>
          <w:rFonts w:ascii="Times New Roman" w:cs="Times New Roman" w:eastAsia="Times New Roman" w:hAnsi="Times New Roman"/>
          <w:sz w:val="24"/>
          <w:szCs w:val="24"/>
        </w:rPr>
        <w:t xml:space="preserve">‎Chung et al., 2025‎</w:t>
      </w:r>
      <w:r>
        <w:rPr>
          <w:rFonts w:ascii="David" w:cs="David" w:eastAsia="David" w:hAnsi="David"/>
          <w:sz w:val="24"/>
          <w:szCs w:val="24"/>
          <w:rtl/>
        </w:rPr>
        <w:t xml:space="preserve">), שפורסם אף הוא בגישה פתוחה ובחן כיצד המודעות לבינה מלאכותית מייצרת חוסר ביטחון תעסוקתי וכיצד חוסן קריירה ממתן זאת.</w:t>
      </w:r>
    </w:p>
    <w:p>
      <w:pPr>
        <w:bidi/>
        <w:spacing w:after="120" w:before="0" w:line="480"/>
        <w:jc w:val="both"/>
      </w:pPr>
      <w:r>
        <w:rPr>
          <w:rFonts w:ascii="David" w:cs="David" w:eastAsia="David" w:hAnsi="David"/>
          <w:sz w:val="24"/>
          <w:szCs w:val="24"/>
          <w:rtl/>
        </w:rPr>
        <w:t xml:space="preserve">פרק 1 מציג את המאמר המרכזי. פרק 2 מסכם את תמציתו ואת נקודותיו המרכזיות. פרק 3 מנתח אותו לפי מבנה, שיטה וממצאים. פרק 4 מציג את המאמר המשלים ואת הקשר בין שני המאמרים. פרק 5 מציג תובנות, מסקנות ודעה אישית, ופרק 6 מציע יישום מעשי לניהול הקריירה של הסטודנטים בכיתה. בנספחים מובאים תכנון המצגת והאמצעים להמחשה ושאלון קצר להערכה עצמית. העבודה מסתיימת ברשימת מקורות על פי כללי </w:t>
      </w:r>
      <w:r>
        <w:rPr>
          <w:rFonts w:ascii="Times New Roman" w:cs="Times New Roman" w:eastAsia="Times New Roman" w:hAnsi="Times New Roman"/>
          <w:sz w:val="24"/>
          <w:szCs w:val="24"/>
        </w:rPr>
        <w:t xml:space="preserve">‎APA‎</w:t>
      </w:r>
      <w:r>
        <w:rPr>
          <w:rFonts w:ascii="David" w:cs="David" w:eastAsia="David" w:hAnsi="David"/>
          <w:sz w:val="24"/>
          <w:szCs w:val="24"/>
          <w:rtl/>
        </w:rPr>
        <w:t xml:space="preserve"> במהדורתם השביעית.</w:t>
      </w:r>
    </w:p>
    <w:p>
      <w:r>
        <w:br w:type="page"/>
      </w:r>
    </w:p>
    <w:p>
      <w:pPr>
        <w:pStyle w:val="Heading1"/>
        <w:bidi/>
        <w:spacing w:after="240" w:before="240" w:line="480"/>
        <w:jc w:val="right"/>
      </w:pPr>
      <w:r>
        <w:rPr>
          <w:rFonts w:ascii="David" w:cs="David" w:eastAsia="David" w:hAnsi="David"/>
          <w:b/>
          <w:bCs/>
          <w:color w:val="000000"/>
          <w:sz w:val="32"/>
          <w:szCs w:val="32"/>
          <w:rtl/>
        </w:rPr>
        <w:t xml:space="preserve">פרק 1: הצגת המאמר המרכזי</w:t>
      </w:r>
    </w:p>
    <w:p>
      <w:pPr>
        <w:pStyle w:val="Heading2"/>
        <w:bidi/>
        <w:spacing w:after="120" w:before="240" w:line="480"/>
        <w:jc w:val="right"/>
      </w:pPr>
      <w:r>
        <w:rPr>
          <w:rFonts w:ascii="David" w:cs="David" w:eastAsia="David" w:hAnsi="David"/>
          <w:b/>
          <w:bCs/>
          <w:color w:val="000000"/>
          <w:sz w:val="28"/>
          <w:szCs w:val="28"/>
          <w:rtl/>
        </w:rPr>
        <w:t xml:space="preserve">1.1 פרטי המאמר</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b/>
                <w:bCs/>
                <w:sz w:val="22"/>
                <w:szCs w:val="22"/>
                <w:rtl/>
              </w:rPr>
              <w:t xml:space="preserve">פריט</w:t>
            </w:r>
          </w:p>
        </w:tc>
        <w:tc>
          <w:tcPr>
            <w:tcW w:type="dxa" w:w="6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b/>
                <w:bCs/>
                <w:sz w:val="22"/>
                <w:szCs w:val="22"/>
                <w:rtl/>
              </w:rPr>
              <w:t xml:space="preserve">פירוט</w:t>
            </w:r>
          </w:p>
        </w:tc>
      </w:tr>
      <w:tr>
        <w:tc>
          <w:tcPr>
            <w:tcW w:type="dxa" w:w="22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שם המאמר</w:t>
            </w:r>
          </w:p>
        </w:tc>
        <w:tc>
          <w:tcPr>
            <w:tcW w:type="dxa" w:w="6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Times New Roman" w:cs="Times New Roman" w:eastAsia="Times New Roman" w:hAnsi="Times New Roman"/>
                <w:sz w:val="22"/>
                <w:szCs w:val="22"/>
              </w:rPr>
              <w:t xml:space="preserve">‎The Role of Needs-Based Job Crafting in Strengthening Work-Related Sense of Coherence: A Two-Wave Panel Study‎</w:t>
            </w:r>
          </w:p>
        </w:tc>
      </w:tr>
      <w:tr>
        <w:tc>
          <w:tcPr>
            <w:tcW w:type="dxa" w:w="22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מחברים</w:t>
            </w:r>
          </w:p>
        </w:tc>
        <w:tc>
          <w:tcPr>
            <w:tcW w:type="dxa" w:w="6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קריסטינה צטקובסקה מהמחלקה לפסיכולוגיה באוניברסיטת קארל בפראג, וגאורג באואר ומרטין טושל מהמרכז לסלוטוגנזה באוניברסיטת ציריך. באואר הוא ממפתחי המושג "תחושת קוהרנטיות בעבודה"</w:t>
            </w:r>
          </w:p>
        </w:tc>
      </w:tr>
      <w:tr>
        <w:tc>
          <w:tcPr>
            <w:tcW w:type="dxa" w:w="22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כתב העת</w:t>
            </w:r>
          </w:p>
        </w:tc>
        <w:tc>
          <w:tcPr>
            <w:tcW w:type="dxa" w:w="6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Times New Roman" w:cs="Times New Roman" w:eastAsia="Times New Roman" w:hAnsi="Times New Roman"/>
                <w:sz w:val="22"/>
                <w:szCs w:val="22"/>
              </w:rPr>
              <w:t xml:space="preserve">‎Scandinavian Journal of Work and Organizational Psychology‎</w:t>
            </w:r>
            <w:r>
              <w:rPr>
                <w:rFonts w:ascii="David" w:cs="David" w:eastAsia="David" w:hAnsi="David"/>
                <w:sz w:val="22"/>
                <w:szCs w:val="22"/>
                <w:rtl/>
              </w:rPr>
              <w:t xml:space="preserve">, כרך 11, גיליון 1, מאמר 14, עמ' 1-14 (2026). </w:t>
            </w:r>
            <w:r>
              <w:rPr>
                <w:rFonts w:ascii="Times New Roman" w:cs="Times New Roman" w:eastAsia="Times New Roman" w:hAnsi="Times New Roman"/>
                <w:sz w:val="22"/>
                <w:szCs w:val="22"/>
              </w:rPr>
              <w:t xml:space="preserve">‎https://doi.org/10.16993/sjwop.389‎</w:t>
            </w:r>
          </w:p>
        </w:tc>
      </w:tr>
      <w:tr>
        <w:tc>
          <w:tcPr>
            <w:tcW w:type="dxa" w:w="22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סוג המאמר</w:t>
            </w:r>
          </w:p>
        </w:tc>
        <w:tc>
          <w:tcPr>
            <w:tcW w:type="dxa" w:w="6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מחקר אמפירי כמותי: מחקר אורך (פאנל) בשני גלי מדידה בהפרש של שישה חודשים, בקרב 924 עובדים</w:t>
            </w:r>
          </w:p>
        </w:tc>
      </w:tr>
      <w:tr>
        <w:tc>
          <w:tcPr>
            <w:tcW w:type="dxa" w:w="22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גישה</w:t>
            </w:r>
          </w:p>
        </w:tc>
        <w:tc>
          <w:tcPr>
            <w:tcW w:type="dxa" w:w="6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גישה פתוחה מלאה (</w:t>
            </w:r>
            <w:r>
              <w:rPr>
                <w:rFonts w:ascii="Times New Roman" w:cs="Times New Roman" w:eastAsia="Times New Roman" w:hAnsi="Times New Roman"/>
                <w:sz w:val="22"/>
                <w:szCs w:val="22"/>
              </w:rPr>
              <w:t xml:space="preserve">‎Open Access‎</w:t>
            </w:r>
            <w:r>
              <w:rPr>
                <w:rFonts w:ascii="David" w:cs="David" w:eastAsia="David" w:hAnsi="David"/>
                <w:sz w:val="22"/>
                <w:szCs w:val="22"/>
                <w:rtl/>
              </w:rPr>
              <w:t xml:space="preserve">). כתב העת מפרסם את כל מאמריו בחינם לקוראים לאחר שיפוט עמיתים</w:t>
            </w:r>
          </w:p>
        </w:tc>
      </w:tr>
      <w:tr>
        <w:tc>
          <w:tcPr>
            <w:tcW w:type="dxa" w:w="22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מימון</w:t>
            </w:r>
          </w:p>
        </w:tc>
        <w:tc>
          <w:tcPr>
            <w:tcW w:type="dxa" w:w="6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הקרן הלאומית השווייצרית למדע, במסגרת פרויקט </w:t>
            </w:r>
            <w:r>
              <w:rPr>
                <w:rFonts w:ascii="Times New Roman" w:cs="Times New Roman" w:eastAsia="Times New Roman" w:hAnsi="Times New Roman"/>
                <w:sz w:val="22"/>
                <w:szCs w:val="22"/>
              </w:rPr>
              <w:t xml:space="preserve">‎Craft4Health‎</w:t>
            </w:r>
          </w:p>
        </w:tc>
      </w:tr>
      <w:tr>
        <w:tc>
          <w:tcPr>
            <w:tcW w:type="dxa" w:w="22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מהימנות</w:t>
            </w:r>
          </w:p>
        </w:tc>
        <w:tc>
          <w:tcPr>
            <w:tcW w:type="dxa" w:w="6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כתב עת שפיט (</w:t>
            </w:r>
            <w:r>
              <w:rPr>
                <w:rFonts w:ascii="Times New Roman" w:cs="Times New Roman" w:eastAsia="Times New Roman" w:hAnsi="Times New Roman"/>
                <w:sz w:val="22"/>
                <w:szCs w:val="22"/>
              </w:rPr>
              <w:t xml:space="preserve">‎peer-reviewed‎</w:t>
            </w:r>
            <w:r>
              <w:rPr>
                <w:rFonts w:ascii="David" w:cs="David" w:eastAsia="David" w:hAnsi="David"/>
                <w:sz w:val="22"/>
                <w:szCs w:val="22"/>
                <w:rtl/>
              </w:rPr>
              <w:t xml:space="preserve">) בהוצאת אוניברסיטת סטוקהולם. המחברים מדווחים במלואם על המדגם, הכלים, ניתוחי ההתאמה ומגבלות המחקר, והמאמר עומד בסטנדרטים של שקיפות מחקרית</w:t>
            </w:r>
          </w:p>
        </w:tc>
      </w:tr>
    </w:tbl>
    <w:p>
      <w:pPr>
        <w:spacing w:after="120"/>
      </w:pPr>
    </w:p>
    <w:p>
      <w:pPr>
        <w:pStyle w:val="Heading2"/>
        <w:bidi/>
        <w:spacing w:after="120" w:before="240" w:line="480"/>
        <w:jc w:val="right"/>
      </w:pPr>
      <w:r>
        <w:rPr>
          <w:rFonts w:ascii="David" w:cs="David" w:eastAsia="David" w:hAnsi="David"/>
          <w:b/>
          <w:bCs/>
          <w:color w:val="000000"/>
          <w:sz w:val="28"/>
          <w:szCs w:val="28"/>
          <w:rtl/>
        </w:rPr>
        <w:t xml:space="preserve">1.2 רקע ומטרות המאמר</w:t>
      </w:r>
    </w:p>
    <w:p>
      <w:pPr>
        <w:bidi/>
        <w:spacing w:after="120" w:before="0" w:line="480"/>
        <w:jc w:val="both"/>
      </w:pPr>
      <w:r>
        <w:rPr>
          <w:rFonts w:ascii="David" w:cs="David" w:eastAsia="David" w:hAnsi="David"/>
          <w:sz w:val="24"/>
          <w:szCs w:val="24"/>
          <w:rtl/>
        </w:rPr>
        <w:t xml:space="preserve">נקודת המוצא של המאמר היא שסביבות העבודה המודרניות, המעוצבות על ידי דיגיטציה, בינה מלאכותית ומעבר לארגון עבודה גמיש, מציבות דרישות גבוהות של ניהול עצמי, הסתגלות ויוזמה אישית. תנאים אלה מדגישים את הצורך לזהות משאבים ואסטרטגיות שמאפשרים לעובדים להישאר מוטיבציוניים ולנהל את עבודתם באופן מקדם בריאות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 אחד המשאבים האלה הוא תחושת קוהרנטיות בעבודה, שהוכחה כמנבאת שביעות רצון, מעורבות בעבודה ומחויבות לארגון. עם זאת, לפני מחקר זה כמעט לא היה ידוע כיצד עובדים יכולים לחזק אותה בעצמם.</w:t>
      </w:r>
    </w:p>
    <w:p>
      <w:pPr>
        <w:bidi/>
        <w:spacing w:after="120" w:before="0" w:line="480"/>
        <w:jc w:val="both"/>
      </w:pPr>
      <w:r>
        <w:rPr>
          <w:rFonts w:ascii="David" w:cs="David" w:eastAsia="David" w:hAnsi="David"/>
          <w:sz w:val="24"/>
          <w:szCs w:val="24"/>
          <w:rtl/>
        </w:rPr>
        <w:t xml:space="preserve">מטרת המאמר היא לבחון, לראשונה במערך אורך, האם עיצוב תפקיד מבוסס צרכים (</w:t>
      </w:r>
      <w:r>
        <w:rPr>
          <w:rFonts w:ascii="Times New Roman" w:cs="Times New Roman" w:eastAsia="Times New Roman" w:hAnsi="Times New Roman"/>
          <w:sz w:val="24"/>
          <w:szCs w:val="24"/>
        </w:rPr>
        <w:t xml:space="preserve">‎Needs-based Job Crafting‎</w:t>
      </w:r>
      <w:r>
        <w:rPr>
          <w:rFonts w:ascii="David" w:cs="David" w:eastAsia="David" w:hAnsi="David"/>
          <w:sz w:val="24"/>
          <w:szCs w:val="24"/>
          <w:rtl/>
        </w:rPr>
        <w:t xml:space="preserve">) מחזק את שלושת רכיבי תחושת הקוהרנטיות בעבודה לאורך זמן, והאם הקשר פועל גם בכיוון ההפוך, כך שתחושת קוהרנטיות גבוהה מעודדת עיצוב תפקיד נוסף. המחברים מבחינים בין שני סוגים של עיצוב תפקיד, זה שמכוון לצרכי התקרבות וזה שמכוון לצרכי הימנעות, ומשערים ששניהם יתרמו לתחושת הקוהרנטיות, אך שתרומת ההתקרבות תהיה ישירה יותר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w:t>
      </w:r>
    </w:p>
    <w:p>
      <w:r>
        <w:br w:type="page"/>
      </w:r>
    </w:p>
    <w:p>
      <w:pPr>
        <w:pStyle w:val="Heading1"/>
        <w:bidi/>
        <w:spacing w:after="240" w:before="240" w:line="480"/>
        <w:jc w:val="right"/>
      </w:pPr>
      <w:r>
        <w:rPr>
          <w:rFonts w:ascii="David" w:cs="David" w:eastAsia="David" w:hAnsi="David"/>
          <w:b/>
          <w:bCs/>
          <w:color w:val="000000"/>
          <w:sz w:val="32"/>
          <w:szCs w:val="32"/>
          <w:rtl/>
        </w:rPr>
        <w:t xml:space="preserve">פרק 2: תמצית המאמר והנקודות המרכזיות</w:t>
      </w:r>
    </w:p>
    <w:p>
      <w:pPr>
        <w:pStyle w:val="Heading2"/>
        <w:bidi/>
        <w:spacing w:after="120" w:before="240" w:line="480"/>
        <w:jc w:val="right"/>
      </w:pPr>
      <w:r>
        <w:rPr>
          <w:rFonts w:ascii="David" w:cs="David" w:eastAsia="David" w:hAnsi="David"/>
          <w:b/>
          <w:bCs/>
          <w:color w:val="000000"/>
          <w:sz w:val="28"/>
          <w:szCs w:val="28"/>
          <w:rtl/>
        </w:rPr>
        <w:t xml:space="preserve">2.1 הרקע התיאורטי: סלוטוגנזה ותחושת קוהרנטיות בעבודה</w:t>
      </w:r>
    </w:p>
    <w:p>
      <w:pPr>
        <w:bidi/>
        <w:spacing w:after="120" w:before="0" w:line="480"/>
        <w:jc w:val="both"/>
      </w:pPr>
      <w:r>
        <w:rPr>
          <w:rFonts w:ascii="David" w:cs="David" w:eastAsia="David" w:hAnsi="David"/>
          <w:sz w:val="24"/>
          <w:szCs w:val="24"/>
          <w:rtl/>
        </w:rPr>
        <w:t xml:space="preserve">הגישה הסלוטוגנית, שהציע אנטונובסקי, הופכת את שאלת המחקר המקובלת: במקום לשאול מדוע אנשים חולים, היא שואלת כיצד אנשים שומרים על בריאותם למרות גורמי דחק. במרכז הגישה עומדת תחושת הקוהרנטיות, אוריינטציה כללית לחיים המוגדרת לפי המידה שבה האדם תופס את חייו כמובנים, כניתנים לניהול וכמשמעותיים (</w:t>
      </w:r>
      <w:r>
        <w:rPr>
          <w:rFonts w:ascii="Times New Roman" w:cs="Times New Roman" w:eastAsia="Times New Roman" w:hAnsi="Times New Roman"/>
          <w:sz w:val="24"/>
          <w:szCs w:val="24"/>
        </w:rPr>
        <w:t xml:space="preserve">‎Antonovsky, 1987‎</w:t>
      </w:r>
      <w:r>
        <w:rPr>
          <w:rFonts w:ascii="David" w:cs="David" w:eastAsia="David" w:hAnsi="David"/>
          <w:sz w:val="24"/>
          <w:szCs w:val="24"/>
          <w:rtl/>
        </w:rPr>
        <w:t xml:space="preserve">, כפי שמצוטט אצל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 על בסיס זה פותח המושג תחושת קוהרנטיות בעבודה, המתייחס למצב העבודה הנוכחי בלבד ומורכב משלושה רכיבים. הרכיב הקוגניטיבי, מובנות, הוא המידה שבה מצב העבודה נתפס כמובנה, עקבי וברור. הרכיב ההתנהגותי, ניהוליות, הוא המידה שבה העובד תופס שיש לו משאבים מספיקים להתמודד עם הדרישות. הרכיב המוטיבציוני, משמעותיות, הוא המידה שבה מצב העבודה נתפס כראוי למחויבות ולמעורבות. בניגוד לתחושת הקוהרנטיות הכללית, המתייצבת בבגרות הצעירה, תחושת הקוהרנטיות בעבודה דינמית ומעוצבת ללא הרף על ידי תנאי העבודה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w:t>
      </w:r>
    </w:p>
    <w:p>
      <w:pPr>
        <w:bidi/>
        <w:spacing w:after="120" w:before="0" w:line="480"/>
        <w:jc w:val="both"/>
      </w:pPr>
      <w:r>
        <w:rPr>
          <w:rFonts w:ascii="David" w:cs="David" w:eastAsia="David" w:hAnsi="David"/>
          <w:sz w:val="24"/>
          <w:szCs w:val="24"/>
          <w:rtl/>
        </w:rPr>
        <w:t xml:space="preserve">הקשר לנושא העבודה ברור: חוסר ודאות תעסוקתי הוא, במונחים סלוטוגניים, פגיעה במובנות, כשהעתיד אינו צפוי, בניהוליות, כשהמשאבים נראים בלתי מספיקים, ובמשמעותיות, כשקשה להתחייב למה שעלול להיעלם. השאלה כיצד בונים תחושת קוהרנטיות בעבודה היא לכן השאלה כיצד מתמודדים עם חוסר ודאות מבפנים.</w:t>
      </w:r>
    </w:p>
    <w:p>
      <w:pPr>
        <w:pStyle w:val="Heading2"/>
        <w:bidi/>
        <w:spacing w:after="120" w:before="240" w:line="480"/>
        <w:jc w:val="right"/>
      </w:pPr>
      <w:r>
        <w:rPr>
          <w:rFonts w:ascii="David" w:cs="David" w:eastAsia="David" w:hAnsi="David"/>
          <w:b/>
          <w:bCs/>
          <w:color w:val="000000"/>
          <w:sz w:val="28"/>
          <w:szCs w:val="28"/>
          <w:rtl/>
        </w:rPr>
        <w:t xml:space="preserve">2.2 עיצוב תפקיד מבוסס צרכים</w:t>
      </w:r>
    </w:p>
    <w:p>
      <w:pPr>
        <w:bidi/>
        <w:spacing w:after="120" w:before="0" w:line="480"/>
        <w:jc w:val="both"/>
      </w:pPr>
      <w:r>
        <w:rPr>
          <w:rFonts w:ascii="David" w:cs="David" w:eastAsia="David" w:hAnsi="David"/>
          <w:sz w:val="24"/>
          <w:szCs w:val="24"/>
          <w:rtl/>
        </w:rPr>
        <w:t xml:space="preserve">עיצוב תפקיד (</w:t>
      </w:r>
      <w:r>
        <w:rPr>
          <w:rFonts w:ascii="Times New Roman" w:cs="Times New Roman" w:eastAsia="Times New Roman" w:hAnsi="Times New Roman"/>
          <w:sz w:val="24"/>
          <w:szCs w:val="24"/>
        </w:rPr>
        <w:t xml:space="preserve">‎Job Crafting‎</w:t>
      </w:r>
      <w:r>
        <w:rPr>
          <w:rFonts w:ascii="David" w:cs="David" w:eastAsia="David" w:hAnsi="David"/>
          <w:sz w:val="24"/>
          <w:szCs w:val="24"/>
          <w:rtl/>
        </w:rPr>
        <w:t xml:space="preserve">) הוגדר לראשונה כמאמצים יזומים של עובדים להתאים היבטים של תפקידם לצרכיהם, לכישוריהם ולהעדפותיהם, גישה שהעבירה את העובד ממקבל פסיבי של תנאי עבודה לשחקן פעיל בעיצובם (</w:t>
      </w:r>
      <w:r>
        <w:rPr>
          <w:rFonts w:ascii="Times New Roman" w:cs="Times New Roman" w:eastAsia="Times New Roman" w:hAnsi="Times New Roman"/>
          <w:sz w:val="24"/>
          <w:szCs w:val="24"/>
        </w:rPr>
        <w:t xml:space="preserve">‎Wrzesniewski &amp; Dutton, 2001‎</w:t>
      </w:r>
      <w:r>
        <w:rPr>
          <w:rFonts w:ascii="David" w:cs="David" w:eastAsia="David" w:hAnsi="David"/>
          <w:sz w:val="24"/>
          <w:szCs w:val="24"/>
          <w:rtl/>
        </w:rPr>
        <w:t xml:space="preserve">, כפי שמצוטט אצל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 המאמר משתמש בגרסה ייחודית של המושג, עיצוב תפקיד מבוסס צרכים, המתמקדת במאמצים יזומים לספק שישה צרכים פסיכולוגיים בעבודה, המכונים צרכי </w:t>
      </w:r>
      <w:r>
        <w:rPr>
          <w:rFonts w:ascii="Times New Roman" w:cs="Times New Roman" w:eastAsia="Times New Roman" w:hAnsi="Times New Roman"/>
          <w:sz w:val="24"/>
          <w:szCs w:val="24"/>
        </w:rPr>
        <w:t xml:space="preserve">‎DRAMMA‎</w:t>
      </w:r>
      <w:r>
        <w:rPr>
          <w:rFonts w:ascii="David" w:cs="David" w:eastAsia="David" w:hAnsi="David"/>
          <w:sz w:val="24"/>
          <w:szCs w:val="24"/>
          <w:rtl/>
        </w:rPr>
        <w:t xml:space="preserve">: ניתוק (</w:t>
      </w:r>
      <w:r>
        <w:rPr>
          <w:rFonts w:ascii="Times New Roman" w:cs="Times New Roman" w:eastAsia="Times New Roman" w:hAnsi="Times New Roman"/>
          <w:sz w:val="24"/>
          <w:szCs w:val="24"/>
        </w:rPr>
        <w:t xml:space="preserve">‎Detachment‎</w:t>
      </w:r>
      <w:r>
        <w:rPr>
          <w:rFonts w:ascii="David" w:cs="David" w:eastAsia="David" w:hAnsi="David"/>
          <w:sz w:val="24"/>
          <w:szCs w:val="24"/>
          <w:rtl/>
        </w:rPr>
        <w:t xml:space="preserve">), הרפיה (</w:t>
      </w:r>
      <w:r>
        <w:rPr>
          <w:rFonts w:ascii="Times New Roman" w:cs="Times New Roman" w:eastAsia="Times New Roman" w:hAnsi="Times New Roman"/>
          <w:sz w:val="24"/>
          <w:szCs w:val="24"/>
        </w:rPr>
        <w:t xml:space="preserve">‎Relaxation‎</w:t>
      </w:r>
      <w:r>
        <w:rPr>
          <w:rFonts w:ascii="David" w:cs="David" w:eastAsia="David" w:hAnsi="David"/>
          <w:sz w:val="24"/>
          <w:szCs w:val="24"/>
          <w:rtl/>
        </w:rPr>
        <w:t xml:space="preserve">), אוטונומיה (</w:t>
      </w:r>
      <w:r>
        <w:rPr>
          <w:rFonts w:ascii="Times New Roman" w:cs="Times New Roman" w:eastAsia="Times New Roman" w:hAnsi="Times New Roman"/>
          <w:sz w:val="24"/>
          <w:szCs w:val="24"/>
        </w:rPr>
        <w:t xml:space="preserve">‎Autonomy‎</w:t>
      </w:r>
      <w:r>
        <w:rPr>
          <w:rFonts w:ascii="David" w:cs="David" w:eastAsia="David" w:hAnsi="David"/>
          <w:sz w:val="24"/>
          <w:szCs w:val="24"/>
          <w:rtl/>
        </w:rPr>
        <w:t xml:space="preserve">), מיומנות (</w:t>
      </w:r>
      <w:r>
        <w:rPr>
          <w:rFonts w:ascii="Times New Roman" w:cs="Times New Roman" w:eastAsia="Times New Roman" w:hAnsi="Times New Roman"/>
          <w:sz w:val="24"/>
          <w:szCs w:val="24"/>
        </w:rPr>
        <w:t xml:space="preserve">‎Mastery‎</w:t>
      </w:r>
      <w:r>
        <w:rPr>
          <w:rFonts w:ascii="David" w:cs="David" w:eastAsia="David" w:hAnsi="David"/>
          <w:sz w:val="24"/>
          <w:szCs w:val="24"/>
          <w:rtl/>
        </w:rPr>
        <w:t xml:space="preserve">), משמעות (</w:t>
      </w:r>
      <w:r>
        <w:rPr>
          <w:rFonts w:ascii="Times New Roman" w:cs="Times New Roman" w:eastAsia="Times New Roman" w:hAnsi="Times New Roman"/>
          <w:sz w:val="24"/>
          <w:szCs w:val="24"/>
        </w:rPr>
        <w:t xml:space="preserve">‎Meaning‎</w:t>
      </w:r>
      <w:r>
        <w:rPr>
          <w:rFonts w:ascii="David" w:cs="David" w:eastAsia="David" w:hAnsi="David"/>
          <w:sz w:val="24"/>
          <w:szCs w:val="24"/>
          <w:rtl/>
        </w:rPr>
        <w:t xml:space="preserve">) ושייכות (</w:t>
      </w:r>
      <w:r>
        <w:rPr>
          <w:rFonts w:ascii="Times New Roman" w:cs="Times New Roman" w:eastAsia="Times New Roman" w:hAnsi="Times New Roman"/>
          <w:sz w:val="24"/>
          <w:szCs w:val="24"/>
        </w:rPr>
        <w:t xml:space="preserve">‎Affiliation‎</w:t>
      </w:r>
      <w:r>
        <w:rPr>
          <w:rFonts w:ascii="David" w:cs="David" w:eastAsia="David" w:hAnsi="David"/>
          <w:sz w:val="24"/>
          <w:szCs w:val="24"/>
          <w:rtl/>
        </w:rPr>
        <w:t xml:space="preserve">). שני הצרכים הראשונים הם צרכי הימנעות, שמטרתם להפחית מאמץ ולהשיב אנרגיה, וארבעת האחרונים הם צרכי התקרבות, שמטרתם לייצר מצבים חיוביים, צמיחה ומשאבים חדשים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 דוגמאות לפריטי המדידה: "ארגנתי את עבודתי כך שאתרחק ממשימות עבודה בזמן הפנוי", "תכננתי את עבודתי כך שאחווה שליטה", ו"ארגנתי את עבודתי כך שאשיג תחושת תכלית במה שאני עושה".</w:t>
      </w:r>
    </w:p>
    <w:p>
      <w:pPr>
        <w:pStyle w:val="Heading2"/>
        <w:bidi/>
        <w:spacing w:after="120" w:before="240" w:line="480"/>
        <w:jc w:val="right"/>
      </w:pPr>
      <w:r>
        <w:rPr>
          <w:rFonts w:ascii="David" w:cs="David" w:eastAsia="David" w:hAnsi="David"/>
          <w:b/>
          <w:bCs/>
          <w:color w:val="000000"/>
          <w:sz w:val="28"/>
          <w:szCs w:val="28"/>
          <w:rtl/>
        </w:rPr>
        <w:t xml:space="preserve">2.3 ההשערות: ספירלת רווח</w:t>
      </w:r>
    </w:p>
    <w:p>
      <w:pPr>
        <w:bidi/>
        <w:spacing w:after="120" w:before="0" w:line="480"/>
        <w:jc w:val="both"/>
      </w:pPr>
      <w:r>
        <w:rPr>
          <w:rFonts w:ascii="David" w:cs="David" w:eastAsia="David" w:hAnsi="David"/>
          <w:sz w:val="24"/>
          <w:szCs w:val="24"/>
          <w:rtl/>
        </w:rPr>
        <w:t xml:space="preserve">המאמר נשען על תיאוריית שימור המשאבים, שלפיה מי שמחזיק במשאבים נוטה לפתח ולגייס משאבים נוספים (</w:t>
      </w:r>
      <w:r>
        <w:rPr>
          <w:rFonts w:ascii="Times New Roman" w:cs="Times New Roman" w:eastAsia="Times New Roman" w:hAnsi="Times New Roman"/>
          <w:sz w:val="24"/>
          <w:szCs w:val="24"/>
        </w:rPr>
        <w:t xml:space="preserve">‎Hobfoll, 2001‎</w:t>
      </w:r>
      <w:r>
        <w:rPr>
          <w:rFonts w:ascii="David" w:cs="David" w:eastAsia="David" w:hAnsi="David"/>
          <w:sz w:val="24"/>
          <w:szCs w:val="24"/>
          <w:rtl/>
        </w:rPr>
        <w:t xml:space="preserve">, כפי שמצוטט אצל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 ועל מודל הדרישות והמשאבים בעבודה, המתאר "ספירלות רווח" שבהן עובדים מוטיבציוניים מעצבים את תפקידם, מגדילים את משאביהם ומגבירים עוד את המוטיבציה שלהם. מכאן שתי השערות. ההשערה הראשונה היא שעיצוב תפקיד מבוסס צרכים מנבא באופן חיובי את שלושת רכיבי תחושת הקוהרנטיות בעבודה חצי שנה מאוחר יותר. ההשערה השנייה היא שתחושת קוהרנטיות בעבודה מנבאת באופן חיובי עיצוב תפקיד עתידי. יחד הן מתארות קשר הדדי, שבו שני המשתנים מחזקים זה את זה לאורך זמן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w:t>
      </w:r>
    </w:p>
    <w:p>
      <w:pPr>
        <w:pStyle w:val="Heading2"/>
        <w:bidi/>
        <w:spacing w:after="120" w:before="240" w:line="480"/>
        <w:jc w:val="right"/>
      </w:pPr>
      <w:r>
        <w:rPr>
          <w:rFonts w:ascii="David" w:cs="David" w:eastAsia="David" w:hAnsi="David"/>
          <w:b/>
          <w:bCs/>
          <w:color w:val="000000"/>
          <w:sz w:val="28"/>
          <w:szCs w:val="28"/>
          <w:rtl/>
        </w:rPr>
        <w:t xml:space="preserve">2.4 השיטה בקצרה</w:t>
      </w:r>
    </w:p>
    <w:p>
      <w:pPr>
        <w:bidi/>
        <w:spacing w:after="120" w:before="0" w:line="480"/>
        <w:jc w:val="both"/>
      </w:pPr>
      <w:r>
        <w:rPr>
          <w:rFonts w:ascii="David" w:cs="David" w:eastAsia="David" w:hAnsi="David"/>
          <w:sz w:val="24"/>
          <w:szCs w:val="24"/>
          <w:rtl/>
        </w:rPr>
        <w:t xml:space="preserve">המחקר הוא מחקר פאנל בשני גלים בהפרש של שישה חודשים, במסגרת פרויקט </w:t>
      </w:r>
      <w:r>
        <w:rPr>
          <w:rFonts w:ascii="Times New Roman" w:cs="Times New Roman" w:eastAsia="Times New Roman" w:hAnsi="Times New Roman"/>
          <w:sz w:val="24"/>
          <w:szCs w:val="24"/>
        </w:rPr>
        <w:t xml:space="preserve">‎Craft4Health‎</w:t>
      </w:r>
      <w:r>
        <w:rPr>
          <w:rFonts w:ascii="David" w:cs="David" w:eastAsia="David" w:hAnsi="David"/>
          <w:sz w:val="24"/>
          <w:szCs w:val="24"/>
          <w:rtl/>
        </w:rPr>
        <w:t xml:space="preserve">. הגל הראשון נאסף בדצמבר 2021 עד ינואר 2022 והשני ביוני עד יולי 2022, באמצעות שאלון מקוון ופאנל מדגם מכסות של האוכלוסייה העובדת בגרמניה (80% מהמדגם) ובאזור דובר הגרמנית בשווייץ (20%). תנאי ההכללה היו העסקה של יותר מ-20 שעות שבועיות, שליטה בגרמנית וגיל 18 עד 65. מתוך 977 משיבים בגל הראשון הוסרו 53 בשל מענה רשלני, כך שהמדגם המלא מנה 924 משתתפים, ו-740 מהם השלימו גם את הגל השני, שיעור השתתפות של 80%. במדגם 56% גברים, הגיל הממוצע 48.9 שנים, ממוצע שעות העבודה השבועיות 38.1, ו-35% בעלי תואר אקדמי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w:t>
      </w:r>
    </w:p>
    <w:p>
      <w:pPr>
        <w:bidi/>
        <w:spacing w:after="120" w:before="0" w:line="480"/>
        <w:jc w:val="both"/>
      </w:pPr>
      <w:r>
        <w:rPr>
          <w:rFonts w:ascii="David" w:cs="David" w:eastAsia="David" w:hAnsi="David"/>
          <w:sz w:val="24"/>
          <w:szCs w:val="24"/>
          <w:rtl/>
        </w:rPr>
        <w:t xml:space="preserve">תחושת קוהרנטיות בעבודה נמדדה בסולם של תשעה פריטים, שלושה לכל רכיב, בשיטת דיפרנציאל סמנטי בן שבע דרגות עם זוגות תארים מנוגדים, כגון צפוי לעומת בלתי צפוי. עיצוב תפקיד מבוסס צרכים נמדד בסולם של 18 פריטים, שלושה לכל אחד משישה הצרכים, בסולם של חמש דרגות מ"אף פעם" עד "לעיתים קרובות מאוד", ביחס לשבועיים האחרונים. הניתוח נערך במודל פאנל צולב (</w:t>
      </w:r>
      <w:r>
        <w:rPr>
          <w:rFonts w:ascii="Times New Roman" w:cs="Times New Roman" w:eastAsia="Times New Roman" w:hAnsi="Times New Roman"/>
          <w:sz w:val="24"/>
          <w:szCs w:val="24"/>
        </w:rPr>
        <w:t xml:space="preserve">‎Cross-Lagged Panel Model‎</w:t>
      </w:r>
      <w:r>
        <w:rPr>
          <w:rFonts w:ascii="David" w:cs="David" w:eastAsia="David" w:hAnsi="David"/>
          <w:sz w:val="24"/>
          <w:szCs w:val="24"/>
          <w:rtl/>
        </w:rPr>
        <w:t xml:space="preserve">) בתוכנת </w:t>
      </w:r>
      <w:r>
        <w:rPr>
          <w:rFonts w:ascii="Times New Roman" w:cs="Times New Roman" w:eastAsia="Times New Roman" w:hAnsi="Times New Roman"/>
          <w:sz w:val="24"/>
          <w:szCs w:val="24"/>
        </w:rPr>
        <w:t xml:space="preserve">‎R‎</w:t>
      </w:r>
      <w:r>
        <w:rPr>
          <w:rFonts w:ascii="David" w:cs="David" w:eastAsia="David" w:hAnsi="David"/>
          <w:sz w:val="24"/>
          <w:szCs w:val="24"/>
          <w:rtl/>
        </w:rPr>
        <w:t xml:space="preserve">, לאחר ניתוח גורמים מאשש ובדיקת אי-שונות מדידה בין שני הגלים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w:t>
      </w:r>
    </w:p>
    <w:p>
      <w:pPr>
        <w:pStyle w:val="Heading2"/>
        <w:bidi/>
        <w:spacing w:after="120" w:before="240" w:line="480"/>
        <w:jc w:val="right"/>
      </w:pPr>
      <w:r>
        <w:rPr>
          <w:rFonts w:ascii="David" w:cs="David" w:eastAsia="David" w:hAnsi="David"/>
          <w:b/>
          <w:bCs/>
          <w:color w:val="000000"/>
          <w:sz w:val="28"/>
          <w:szCs w:val="28"/>
          <w:rtl/>
        </w:rPr>
        <w:t xml:space="preserve">2.5 הממצאים המרכזיים</w:t>
      </w:r>
    </w:p>
    <w:p>
      <w:pPr>
        <w:bidi/>
        <w:spacing w:after="120" w:before="0" w:line="480"/>
        <w:jc w:val="both"/>
      </w:pPr>
      <w:r>
        <w:rPr>
          <w:rFonts w:ascii="David" w:cs="David" w:eastAsia="David" w:hAnsi="David"/>
          <w:sz w:val="24"/>
          <w:szCs w:val="24"/>
          <w:rtl/>
        </w:rPr>
        <w:t xml:space="preserve">הממצא הראשון הוא שהמודל ההדדי, שבו עיצוב התפקיד ותחושת הקוהרנטיות מנבאים זה את זה, השיג את ההתאמה הטובה ביותר לנתונים, מה שתומך בפרשנות של ספירלת רווח. הממצא השני הוא שעיצוב תפקיד לצרכי התקרבות ניבא באופן חיובי את שלושת הרכיבים חצי שנה מאוחר יותר: מובנות, ניהוליות ומשמעותיות. הממצא השלישי הוא שעיצוב תפקיד לצרכי הימנעות, ניתוק והרפיה, לא ניבא אף אחד מהרכיבים. הממצא הרביעי נוגע לכיוון ההפוך: ניהוליות ומשמעותיות ניבאו עיצוב תפקיד עתידי לצרכי התקרבות, כשלניהוליות המקדם החזק ביותר במודל, ואילו מובנות הראתה מקדם שלילי, שהמחברים מייחסים לאפקט דיכוי סטטיסטי ולא להשפעה שלילית אמיתית. אף רכיב לא ניבא עיצוב תפקיד לצרכי הימנעות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 טבלה 1 מציגה את המקדמים.</w:t>
      </w:r>
    </w:p>
    <w:p>
      <w:pPr>
        <w:bidi/>
        <w:spacing w:after="120" w:before="0" w:line="276"/>
        <w:jc w:val="right"/>
      </w:pPr>
      <w:r>
        <w:rPr>
          <w:rFonts w:ascii="David" w:cs="David" w:eastAsia="David" w:hAnsi="David"/>
          <w:b/>
          <w:bCs/>
          <w:sz w:val="22"/>
          <w:szCs w:val="22"/>
          <w:rtl/>
        </w:rPr>
        <w:t xml:space="preserve">טבלה 1: מקדמי הניבוי המתוקננים במודל הפאנל הצולב</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400"/>
      </w:tblGrid>
      <w:tr>
        <w:trPr>
          <w:tblHeader/>
        </w:trPr>
        <w:tc>
          <w:tcPr>
            <w:tcW w:type="dxa" w:w="3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b/>
                <w:bCs/>
                <w:sz w:val="22"/>
                <w:szCs w:val="22"/>
                <w:rtl/>
              </w:rPr>
              <w:t xml:space="preserve">נתיב (גל 1 מנבא גל 2)</w:t>
            </w:r>
          </w:p>
        </w:tc>
        <w:tc>
          <w:tcPr>
            <w:tcW w:type="dxa" w:w="3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b/>
                <w:bCs/>
                <w:sz w:val="22"/>
                <w:szCs w:val="22"/>
                <w:rtl/>
              </w:rPr>
              <w:t xml:space="preserve">מקדם מתוקנן (β)</w:t>
            </w:r>
          </w:p>
        </w:tc>
        <w:tc>
          <w:tcPr>
            <w:tcW w:type="dxa" w:w="2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b/>
                <w:bCs/>
                <w:sz w:val="22"/>
                <w:szCs w:val="22"/>
                <w:rtl/>
              </w:rPr>
              <w:t xml:space="preserve">מובהקות</w:t>
            </w:r>
          </w:p>
        </w:tc>
      </w:tr>
      <w:tr>
        <w:tc>
          <w:tcPr>
            <w:tcW w:type="dxa" w:w="3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עיצוב לצרכי התקרבות ← מובנות</w:t>
            </w:r>
          </w:p>
        </w:tc>
        <w:tc>
          <w:tcPr>
            <w:tcW w:type="dxa" w:w="3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0.142</w:t>
            </w:r>
          </w:p>
        </w:tc>
        <w:tc>
          <w:tcPr>
            <w:tcW w:type="dxa" w:w="2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Times New Roman" w:cs="Times New Roman" w:eastAsia="Times New Roman" w:hAnsi="Times New Roman"/>
                <w:sz w:val="22"/>
                <w:szCs w:val="22"/>
              </w:rPr>
              <w:t xml:space="preserve">‎p = 0.002‎</w:t>
            </w:r>
          </w:p>
        </w:tc>
      </w:tr>
      <w:tr>
        <w:tc>
          <w:tcPr>
            <w:tcW w:type="dxa" w:w="3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עיצוב לצרכי התקרבות ← ניהוליות</w:t>
            </w:r>
          </w:p>
        </w:tc>
        <w:tc>
          <w:tcPr>
            <w:tcW w:type="dxa" w:w="3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0.137</w:t>
            </w:r>
          </w:p>
        </w:tc>
        <w:tc>
          <w:tcPr>
            <w:tcW w:type="dxa" w:w="2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Times New Roman" w:cs="Times New Roman" w:eastAsia="Times New Roman" w:hAnsi="Times New Roman"/>
                <w:sz w:val="22"/>
                <w:szCs w:val="22"/>
              </w:rPr>
              <w:t xml:space="preserve">‎p = 0.003‎</w:t>
            </w:r>
          </w:p>
        </w:tc>
      </w:tr>
      <w:tr>
        <w:tc>
          <w:tcPr>
            <w:tcW w:type="dxa" w:w="3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עיצוב לצרכי התקרבות ← משמעותיות</w:t>
            </w:r>
          </w:p>
        </w:tc>
        <w:tc>
          <w:tcPr>
            <w:tcW w:type="dxa" w:w="3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0.166</w:t>
            </w:r>
          </w:p>
        </w:tc>
        <w:tc>
          <w:tcPr>
            <w:tcW w:type="dxa" w:w="2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Times New Roman" w:cs="Times New Roman" w:eastAsia="Times New Roman" w:hAnsi="Times New Roman"/>
                <w:sz w:val="22"/>
                <w:szCs w:val="22"/>
              </w:rPr>
              <w:t xml:space="preserve">‎p &lt; 0.001‎</w:t>
            </w:r>
          </w:p>
        </w:tc>
      </w:tr>
      <w:tr>
        <w:tc>
          <w:tcPr>
            <w:tcW w:type="dxa" w:w="3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עיצוב לצרכי הימנעות ← שלושת הרכיבים</w:t>
            </w:r>
          </w:p>
        </w:tc>
        <w:tc>
          <w:tcPr>
            <w:tcW w:type="dxa" w:w="3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0.027 עד 0.090</w:t>
            </w:r>
          </w:p>
        </w:tc>
        <w:tc>
          <w:tcPr>
            <w:tcW w:type="dxa" w:w="2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לא מובהק</w:t>
            </w:r>
          </w:p>
        </w:tc>
      </w:tr>
      <w:tr>
        <w:tc>
          <w:tcPr>
            <w:tcW w:type="dxa" w:w="3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ניהוליות ← עיצוב לצרכי התקרבות</w:t>
            </w:r>
          </w:p>
        </w:tc>
        <w:tc>
          <w:tcPr>
            <w:tcW w:type="dxa" w:w="3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0.431</w:t>
            </w:r>
          </w:p>
        </w:tc>
        <w:tc>
          <w:tcPr>
            <w:tcW w:type="dxa" w:w="2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Times New Roman" w:cs="Times New Roman" w:eastAsia="Times New Roman" w:hAnsi="Times New Roman"/>
                <w:sz w:val="22"/>
                <w:szCs w:val="22"/>
              </w:rPr>
              <w:t xml:space="preserve">‎p &lt; 0.001‎</w:t>
            </w:r>
          </w:p>
        </w:tc>
      </w:tr>
      <w:tr>
        <w:tc>
          <w:tcPr>
            <w:tcW w:type="dxa" w:w="3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משמעותיות ← עיצוב לצרכי התקרבות</w:t>
            </w:r>
          </w:p>
        </w:tc>
        <w:tc>
          <w:tcPr>
            <w:tcW w:type="dxa" w:w="3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0.095</w:t>
            </w:r>
          </w:p>
        </w:tc>
        <w:tc>
          <w:tcPr>
            <w:tcW w:type="dxa" w:w="2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Times New Roman" w:cs="Times New Roman" w:eastAsia="Times New Roman" w:hAnsi="Times New Roman"/>
                <w:sz w:val="22"/>
                <w:szCs w:val="22"/>
              </w:rPr>
              <w:t xml:space="preserve">‎p = 0.023‎</w:t>
            </w:r>
          </w:p>
        </w:tc>
      </w:tr>
      <w:tr>
        <w:tc>
          <w:tcPr>
            <w:tcW w:type="dxa" w:w="3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מובנות ← עיצוב לצרכי התקרבות</w:t>
            </w:r>
          </w:p>
        </w:tc>
        <w:tc>
          <w:tcPr>
            <w:tcW w:type="dxa" w:w="3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0.341-</w:t>
            </w:r>
          </w:p>
        </w:tc>
        <w:tc>
          <w:tcPr>
            <w:tcW w:type="dxa" w:w="2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Times New Roman" w:cs="Times New Roman" w:eastAsia="Times New Roman" w:hAnsi="Times New Roman"/>
                <w:sz w:val="22"/>
                <w:szCs w:val="22"/>
              </w:rPr>
              <w:t xml:space="preserve">‎p = 0.001‎</w:t>
            </w:r>
            <w:r>
              <w:rPr>
                <w:rFonts w:ascii="David" w:cs="David" w:eastAsia="David" w:hAnsi="David"/>
                <w:sz w:val="22"/>
                <w:szCs w:val="22"/>
                <w:rtl/>
              </w:rPr>
              <w:t xml:space="preserve">, כנראה אפקט דיכוי</w:t>
            </w:r>
          </w:p>
        </w:tc>
      </w:tr>
      <w:tr>
        <w:tc>
          <w:tcPr>
            <w:tcW w:type="dxa" w:w="3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שלושת הרכיבים ← עיצוב לצרכי הימנעות</w:t>
            </w:r>
          </w:p>
        </w:tc>
        <w:tc>
          <w:tcPr>
            <w:tcW w:type="dxa" w:w="3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0.077- עד 0.164</w:t>
            </w:r>
          </w:p>
        </w:tc>
        <w:tc>
          <w:tcPr>
            <w:tcW w:type="dxa" w:w="2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לא מובהק</w:t>
            </w:r>
          </w:p>
        </w:tc>
      </w:tr>
    </w:tbl>
    <w:p>
      <w:pPr>
        <w:bidi/>
        <w:spacing w:after="120" w:before="0" w:line="276"/>
        <w:jc w:val="right"/>
      </w:pPr>
      <w:r>
        <w:rPr>
          <w:rFonts w:ascii="David" w:cs="David" w:eastAsia="David" w:hAnsi="David"/>
          <w:color w:val="000000"/>
          <w:sz w:val="20"/>
          <w:szCs w:val="20"/>
          <w:rtl/>
        </w:rPr>
        <w:t xml:space="preserve">מקור: עיבוד של המחברים על פי טבלה 4 אצל </w:t>
      </w:r>
      <w:r>
        <w:rPr>
          <w:rFonts w:ascii="Times New Roman" w:cs="Times New Roman" w:eastAsia="Times New Roman" w:hAnsi="Times New Roman"/>
          <w:color w:val="000000"/>
          <w:sz w:val="20"/>
          <w:szCs w:val="20"/>
        </w:rPr>
        <w:t xml:space="preserve">‎Cetkovská et al. (2026)‎</w:t>
      </w:r>
      <w:r>
        <w:rPr>
          <w:rFonts w:ascii="David" w:cs="David" w:eastAsia="David" w:hAnsi="David"/>
          <w:color w:val="000000"/>
          <w:sz w:val="20"/>
          <w:szCs w:val="20"/>
          <w:rtl/>
        </w:rPr>
        <w:t xml:space="preserve">. המודל הסביר 56% עד 66% מהשונות ברכיבי תחושת הקוהרנטיות בגל השני.</w:t>
      </w:r>
    </w:p>
    <w:p>
      <w:pPr>
        <w:pStyle w:val="Heading2"/>
        <w:bidi/>
        <w:spacing w:after="120" w:before="240" w:line="480"/>
        <w:jc w:val="right"/>
      </w:pPr>
      <w:r>
        <w:rPr>
          <w:rFonts w:ascii="David" w:cs="David" w:eastAsia="David" w:hAnsi="David"/>
          <w:b/>
          <w:bCs/>
          <w:color w:val="000000"/>
          <w:sz w:val="28"/>
          <w:szCs w:val="28"/>
          <w:rtl/>
        </w:rPr>
        <w:t xml:space="preserve">2.6 המסקנות</w:t>
      </w:r>
    </w:p>
    <w:p>
      <w:pPr>
        <w:bidi/>
        <w:spacing w:after="120" w:before="0" w:line="480"/>
        <w:jc w:val="both"/>
      </w:pPr>
      <w:r>
        <w:rPr>
          <w:rFonts w:ascii="David" w:cs="David" w:eastAsia="David" w:hAnsi="David"/>
          <w:sz w:val="24"/>
          <w:szCs w:val="24"/>
          <w:rtl/>
        </w:rPr>
        <w:t xml:space="preserve">המחברים מסיקים שתחושת הקוהרנטיות בעבודה היא משאב דינמי שמגיב לשינויים שהעובד עצמו יוזם. עובדים שמעצבים את תפקידם כדי לספק את צרכי האוטונומיה, המיומנות, המשמעות והשייכות שלהם תופסים את עבודתם, חצי שנה מאוחר יותר, כמובנת יותר, ניתנת לניהול יותר ומשמעותית יותר. עיצוב תפקיד שמכוון רק להתרחק מהעבודה ולנוח תומך אמנם בהתאוששות, אך אינו משנה את האופן שבו העבודה עצמה נתפסת. לארגונים המסקנה היא שיש ליצור תנאים ומרחב לעיצוב תפקיד, למשל באמצעות התערבויות מובנות, ולטפח תחושת ניהוליות, כלומר משאבים מספיקים, משום שהיא המניע החזק ביותר ליוזמה נוספת של העובדים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w:t>
      </w:r>
    </w:p>
    <w:p>
      <w:r>
        <w:br w:type="page"/>
      </w:r>
    </w:p>
    <w:p>
      <w:pPr>
        <w:pStyle w:val="Heading1"/>
        <w:bidi/>
        <w:spacing w:after="240" w:before="240" w:line="480"/>
        <w:jc w:val="right"/>
      </w:pPr>
      <w:r>
        <w:rPr>
          <w:rFonts w:ascii="David" w:cs="David" w:eastAsia="David" w:hAnsi="David"/>
          <w:b/>
          <w:bCs/>
          <w:color w:val="000000"/>
          <w:sz w:val="32"/>
          <w:szCs w:val="32"/>
          <w:rtl/>
        </w:rPr>
        <w:t xml:space="preserve">פרק 3: ניתוח המאמר לפי מבנה, שיטה וממצאים</w:t>
      </w:r>
    </w:p>
    <w:p>
      <w:pPr>
        <w:pStyle w:val="Heading2"/>
        <w:bidi/>
        <w:spacing w:after="120" w:before="240" w:line="480"/>
        <w:jc w:val="right"/>
      </w:pPr>
      <w:r>
        <w:rPr>
          <w:rFonts w:ascii="David" w:cs="David" w:eastAsia="David" w:hAnsi="David"/>
          <w:b/>
          <w:bCs/>
          <w:color w:val="000000"/>
          <w:sz w:val="28"/>
          <w:szCs w:val="28"/>
          <w:rtl/>
        </w:rPr>
        <w:t xml:space="preserve">3.1 מבנה המאמר</w:t>
      </w:r>
    </w:p>
    <w:p>
      <w:pPr>
        <w:bidi/>
        <w:spacing w:after="120" w:before="0" w:line="480"/>
        <w:jc w:val="both"/>
      </w:pPr>
      <w:r>
        <w:rPr>
          <w:rFonts w:ascii="David" w:cs="David" w:eastAsia="David" w:hAnsi="David"/>
          <w:sz w:val="24"/>
          <w:szCs w:val="24"/>
          <w:rtl/>
        </w:rPr>
        <w:t xml:space="preserve">המאמר בנוי במבנה המקובל למאמר אמפירי כמותי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 טבלה 2 מציגה את חלקיו ואת תרומתו של כל חלק.</w:t>
      </w:r>
    </w:p>
    <w:p>
      <w:pPr>
        <w:bidi/>
        <w:spacing w:after="120" w:before="0" w:line="276"/>
        <w:jc w:val="right"/>
      </w:pPr>
      <w:r>
        <w:rPr>
          <w:rFonts w:ascii="David" w:cs="David" w:eastAsia="David" w:hAnsi="David"/>
          <w:b/>
          <w:bCs/>
          <w:sz w:val="22"/>
          <w:szCs w:val="22"/>
          <w:rtl/>
        </w:rPr>
        <w:t xml:space="preserve">טבלה 2: מבנה המאמר</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00"/>
      </w:tblGrid>
      <w:tr>
        <w:trPr>
          <w:tblHeader/>
        </w:trPr>
        <w:tc>
          <w:tcPr>
            <w:tcW w:type="dxa" w:w="2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b/>
                <w:bCs/>
                <w:sz w:val="22"/>
                <w:szCs w:val="22"/>
                <w:rtl/>
              </w:rPr>
              <w:t xml:space="preserve">חלק</w:t>
            </w:r>
          </w:p>
        </w:tc>
        <w:tc>
          <w:tcPr>
            <w:tcW w:type="dxa" w:w="4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b/>
                <w:bCs/>
                <w:sz w:val="22"/>
                <w:szCs w:val="22"/>
                <w:rtl/>
              </w:rPr>
              <w:t xml:space="preserve">תוכן</w:t>
            </w:r>
          </w:p>
        </w:tc>
        <w:tc>
          <w:tcPr>
            <w:tcW w:type="dxa" w:w="2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b/>
                <w:bCs/>
                <w:sz w:val="22"/>
                <w:szCs w:val="22"/>
                <w:rtl/>
              </w:rPr>
              <w:t xml:space="preserve">תרומה</w:t>
            </w:r>
          </w:p>
        </w:tc>
      </w:tr>
      <w:tr>
        <w:tc>
          <w:tcPr>
            <w:tcW w:type="dxa" w:w="2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מבוא</w:t>
            </w:r>
          </w:p>
        </w:tc>
        <w:tc>
          <w:tcPr>
            <w:tcW w:type="dxa" w:w="4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דרישות עולם העבודה המודרני, סלוטוגנזה, תחושת קוהרנטיות בעבודה</w:t>
            </w:r>
          </w:p>
        </w:tc>
        <w:tc>
          <w:tcPr>
            <w:tcW w:type="dxa" w:w="2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הצדקת הצורך במשאב שהעובד יכול לחזק בעצמו</w:t>
            </w:r>
          </w:p>
        </w:tc>
      </w:tr>
      <w:tr>
        <w:tc>
          <w:tcPr>
            <w:tcW w:type="dxa" w:w="2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רקע תיאורטי והשערות</w:t>
            </w:r>
          </w:p>
        </w:tc>
        <w:tc>
          <w:tcPr>
            <w:tcW w:type="dxa" w:w="4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עיצוב תפקיד מבוסס צרכים, צרכי </w:t>
            </w:r>
            <w:r>
              <w:rPr>
                <w:rFonts w:ascii="Times New Roman" w:cs="Times New Roman" w:eastAsia="Times New Roman" w:hAnsi="Times New Roman"/>
                <w:sz w:val="22"/>
                <w:szCs w:val="22"/>
              </w:rPr>
              <w:t xml:space="preserve">‎DRAMMA‎</w:t>
            </w:r>
            <w:r>
              <w:rPr>
                <w:rFonts w:ascii="David" w:cs="David" w:eastAsia="David" w:hAnsi="David"/>
                <w:sz w:val="22"/>
                <w:szCs w:val="22"/>
                <w:rtl/>
              </w:rPr>
              <w:t xml:space="preserve">, ספירלת הרווח, שתי השערות</w:t>
            </w:r>
          </w:p>
        </w:tc>
        <w:tc>
          <w:tcPr>
            <w:tcW w:type="dxa" w:w="2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מסגרת ברורה לבדיקה</w:t>
            </w:r>
          </w:p>
        </w:tc>
      </w:tr>
      <w:tr>
        <w:tc>
          <w:tcPr>
            <w:tcW w:type="dxa" w:w="2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שיטה</w:t>
            </w:r>
          </w:p>
        </w:tc>
        <w:tc>
          <w:tcPr>
            <w:tcW w:type="dxa" w:w="4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מערך, משתתפים, כלי מדידה, פרוצדורה סטטיסטית</w:t>
            </w:r>
          </w:p>
        </w:tc>
        <w:tc>
          <w:tcPr>
            <w:tcW w:type="dxa" w:w="2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שקיפות ואפשרות שחזור</w:t>
            </w:r>
          </w:p>
        </w:tc>
      </w:tr>
      <w:tr>
        <w:tc>
          <w:tcPr>
            <w:tcW w:type="dxa" w:w="2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תוצאות</w:t>
            </w:r>
          </w:p>
        </w:tc>
        <w:tc>
          <w:tcPr>
            <w:tcW w:type="dxa" w:w="4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סטטיסטיקה תיאורית, ניתוח גורמים, אי-שונות מדידה, השוואת מודלים, מקדמי הנתיבים, ניתוחים חקרניים</w:t>
            </w:r>
          </w:p>
        </w:tc>
        <w:tc>
          <w:tcPr>
            <w:tcW w:type="dxa" w:w="2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הראיה הכמותית</w:t>
            </w:r>
          </w:p>
        </w:tc>
      </w:tr>
      <w:tr>
        <w:tc>
          <w:tcPr>
            <w:tcW w:type="dxa" w:w="2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דיון</w:t>
            </w:r>
          </w:p>
        </w:tc>
        <w:tc>
          <w:tcPr>
            <w:tcW w:type="dxa" w:w="4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פרשנות, השלכות מעשיות, כיווני מחקר, חוזקות ומגבלות</w:t>
            </w:r>
          </w:p>
        </w:tc>
        <w:tc>
          <w:tcPr>
            <w:tcW w:type="dxa" w:w="2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חיבור לתיאוריה ולפרקטיקה</w:t>
            </w:r>
          </w:p>
        </w:tc>
      </w:tr>
    </w:tbl>
    <w:p>
      <w:pPr>
        <w:spacing w:after="120"/>
      </w:pPr>
    </w:p>
    <w:p>
      <w:pPr>
        <w:pStyle w:val="Heading2"/>
        <w:bidi/>
        <w:spacing w:after="120" w:before="240" w:line="480"/>
        <w:jc w:val="right"/>
      </w:pPr>
      <w:r>
        <w:rPr>
          <w:rFonts w:ascii="David" w:cs="David" w:eastAsia="David" w:hAnsi="David"/>
          <w:b/>
          <w:bCs/>
          <w:color w:val="000000"/>
          <w:sz w:val="28"/>
          <w:szCs w:val="28"/>
          <w:rtl/>
        </w:rPr>
        <w:t xml:space="preserve">3.2 השיטה</w:t>
      </w:r>
    </w:p>
    <w:p>
      <w:pPr>
        <w:bidi/>
        <w:spacing w:after="120" w:before="0" w:line="480"/>
        <w:jc w:val="both"/>
      </w:pPr>
      <w:r>
        <w:rPr>
          <w:rFonts w:ascii="David" w:cs="David" w:eastAsia="David" w:hAnsi="David"/>
          <w:sz w:val="24"/>
          <w:szCs w:val="24"/>
          <w:rtl/>
        </w:rPr>
        <w:t xml:space="preserve">מחקר פאנל צולב הוא מערך שבו אותם משתתפים נמדדים באותם משתנים בשתי נקודות זמן לפחות, וכל משתנה בזמן השני מנובא הן מערכו הקודם והן מערכו הקודם של המשתנה האחר. היתרון המרכזי הוא שהמערך מאפשר לבחון כיווניות בזמן: האם עיצוב התפקיד קודם לתחושת הקוהרנטיות, או להפך, או שניהם. המחקר מנצל יתרון זה במלואו: הוא משווה ארבעה מודלים, יציבות בלבד, שני מודלים חד-כיווניים ומודל הדדי, ומראה שהמודל ההדדי מתאים ביותר לנתונים. חוזקות נוספות הן המדגם הגדול והמאוזן, שיעור ההשתתפות הגבוה בגל השני, השימוש בכלי מדידה מתוקפים, בדיקת אי-שונות מדידה לאורך זמן, וסינון קפדני של משיבים רשלניים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w:t>
      </w:r>
    </w:p>
    <w:p>
      <w:pPr>
        <w:bidi/>
        <w:spacing w:after="120" w:before="0" w:line="480"/>
        <w:jc w:val="both"/>
      </w:pPr>
      <w:r>
        <w:rPr>
          <w:rFonts w:ascii="David" w:cs="David" w:eastAsia="David" w:hAnsi="David"/>
          <w:sz w:val="24"/>
          <w:szCs w:val="24"/>
          <w:rtl/>
        </w:rPr>
        <w:t xml:space="preserve">למערך גם מגבלות, שהמחברים עצמם מפרטים בכנות. ראשית, מדגם מכסות מפאנל מקוון אינו מייצג לחלוטין, והוא מוגבל להקשרי עבודה מערביים ומתועשים, שבהם לעובדים יש נטייה והזדמנויות רבות יותר לעצב את תפקידם. שנית, הנתונים נאספו בתקופת מגפת הקורונה, תקופה של אי-ודאות מוגברת ושינויים פתאומיים בדרישות העבודה, ולכן ייתכן שההקשר הגביר או החליש את הקשרים. שלישית, כל המדדים מבוססים על דיווח עצמי, עם הסיכון לשונות שיטה משותפת. רביעית, המקדם השלילי של מובנות קשה לפרשנות ומיוחס לאפקט דיכוי. חמישית, מודל הפאנל הצולב המסורתי אינו מפריד בין שונות בין-אישית לתוך-אישית, ושני גלים בלבד אינם מאפשרים להשתמש בגרסה המתקדמת יותר של המודל. לכן, כפי שהמחברים מדגישים, יש לפרש את הממצאים כקשרים בזמן ולא כהוכחה סיבתית חזקה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w:t>
      </w:r>
    </w:p>
    <w:p>
      <w:pPr>
        <w:pStyle w:val="Heading2"/>
        <w:bidi/>
        <w:spacing w:after="120" w:before="240" w:line="480"/>
        <w:jc w:val="right"/>
      </w:pPr>
      <w:r>
        <w:rPr>
          <w:rFonts w:ascii="David" w:cs="David" w:eastAsia="David" w:hAnsi="David"/>
          <w:b/>
          <w:bCs/>
          <w:color w:val="000000"/>
          <w:sz w:val="28"/>
          <w:szCs w:val="28"/>
          <w:rtl/>
        </w:rPr>
        <w:t xml:space="preserve">3.3 הממצאים והמסקנות</w:t>
      </w:r>
    </w:p>
    <w:p>
      <w:pPr>
        <w:bidi/>
        <w:spacing w:after="120" w:before="0" w:line="480"/>
        <w:jc w:val="both"/>
      </w:pPr>
      <w:r>
        <w:rPr>
          <w:rFonts w:ascii="David" w:cs="David" w:eastAsia="David" w:hAnsi="David"/>
          <w:sz w:val="24"/>
          <w:szCs w:val="24"/>
          <w:rtl/>
        </w:rPr>
        <w:t xml:space="preserve">הממצאים ניתנים לסיכום בשלוש קביעות. ראשית, מה שהעובד עושה משנה: עיצוב תפקיד לצרכי התקרבות ניבא שיפור בשלושת רכיבי תחושת הקוהרנטיות חצי שנה מאוחר יותר, עם מקדמים של 0.137 עד 0.166, מעבר ליציבות הגבוהה של הרכיבים עצמם. שנית, לא כל עיצוב תפקיד שווה: מאמצים להתנתק ולנוח לא שינו את האופן שבו העבודה נתפסת. שלישית, המשאבים מולידים יוזמה: תחושת ניהוליות, כלומר ההרגשה שיש מספיק משאבים, הייתה המנבא החזק ביותר של עיצוב תפקיד עתידי, עם מקדם של 0.431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 המסקנה לניהול קריירה היא שבתנאי אי-ודאות, הדרך לבנות בהירות, שליטה ומשמעות עוברת דרך פעולה יזומה של העובד על תפקידו, ולא רק דרך המתנה לשינוי מלמעלה.</w:t>
      </w:r>
    </w:p>
    <w:p>
      <w:r>
        <w:br w:type="page"/>
      </w:r>
    </w:p>
    <w:p>
      <w:pPr>
        <w:pStyle w:val="Heading1"/>
        <w:bidi/>
        <w:spacing w:after="240" w:before="240" w:line="480"/>
        <w:jc w:val="right"/>
      </w:pPr>
      <w:r>
        <w:rPr>
          <w:rFonts w:ascii="David" w:cs="David" w:eastAsia="David" w:hAnsi="David"/>
          <w:b/>
          <w:bCs/>
          <w:color w:val="000000"/>
          <w:sz w:val="32"/>
          <w:szCs w:val="32"/>
          <w:rtl/>
        </w:rPr>
        <w:t xml:space="preserve">פרק 4: המאמר המשלים</w:t>
      </w:r>
    </w:p>
    <w:p>
      <w:pPr>
        <w:pStyle w:val="Heading2"/>
        <w:bidi/>
        <w:spacing w:after="120" w:before="240" w:line="480"/>
        <w:jc w:val="right"/>
      </w:pPr>
      <w:r>
        <w:rPr>
          <w:rFonts w:ascii="David" w:cs="David" w:eastAsia="David" w:hAnsi="David"/>
          <w:b/>
          <w:bCs/>
          <w:color w:val="000000"/>
          <w:sz w:val="28"/>
          <w:szCs w:val="28"/>
          <w:rtl/>
        </w:rPr>
        <w:t xml:space="preserve">4.1 הצגת המאמר המשלים</w:t>
      </w:r>
    </w:p>
    <w:p>
      <w:pPr>
        <w:bidi/>
        <w:spacing w:after="120" w:before="0" w:line="480"/>
        <w:jc w:val="both"/>
      </w:pPr>
      <w:r>
        <w:rPr>
          <w:rFonts w:ascii="David" w:cs="David" w:eastAsia="David" w:hAnsi="David"/>
          <w:sz w:val="24"/>
          <w:szCs w:val="24"/>
          <w:rtl/>
        </w:rPr>
        <w:t xml:space="preserve">המאמר </w:t>
      </w:r>
      <w:r>
        <w:rPr>
          <w:rFonts w:ascii="Times New Roman" w:cs="Times New Roman" w:eastAsia="Times New Roman" w:hAnsi="Times New Roman"/>
          <w:sz w:val="24"/>
          <w:szCs w:val="24"/>
        </w:rPr>
        <w:t xml:space="preserve">‎Artificial Intelligence Awareness, Career Resilience, Job Insecurity and Behavioural Outcomes‎</w:t>
      </w:r>
      <w:r>
        <w:rPr>
          <w:rFonts w:ascii="David" w:cs="David" w:eastAsia="David" w:hAnsi="David"/>
          <w:sz w:val="24"/>
          <w:szCs w:val="24"/>
          <w:rtl/>
        </w:rPr>
        <w:t xml:space="preserve"> פורסם בכתב העת השפיט </w:t>
      </w:r>
      <w:r>
        <w:rPr>
          <w:rFonts w:ascii="Times New Roman" w:cs="Times New Roman" w:eastAsia="Times New Roman" w:hAnsi="Times New Roman"/>
          <w:sz w:val="24"/>
          <w:szCs w:val="24"/>
        </w:rPr>
        <w:t xml:space="preserve">‎Australian Journal of Psychology‎</w:t>
      </w:r>
      <w:r>
        <w:rPr>
          <w:rFonts w:ascii="David" w:cs="David" w:eastAsia="David" w:hAnsi="David"/>
          <w:sz w:val="24"/>
          <w:szCs w:val="24"/>
          <w:rtl/>
        </w:rPr>
        <w:t xml:space="preserve"> בספטמבר 2025, בגישה פתוחה מלאה (</w:t>
      </w:r>
      <w:r>
        <w:rPr>
          <w:rFonts w:ascii="Times New Roman" w:cs="Times New Roman" w:eastAsia="Times New Roman" w:hAnsi="Times New Roman"/>
          <w:sz w:val="24"/>
          <w:szCs w:val="24"/>
        </w:rPr>
        <w:t xml:space="preserve">‎Chung et al., 2025‎</w:t>
      </w:r>
      <w:r>
        <w:rPr>
          <w:rFonts w:ascii="David" w:cs="David" w:eastAsia="David" w:hAnsi="David"/>
          <w:sz w:val="24"/>
          <w:szCs w:val="24"/>
          <w:rtl/>
        </w:rPr>
        <w:t xml:space="preserve">). המחברים, יאנג וון צ'ונג, סונגהי אים, ג'ונג און קים וג'ונג קוון יון מאוניברסיטת סוּוֹן בדרום קוריאה, בחנו את ההשלכות של מודעות לבינה מלאכותית, כלומר תפיסת העובד שטכנולוגיות בינה מלאכותית עלולות להחליף אותו או לשנות את תפקידו, על חוסר ביטחון תעסוקתי, על ביצועי משימה ועל התנהגות סוטה בעבודה.</w:t>
      </w:r>
    </w:p>
    <w:p>
      <w:pPr>
        <w:bidi/>
        <w:spacing w:after="120" w:before="0" w:line="480"/>
        <w:jc w:val="both"/>
      </w:pPr>
      <w:r>
        <w:rPr>
          <w:rFonts w:ascii="David" w:cs="David" w:eastAsia="David" w:hAnsi="David"/>
          <w:sz w:val="24"/>
          <w:szCs w:val="24"/>
          <w:rtl/>
        </w:rPr>
        <w:t xml:space="preserve">הנתונים נאספו בסקר בשלוש נקודות זמן מעובדי משרד במשרה מלאה בדרום קוריאה. הממצאים מראים שמודעות לבינה מלאכותית מגבירה חוסר ביטחון תעסוקתי, ושחוסר הביטחון מתווך את הקשר בין המודעות לבין ירידה בביצועי המשימה ועלייה בהתנהגות סוטה. הממצא החשוב ביותר לעבודה זו הוא תפקידו של חוסן הקריירה: אצל עובדים בעלי חוסן קריירה גבוה, הקשר בין המודעות לבינה מלאכותית לבין חוסר הביטחון היה חלש יותר (</w:t>
      </w:r>
      <w:r>
        <w:rPr>
          <w:rFonts w:ascii="Times New Roman" w:cs="Times New Roman" w:eastAsia="Times New Roman" w:hAnsi="Times New Roman"/>
          <w:sz w:val="24"/>
          <w:szCs w:val="24"/>
        </w:rPr>
        <w:t xml:space="preserve">‎Chung et al., 2025‎</w:t>
      </w:r>
      <w:r>
        <w:rPr>
          <w:rFonts w:ascii="David" w:cs="David" w:eastAsia="David" w:hAnsi="David"/>
          <w:sz w:val="24"/>
          <w:szCs w:val="24"/>
          <w:rtl/>
        </w:rPr>
        <w:t xml:space="preserve">).</w:t>
      </w:r>
    </w:p>
    <w:p>
      <w:pPr>
        <w:bidi/>
        <w:spacing w:after="120" w:before="0" w:line="480"/>
        <w:jc w:val="both"/>
      </w:pPr>
      <w:r>
        <w:rPr>
          <w:rFonts w:ascii="David" w:cs="David" w:eastAsia="David" w:hAnsi="David"/>
          <w:sz w:val="24"/>
          <w:szCs w:val="24"/>
          <w:rtl/>
        </w:rPr>
        <w:t xml:space="preserve">שני המאמרים משלימים זה את זה. צ'ונג ואחרים (</w:t>
      </w:r>
      <w:r>
        <w:rPr>
          <w:rFonts w:ascii="Times New Roman" w:cs="Times New Roman" w:eastAsia="Times New Roman" w:hAnsi="Times New Roman"/>
          <w:sz w:val="24"/>
          <w:szCs w:val="24"/>
        </w:rPr>
        <w:t xml:space="preserve">‎Chung et al., 2025‎</w:t>
      </w:r>
      <w:r>
        <w:rPr>
          <w:rFonts w:ascii="David" w:cs="David" w:eastAsia="David" w:hAnsi="David"/>
          <w:sz w:val="24"/>
          <w:szCs w:val="24"/>
          <w:rtl/>
        </w:rPr>
        <w:t xml:space="preserve">) מתארים את מקור חוסר הוודאות של שנת 2026 ואת מחירו, ומראים שמשאב אישי ממתן אותו. צטקובסקה ואחרים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 מראים כיצד בונים משאב כזה בפועל: תחושת קוהרנטיות בעבודה, שנבנית באמצעות עיצוב תפקיד יזום. במילים אחרות, המאמר המשלים מספק את האבחנה והמאמר המרכזי מספק את הטיפול.</w:t>
      </w:r>
    </w:p>
    <w:p>
      <w:pPr>
        <w:pStyle w:val="Heading2"/>
        <w:bidi/>
        <w:spacing w:after="120" w:before="240" w:line="480"/>
        <w:jc w:val="right"/>
      </w:pPr>
      <w:r>
        <w:rPr>
          <w:rFonts w:ascii="David" w:cs="David" w:eastAsia="David" w:hAnsi="David"/>
          <w:b/>
          <w:bCs/>
          <w:color w:val="000000"/>
          <w:sz w:val="28"/>
          <w:szCs w:val="28"/>
          <w:rtl/>
        </w:rPr>
        <w:t xml:space="preserve">4.2 הקשר לנושא העבודה</w:t>
      </w:r>
    </w:p>
    <w:p>
      <w:pPr>
        <w:bidi/>
        <w:spacing w:after="120" w:before="0" w:line="480"/>
        <w:jc w:val="both"/>
      </w:pPr>
      <w:r>
        <w:rPr>
          <w:rFonts w:ascii="David" w:cs="David" w:eastAsia="David" w:hAnsi="David"/>
          <w:sz w:val="24"/>
          <w:szCs w:val="24"/>
          <w:rtl/>
        </w:rPr>
        <w:t xml:space="preserve">חוסר ביטחון תעסוקתי, כפי שהוא מוגדר במאמר המשלים, הוא תחושה של איום על המשך ההעסקה או על מאפייני התפקיד, והוא מתגבר ככל שהעובד מודע לכך שטכנולוגיה עלולה לשנות את עבודתו (</w:t>
      </w:r>
      <w:r>
        <w:rPr>
          <w:rFonts w:ascii="Times New Roman" w:cs="Times New Roman" w:eastAsia="Times New Roman" w:hAnsi="Times New Roman"/>
          <w:sz w:val="24"/>
          <w:szCs w:val="24"/>
        </w:rPr>
        <w:t xml:space="preserve">‎Chung et al., 2025‎</w:t>
      </w:r>
      <w:r>
        <w:rPr>
          <w:rFonts w:ascii="David" w:cs="David" w:eastAsia="David" w:hAnsi="David"/>
          <w:sz w:val="24"/>
          <w:szCs w:val="24"/>
          <w:rtl/>
        </w:rPr>
        <w:t xml:space="preserve">). במונחי המאמר המרכזי, זוהי פגיעה בשלושת רכיבי תחושת הקוהרנטיות: העתיד אינו צפוי, המשאבים נראים בלתי מספיקים, וקשה להתחייב למה שעלול להיעלם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 עיצוב תפקיד מבוסס צרכים הוא לכן דרך להתמודד עם חוסר הוודאות מבפנים. כשהבינה המלאכותית משנה את תוכן התפקיד בלי לבטל אותו, העובד שמעצב את תפקידו סביב צרכיו הוא זה שקובע מה יישאר בו.</w:t>
      </w:r>
    </w:p>
    <w:p>
      <w:r>
        <w:br w:type="page"/>
      </w:r>
    </w:p>
    <w:p>
      <w:pPr>
        <w:pStyle w:val="Heading1"/>
        <w:bidi/>
        <w:spacing w:after="240" w:before="240" w:line="480"/>
        <w:jc w:val="right"/>
      </w:pPr>
      <w:r>
        <w:rPr>
          <w:rFonts w:ascii="David" w:cs="David" w:eastAsia="David" w:hAnsi="David"/>
          <w:b/>
          <w:bCs/>
          <w:color w:val="000000"/>
          <w:sz w:val="32"/>
          <w:szCs w:val="32"/>
          <w:rtl/>
        </w:rPr>
        <w:t xml:space="preserve">פרק 5: תובנות, מסקנות ודעה אישית</w:t>
      </w:r>
    </w:p>
    <w:p>
      <w:pPr>
        <w:pStyle w:val="Heading2"/>
        <w:bidi/>
        <w:spacing w:after="120" w:before="240" w:line="480"/>
        <w:jc w:val="right"/>
      </w:pPr>
      <w:r>
        <w:rPr>
          <w:rFonts w:ascii="David" w:cs="David" w:eastAsia="David" w:hAnsi="David"/>
          <w:b/>
          <w:bCs/>
          <w:color w:val="000000"/>
          <w:sz w:val="28"/>
          <w:szCs w:val="28"/>
          <w:rtl/>
        </w:rPr>
        <w:t xml:space="preserve">5.1 תובנות מרכזיות</w:t>
      </w:r>
    </w:p>
    <w:p>
      <w:pPr>
        <w:bidi/>
        <w:spacing w:after="120" w:before="0" w:line="480"/>
        <w:jc w:val="both"/>
      </w:pPr>
      <w:r>
        <w:rPr>
          <w:rFonts w:ascii="David" w:cs="David" w:eastAsia="David" w:hAnsi="David"/>
          <w:sz w:val="24"/>
          <w:szCs w:val="24"/>
          <w:rtl/>
        </w:rPr>
        <w:t xml:space="preserve">התובנה הראשונה היא שבהירות, שליטה ומשמעות אינן רק תוצר של הסביבה. תחושת הקוהרנטיות בעבודה עולה כשהעובד פועל על תפקידו, גם כשהסביבה עצמה לא השתנתה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 בעולם שבו הארגון אינו יכול להבטיח ודאות, זהו המרחב שנותר בידי העובד.</w:t>
      </w:r>
    </w:p>
    <w:p>
      <w:pPr>
        <w:bidi/>
        <w:spacing w:after="120" w:before="0" w:line="480"/>
        <w:jc w:val="both"/>
      </w:pPr>
      <w:r>
        <w:rPr>
          <w:rFonts w:ascii="David" w:cs="David" w:eastAsia="David" w:hAnsi="David"/>
          <w:sz w:val="24"/>
          <w:szCs w:val="24"/>
          <w:rtl/>
        </w:rPr>
        <w:t xml:space="preserve">התובנה השנייה היא שההבדל בין "להתקרב" ל"להימנע" מכריע. מאמצים להתנתק ולנוח חשובים להתאוששות, אך אינם משנים את האופן שבו העבודה נתפסת. רק מאמצים שמכוונים לאוטונומיה, למיומנות, למשמעות ולשייכות בונים תחושת קוהרנטיות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 לסטודנט שמתמודד עם אי-ודאות, פירוש הדבר שאסטרטגיה של "לשרוד עד שהמצב יתבהר" אינה מספיקה.</w:t>
      </w:r>
    </w:p>
    <w:p>
      <w:pPr>
        <w:bidi/>
        <w:spacing w:after="120" w:before="0" w:line="480"/>
        <w:jc w:val="both"/>
      </w:pPr>
      <w:r>
        <w:rPr>
          <w:rFonts w:ascii="David" w:cs="David" w:eastAsia="David" w:hAnsi="David"/>
          <w:sz w:val="24"/>
          <w:szCs w:val="24"/>
          <w:rtl/>
        </w:rPr>
        <w:t xml:space="preserve">התובנה השלישית היא שהמשאבים קודמים ליוזמה. תחושת הניהוליות ניבאה עיצוב תפקיד עתידי במקדם החזק ביותר במודל, ואילו מובנות לא תרמה ליוזמה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 מי שמרגיש שאין לו מספיק משאבים אינו מעצב את תפקידו אלא מגן על מה שנותר. לכן צריך לבנות את תחושת הניהוליות בתקופות של יציבות, ולא לחכות לאיום.</w:t>
      </w:r>
    </w:p>
    <w:p>
      <w:pPr>
        <w:bidi/>
        <w:spacing w:after="120" w:before="0" w:line="480"/>
        <w:jc w:val="both"/>
      </w:pPr>
      <w:r>
        <w:rPr>
          <w:rFonts w:ascii="David" w:cs="David" w:eastAsia="David" w:hAnsi="David"/>
          <w:sz w:val="24"/>
          <w:szCs w:val="24"/>
          <w:rtl/>
        </w:rPr>
        <w:t xml:space="preserve">התובנה הרביעית היא שמדובר בספירלה, ולכן בכיוון, לא בגודל. המקדמים במחקר בינוניים, 0.14 עד 0.17, אך הם פועלים בשני הכיוונים ומצטברים לאורך זמן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 צעד קטן של עיצוב תפקיד היום מגדיל את הסיכוי לצעד נוסף בעוד חצי שנה. התובנה החמישית, מהמאמר המשלים, היא שמשאב אישי כמו חוסן קריירה ממתן את הקשר בין האיום הטכנולוגי לבין חוסר הביטחון (</w:t>
      </w:r>
      <w:r>
        <w:rPr>
          <w:rFonts w:ascii="Times New Roman" w:cs="Times New Roman" w:eastAsia="Times New Roman" w:hAnsi="Times New Roman"/>
          <w:sz w:val="24"/>
          <w:szCs w:val="24"/>
        </w:rPr>
        <w:t xml:space="preserve">‎Chung et al., 2025‎</w:t>
      </w:r>
      <w:r>
        <w:rPr>
          <w:rFonts w:ascii="David" w:cs="David" w:eastAsia="David" w:hAnsi="David"/>
          <w:sz w:val="24"/>
          <w:szCs w:val="24"/>
          <w:rtl/>
        </w:rPr>
        <w:t xml:space="preserve">), ותחושת קוהרנטיות בעבודה היא משאב מסוג זה.</w:t>
      </w:r>
    </w:p>
    <w:p>
      <w:pPr>
        <w:pStyle w:val="Heading2"/>
        <w:bidi/>
        <w:spacing w:after="120" w:before="240" w:line="480"/>
        <w:jc w:val="right"/>
      </w:pPr>
      <w:r>
        <w:rPr>
          <w:rFonts w:ascii="David" w:cs="David" w:eastAsia="David" w:hAnsi="David"/>
          <w:b/>
          <w:bCs/>
          <w:color w:val="000000"/>
          <w:sz w:val="28"/>
          <w:szCs w:val="28"/>
          <w:rtl/>
        </w:rPr>
        <w:t xml:space="preserve">5.2 מסקנות</w:t>
      </w:r>
    </w:p>
    <w:p>
      <w:pPr>
        <w:bidi/>
        <w:spacing w:after="120" w:before="0" w:line="480"/>
        <w:jc w:val="both"/>
      </w:pPr>
      <w:r>
        <w:rPr>
          <w:rFonts w:ascii="David" w:cs="David" w:eastAsia="David" w:hAnsi="David"/>
          <w:sz w:val="24"/>
          <w:szCs w:val="24"/>
          <w:rtl/>
        </w:rPr>
        <w:t xml:space="preserve">המסקנה המרכזית היא שההתמודדות עם חוסר ודאות תעסוקתי אינה מסתכמת בהגנה מפני האיום, אלא בבנייה יזומה של בהירות, שליטה ומשמעות בתוך התפקיד הקיים. עיצוב תפקיד מבוסס צרכי התקרבות הוא כלי זמין, שאינו דורש אישור מהארגון, ושהוכח כמחזק את תחושת הקוהרנטיות בעבודה לאורך זמן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 ברמה הארגונית, המסקנה היא שמנהלים שרוצים עובדים יוזמים בתקופת שינוי צריכים קודם כול לדאוג לתחושת ניהוליות: משאבים מספיקים, מידע ברור ומרחב לעיצוב התפקיד. המאמר המשלים מוסיף שהאיום הטכנולוגי פוגע בביצועים דרך חוסר הביטחון, ולכן הפחתת חוסר הביטחון היא אינטרס ארגוני ולא רק טובת העובד (</w:t>
      </w:r>
      <w:r>
        <w:rPr>
          <w:rFonts w:ascii="Times New Roman" w:cs="Times New Roman" w:eastAsia="Times New Roman" w:hAnsi="Times New Roman"/>
          <w:sz w:val="24"/>
          <w:szCs w:val="24"/>
        </w:rPr>
        <w:t xml:space="preserve">‎Chung et al., 2025‎</w:t>
      </w:r>
      <w:r>
        <w:rPr>
          <w:rFonts w:ascii="David" w:cs="David" w:eastAsia="David" w:hAnsi="David"/>
          <w:sz w:val="24"/>
          <w:szCs w:val="24"/>
          <w:rtl/>
        </w:rPr>
        <w:t xml:space="preserve">).</w:t>
      </w:r>
    </w:p>
    <w:p>
      <w:pPr>
        <w:pStyle w:val="Heading2"/>
        <w:bidi/>
        <w:spacing w:after="120" w:before="240" w:line="480"/>
        <w:jc w:val="right"/>
      </w:pPr>
      <w:r>
        <w:rPr>
          <w:rFonts w:ascii="David" w:cs="David" w:eastAsia="David" w:hAnsi="David"/>
          <w:b/>
          <w:bCs/>
          <w:color w:val="000000"/>
          <w:sz w:val="28"/>
          <w:szCs w:val="28"/>
          <w:rtl/>
        </w:rPr>
        <w:t xml:space="preserve">5.3 דעה אישית וביקורת</w:t>
      </w:r>
    </w:p>
    <w:p>
      <w:pPr>
        <w:bidi/>
        <w:spacing w:after="120" w:before="0" w:line="276"/>
        <w:jc w:val="both"/>
      </w:pPr>
      <w:r>
        <w:rPr>
          <w:rFonts w:ascii="David" w:cs="David" w:eastAsia="David" w:hAnsi="David"/>
          <w:i/>
          <w:iCs/>
          <w:sz w:val="22"/>
          <w:szCs w:val="22"/>
          <w:rtl/>
        </w:rPr>
        <w:t xml:space="preserve">חלק זה נכתב בגוף ראשון, בהתאם לדרישת המטלה להביע דעה אישית על המאמר.</w:t>
      </w:r>
    </w:p>
    <w:p>
      <w:pPr>
        <w:bidi/>
        <w:spacing w:after="120" w:before="0" w:line="480"/>
        <w:jc w:val="both"/>
      </w:pPr>
      <w:r>
        <w:rPr>
          <w:rFonts w:ascii="David" w:cs="David" w:eastAsia="David" w:hAnsi="David"/>
          <w:sz w:val="24"/>
          <w:szCs w:val="24"/>
          <w:rtl/>
        </w:rPr>
        <w:t xml:space="preserve">מה שאהבנו במאמר הוא נקודת המבט. רוב מה שקראנו על חוסר ודאות תעסוקתי עסק בנזק, והמאמר הזה שואל מה עוזר. הרעיון של אנטונובסקי, שפעל כאן בישראל, שאפשר לחקור את מקורות הבריאות במקום את מקורות המחלה, נשמע לנו רלוונטי במיוחד לשנתיים האחרונות. אהבנו גם את הפרקטיות: שישה צרכים, שאלות פשוטות, ופעולות שכל אחד יכול לעשות בשבועיים הקרובים. והערכנו את הכנות של המחברים, שמקדישים כמעט עמוד שלם למגבלות, כולל הודאה שהמקדם השלילי של מובנות קשה להם להסביר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w:t>
      </w:r>
    </w:p>
    <w:p>
      <w:pPr>
        <w:bidi/>
        <w:spacing w:after="120" w:before="0" w:line="480"/>
        <w:jc w:val="both"/>
      </w:pPr>
      <w:r>
        <w:rPr>
          <w:rFonts w:ascii="David" w:cs="David" w:eastAsia="David" w:hAnsi="David"/>
          <w:sz w:val="24"/>
          <w:szCs w:val="24"/>
          <w:rtl/>
        </w:rPr>
        <w:t xml:space="preserve">חסרו לנו שלושה דברים. ראשית, המאמר לא מודד חוסר ביטחון תעסוקתי במישרין. הוא נערך בתקופת הקורונה ומזכיר את אי-הוודאות רק כמגבלה, ולכן את הקשר לנושא שלנו בנינו בעצמנו, דרך המאמר המשלים והספרות על חוסר ביטחון. שנית, המדגם גרמני ושווייצרי, מבוגר יחסית, בגיל ממוצע של כמעט 49, ומגיע מתרבות עבודה עם ביטחון סוציאלי גבוה. אנחנו, סטודנטים ישראלים בתחילת הדרך, בסביבת עבודה פחות יציבה, לא בטוחים שהמרחב לעיצוב תפקיד שהיה למשתתפים קיים גם אצלנו. שלישית, המאמר מדבר על עובדים שכירים בתפקיד קיים, ולא על מי שעדיין מחפש עבודה או עובד כעצמאי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w:t>
      </w:r>
    </w:p>
    <w:p>
      <w:pPr>
        <w:bidi/>
        <w:spacing w:after="120" w:before="0" w:line="480"/>
        <w:jc w:val="both"/>
      </w:pPr>
      <w:r>
        <w:rPr>
          <w:rFonts w:ascii="David" w:cs="David" w:eastAsia="David" w:hAnsi="David"/>
          <w:sz w:val="24"/>
          <w:szCs w:val="24"/>
          <w:rtl/>
        </w:rPr>
        <w:t xml:space="preserve">עמדתנו היא שהמסר של המאמר משלים את "ממשבר להזדמנות" שלמדנו בקורס. משבר הופך להזדמנות לא מעצמו, אלא כשמישהו מעצב אותו כך. עם זאת, המאמר עצמו מראה שהיוזמה תלויה בתחושת ניהוליות, ומי שמרגיש מאוים ובלי משאבים יתקשה להתחיל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 לכן אנחנו חושבים שהמסר לכיתה צריך להיות כפול: לעצב את התפקיד עכשיו, כשעוד יש משאבים, ולא לחכות; ולזכור שמי שמרגיש שאין לו משאבים צריך קודם תמיכה ולא עצות.</w:t>
      </w:r>
    </w:p>
    <w:p>
      <w:r>
        <w:br w:type="page"/>
      </w:r>
    </w:p>
    <w:p>
      <w:pPr>
        <w:pStyle w:val="Heading1"/>
        <w:bidi/>
        <w:spacing w:after="240" w:before="240" w:line="480"/>
        <w:jc w:val="right"/>
      </w:pPr>
      <w:r>
        <w:rPr>
          <w:rFonts w:ascii="David" w:cs="David" w:eastAsia="David" w:hAnsi="David"/>
          <w:b/>
          <w:bCs/>
          <w:color w:val="000000"/>
          <w:sz w:val="32"/>
          <w:szCs w:val="32"/>
          <w:rtl/>
        </w:rPr>
        <w:t xml:space="preserve">פרק 6: יישום מעשי בניהול קריירה</w:t>
      </w:r>
    </w:p>
    <w:p>
      <w:pPr>
        <w:pStyle w:val="Heading2"/>
        <w:bidi/>
        <w:spacing w:after="120" w:before="240" w:line="480"/>
        <w:jc w:val="right"/>
      </w:pPr>
      <w:r>
        <w:rPr>
          <w:rFonts w:ascii="David" w:cs="David" w:eastAsia="David" w:hAnsi="David"/>
          <w:b/>
          <w:bCs/>
          <w:color w:val="000000"/>
          <w:sz w:val="28"/>
          <w:szCs w:val="28"/>
          <w:rtl/>
        </w:rPr>
        <w:t xml:space="preserve">6.1 תוכנית עיצוב תפקיד אישית: כלי הנגזר מהמאמר</w:t>
      </w:r>
    </w:p>
    <w:p>
      <w:pPr>
        <w:bidi/>
        <w:spacing w:after="120" w:before="0" w:line="480"/>
        <w:jc w:val="both"/>
      </w:pPr>
      <w:r>
        <w:rPr>
          <w:rFonts w:ascii="David" w:cs="David" w:eastAsia="David" w:hAnsi="David"/>
          <w:sz w:val="24"/>
          <w:szCs w:val="24"/>
          <w:rtl/>
        </w:rPr>
        <w:t xml:space="preserve">ממצאי המאמר תורגמו בעבודה זו לכלי עבודה אישי שכל סטודנט בכיתה יכול למלא בעצמו, גם בתפקיד סטודנטיאלי או במשרה חלקית. הכלי מבוסס על ארבעת צרכי ההתקרבות, שנמצאו כבונים תחושת קוהרנטיות, ומוסיף לכל צורך שאלה מנחה ודוגמאות לפעולה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 טבלה 3 מציגה את הכלי.</w:t>
      </w:r>
    </w:p>
    <w:p>
      <w:pPr>
        <w:bidi/>
        <w:spacing w:after="120" w:before="0" w:line="276"/>
        <w:jc w:val="right"/>
      </w:pPr>
      <w:r>
        <w:rPr>
          <w:rFonts w:ascii="David" w:cs="David" w:eastAsia="David" w:hAnsi="David"/>
          <w:b/>
          <w:bCs/>
          <w:sz w:val="22"/>
          <w:szCs w:val="22"/>
          <w:rtl/>
        </w:rPr>
        <w:t xml:space="preserve">טבלה 3: תוכנית עיצוב תפקיד אישית לפי צרכי ההתקרבות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00"/>
      </w:tblGrid>
      <w:tr>
        <w:trPr>
          <w:tblHeader/>
        </w:trPr>
        <w:tc>
          <w:tcPr>
            <w:tcW w:type="dxa" w:w="2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b/>
                <w:bCs/>
                <w:sz w:val="22"/>
                <w:szCs w:val="22"/>
                <w:rtl/>
              </w:rPr>
              <w:t xml:space="preserve">הצורך</w:t>
            </w:r>
          </w:p>
        </w:tc>
        <w:tc>
          <w:tcPr>
            <w:tcW w:type="dxa" w:w="33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b/>
                <w:bCs/>
                <w:sz w:val="22"/>
                <w:szCs w:val="22"/>
                <w:rtl/>
              </w:rPr>
              <w:t xml:space="preserve">שאלה מנחה</w:t>
            </w:r>
          </w:p>
        </w:tc>
        <w:tc>
          <w:tcPr>
            <w:tcW w:type="dxa" w:w="37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b/>
                <w:bCs/>
                <w:sz w:val="22"/>
                <w:szCs w:val="22"/>
                <w:rtl/>
              </w:rPr>
              <w:t xml:space="preserve">דוגמאות לפעולה בשבועיים הקרובים</w:t>
            </w:r>
          </w:p>
        </w:tc>
      </w:tr>
      <w:tr>
        <w:tc>
          <w:tcPr>
            <w:tcW w:type="dxa" w:w="2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אוטונומיה</w:t>
            </w:r>
          </w:p>
        </w:tc>
        <w:tc>
          <w:tcPr>
            <w:tcW w:type="dxa" w:w="33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באילו החלטות קטנות בעבודה אני יכול לבחור בעצמי?</w:t>
            </w:r>
          </w:p>
        </w:tc>
        <w:tc>
          <w:tcPr>
            <w:tcW w:type="dxa" w:w="37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לקבוע את סדר המשימות של הבוקר. להציע למנהל דרך משלי לבצע משימה חוזרת. להגדיר שעה קבועה ללא הפרעות</w:t>
            </w:r>
          </w:p>
        </w:tc>
      </w:tr>
      <w:tr>
        <w:tc>
          <w:tcPr>
            <w:tcW w:type="dxa" w:w="2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מיומנות</w:t>
            </w:r>
          </w:p>
        </w:tc>
        <w:tc>
          <w:tcPr>
            <w:tcW w:type="dxa" w:w="33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איזה אתגר בגובה הנכון יגרום לי להרגיש שאני מתקדם?</w:t>
            </w:r>
          </w:p>
        </w:tc>
        <w:tc>
          <w:tcPr>
            <w:tcW w:type="dxa" w:w="37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לבקש משימה אחת מעט מעבר ליכולת הנוכחית. ללמוד כלי בינה מלאכותית אחד בתחום העיסוק. לתעד בסוף השבוע דבר אחד שלמדתי</w:t>
            </w:r>
          </w:p>
        </w:tc>
      </w:tr>
      <w:tr>
        <w:tc>
          <w:tcPr>
            <w:tcW w:type="dxa" w:w="2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משמעות</w:t>
            </w:r>
          </w:p>
        </w:tc>
        <w:tc>
          <w:tcPr>
            <w:tcW w:type="dxa" w:w="33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איזה חלק בעבודה מתחבר למה שחשוב לי, ואיך אני מגדיל אותו?</w:t>
            </w:r>
          </w:p>
        </w:tc>
        <w:tc>
          <w:tcPr>
            <w:tcW w:type="dxa" w:w="37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לזהות למי העבודה שלי עוזרת ולדבר איתו. לנסח במשפט אחד למה התפקיד חשוב. להתנדב למשימה שמתחברת לערכים שלי</w:t>
            </w:r>
          </w:p>
        </w:tc>
      </w:tr>
      <w:tr>
        <w:tc>
          <w:tcPr>
            <w:tcW w:type="dxa" w:w="2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שייכות</w:t>
            </w:r>
          </w:p>
        </w:tc>
        <w:tc>
          <w:tcPr>
            <w:tcW w:type="dxa" w:w="33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עם מי בעבודה אני רוצה קשר אמיתי יותר?</w:t>
            </w:r>
          </w:p>
        </w:tc>
        <w:tc>
          <w:tcPr>
            <w:tcW w:type="dxa" w:w="37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הפסקת קפה קבועה עם עמית. להציע עזרה לפני שמבקשים. להצטרף לצוות או לפרויקט חוצה מחלקות</w:t>
            </w:r>
          </w:p>
        </w:tc>
      </w:tr>
    </w:tbl>
    <w:p>
      <w:pPr>
        <w:bidi/>
        <w:spacing w:after="120" w:before="0" w:line="276"/>
        <w:jc w:val="right"/>
      </w:pPr>
      <w:r>
        <w:rPr>
          <w:rFonts w:ascii="David" w:cs="David" w:eastAsia="David" w:hAnsi="David"/>
          <w:color w:val="000000"/>
          <w:sz w:val="20"/>
          <w:szCs w:val="20"/>
          <w:rtl/>
        </w:rPr>
        <w:t xml:space="preserve">מקור: פיתוח של המחברים על פי </w:t>
      </w:r>
      <w:r>
        <w:rPr>
          <w:rFonts w:ascii="Times New Roman" w:cs="Times New Roman" w:eastAsia="Times New Roman" w:hAnsi="Times New Roman"/>
          <w:color w:val="000000"/>
          <w:sz w:val="20"/>
          <w:szCs w:val="20"/>
        </w:rPr>
        <w:t xml:space="preserve">‎Cetkovská et al. (2026)‎</w:t>
      </w:r>
      <w:r>
        <w:rPr>
          <w:rFonts w:ascii="David" w:cs="David" w:eastAsia="David" w:hAnsi="David"/>
          <w:color w:val="000000"/>
          <w:sz w:val="20"/>
          <w:szCs w:val="20"/>
          <w:rtl/>
        </w:rPr>
        <w:t xml:space="preserve">. את צרכי ההימנעות, ניתוק והרפיה, מומלץ לטפח לצורך התאוששות, אך המאמר מראה שהם אינם בונים תחושת קוהרנטיות.</w:t>
      </w:r>
    </w:p>
    <w:p>
      <w:pPr>
        <w:pStyle w:val="Heading2"/>
        <w:bidi/>
        <w:spacing w:after="120" w:before="240" w:line="480"/>
        <w:jc w:val="right"/>
      </w:pPr>
      <w:r>
        <w:rPr>
          <w:rFonts w:ascii="David" w:cs="David" w:eastAsia="David" w:hAnsi="David"/>
          <w:b/>
          <w:bCs/>
          <w:color w:val="000000"/>
          <w:sz w:val="28"/>
          <w:szCs w:val="28"/>
          <w:rtl/>
        </w:rPr>
        <w:t xml:space="preserve">6.2 קישור לחומר הנלמד בקורס</w:t>
      </w:r>
    </w:p>
    <w:p>
      <w:pPr>
        <w:bidi/>
        <w:spacing w:after="120" w:before="0" w:line="480"/>
        <w:jc w:val="both"/>
      </w:pPr>
      <w:r>
        <w:rPr>
          <w:rFonts w:ascii="David" w:cs="David" w:eastAsia="David" w:hAnsi="David"/>
          <w:sz w:val="24"/>
          <w:szCs w:val="24"/>
          <w:rtl/>
        </w:rPr>
        <w:t xml:space="preserve">המאמר אינו זר לחומר הקורס אלא מעניק לו בסיס אמפירי. שלושת "סלי הכלים" לניהול קריירה שנלמדו בקורס, רשת אנשים, זהות מקצועית והתפתחות, מקבילים כמעט אחד לאחד לצרכי ההתקרבות שנמצאו כבונים תחושת קוהרנטיות. סל רשת האנשים הוא צורך השייכות, סל ההתפתחות, ובמרכזו תוכנית למידה שנתית, הוא צורך המיומנות, וסל הזהות המקצועית הוא צורך המשמעות. חמש השאלות של הזהות המקצועית שנלמדו בקורס, איזה ערך אני מביא, עם מי עליי לשתף פעולה, מי זקוק לערך הזה, איך הוא מכונה וכיצד מיידעים שאני קיים, הן למעשה תרגיל מובנה של עיצוב תפקיד לצורך המשמעות. המאמר מוסיף לשלושת הסלים את צורך האוטונומיה, ובעיקר מוסיף ראיה: פעולה על הצרכים האלה משנה, בתוך חצי שנה, את האופן שבו העבודה נתפסת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w:t>
      </w:r>
    </w:p>
    <w:p>
      <w:pPr>
        <w:bidi/>
        <w:spacing w:after="120" w:before="0" w:line="480"/>
        <w:jc w:val="both"/>
      </w:pPr>
      <w:r>
        <w:rPr>
          <w:rFonts w:ascii="David" w:cs="David" w:eastAsia="David" w:hAnsi="David"/>
          <w:sz w:val="24"/>
          <w:szCs w:val="24"/>
          <w:rtl/>
        </w:rPr>
        <w:t xml:space="preserve">גם תפיסת מסע הקריירה שנלמדה בקורס מתחברת לממצאים. הרעיון של קריירה רבודה, שבה קריירות נבנות זו על זו ומרחיבות את הניסיון והיכולות, והדימוי של הקריירה כקיר טיפוס שבו יש להחליט היכן להניח את הצעד הבא, הם תיאור מדויק של ספירלת הרווח שהמחקר מתעד: כל צעד של עיצוב תפקיד מגדיל את המשאבים ומאפשר את הצעד הבא. תיאוריית שני הגורמים של הרצברג, שנלמדה בניתוח הסרט בקורס, מסבירה מדוע דווקא צרכי ההתקרבות בונים משמעותיות: הגורמים המניעים שלו, הישג, הכרה והעבודה עצמה, חופפים לצרכי המיומנות והמשמעות, ואילו הגורמים ההיגייניים, כמו תנאים ונוחות, דומים לצרכי ההימנעות שלא שינו את תפיסת העבודה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w:t>
      </w:r>
    </w:p>
    <w:p>
      <w:pPr>
        <w:bidi/>
        <w:spacing w:after="120" w:before="0" w:line="480"/>
        <w:jc w:val="both"/>
      </w:pPr>
      <w:r>
        <w:rPr>
          <w:rFonts w:ascii="David" w:cs="David" w:eastAsia="David" w:hAnsi="David"/>
          <w:sz w:val="24"/>
          <w:szCs w:val="24"/>
          <w:rtl/>
        </w:rPr>
        <w:t xml:space="preserve">מודל עוגני הקריירה שנלמד בקורס מסביר מדוע עובדים שונים ירוויחו מצרכים שונים. מי שעוגן האוטונומיה דומיננטי אצלו ימצא בעיצוב תפקיד לצורך האוטונומיה סיפוק מיוחד, ואילו מי שעוגן הביטחון והיציבות דומיננטי אצלו יפיק תועלת בעיקר מחיזוק המובנות, כלומר מהפיכת העבודה לצפויה וברורה יותר. לפי מודל שלבי הקריירה של סופר, שנלמד אף הוא בניתוח הסרט, רוב הסטודנטים בכיתה נמצאים בשלב החקירה או הביסוס, שבו עיצוב התפקיד הוא גם דרך לברר מה מתאים להם. לבסוף, מאמר החובה בקורס מראה שתמיכה במקום העבודה ובמשפחה משפרת את הזמינות הפסיכולוגית ואת האנרגיה בעבודה (</w:t>
      </w:r>
      <w:r>
        <w:rPr>
          <w:rFonts w:ascii="Times New Roman" w:cs="Times New Roman" w:eastAsia="Times New Roman" w:hAnsi="Times New Roman"/>
          <w:sz w:val="24"/>
          <w:szCs w:val="24"/>
        </w:rPr>
        <w:t xml:space="preserve">‎Russo et al., 2016‎</w:t>
      </w:r>
      <w:r>
        <w:rPr>
          <w:rFonts w:ascii="David" w:cs="David" w:eastAsia="David" w:hAnsi="David"/>
          <w:sz w:val="24"/>
          <w:szCs w:val="24"/>
          <w:rtl/>
        </w:rPr>
        <w:t xml:space="preserve">). זהו בדיוק הרכיב שהמאמר המרכזי מזהה כמנוע ליוזמה, תחושת הניהוליות, ומכאן שתמיכה מהסביבה ועיצוב תפקיד יזום מזינים זה את זה. העיקרון של בניית תמונת מצב סדורה ומיקוד במה שבשליטה, שנלמד בהקשר של משבר הקורונה, הוא יישום ישיר של חיזוק המובנות והניהוליות.</w:t>
      </w:r>
    </w:p>
    <w:p>
      <w:pPr>
        <w:pStyle w:val="Heading2"/>
        <w:bidi/>
        <w:spacing w:after="120" w:before="240" w:line="480"/>
        <w:jc w:val="right"/>
      </w:pPr>
      <w:r>
        <w:rPr>
          <w:rFonts w:ascii="David" w:cs="David" w:eastAsia="David" w:hAnsi="David"/>
          <w:b/>
          <w:bCs/>
          <w:color w:val="000000"/>
          <w:sz w:val="28"/>
          <w:szCs w:val="28"/>
          <w:rtl/>
        </w:rPr>
        <w:t xml:space="preserve">6.3 השלכות למנהלים בכיתה</w:t>
      </w:r>
    </w:p>
    <w:p>
      <w:pPr>
        <w:bidi/>
        <w:spacing w:after="120" w:before="0" w:line="480"/>
        <w:jc w:val="both"/>
      </w:pPr>
      <w:r>
        <w:rPr>
          <w:rFonts w:ascii="David" w:cs="David" w:eastAsia="David" w:hAnsi="David"/>
          <w:sz w:val="24"/>
          <w:szCs w:val="24"/>
          <w:rtl/>
        </w:rPr>
        <w:t xml:space="preserve">חלק מחברי הכיתה מנהלים עובדים או ינהלו בעתיד. מהמאמרים נגזרות ארבע המלצות. הראשונה היא לטפח תחושת ניהוליות: משאבים מספיקים, מידע ברור ואיזון בין עומס ליכולת, משום שזה המנבא החזק ביותר של יוזמת העובדים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 השנייה היא לתת מרחב לעיצוב תפקיד, למשל באמצעות סדנת עיצוב תפקיד קצרה שבה כל עובד מזהה צורך אחד ופעולה אחת. השלישית היא לתקשר שינויים טכנולוגיים במהירות ובשקיפות, משום שעצם המודעות לבינה מלאכותית מייצרת חוסר ביטחון גם לפני שמשהו השתנה (</w:t>
      </w:r>
      <w:r>
        <w:rPr>
          <w:rFonts w:ascii="Times New Roman" w:cs="Times New Roman" w:eastAsia="Times New Roman" w:hAnsi="Times New Roman"/>
          <w:sz w:val="24"/>
          <w:szCs w:val="24"/>
        </w:rPr>
        <w:t xml:space="preserve">‎Chung et al., 2025‎</w:t>
      </w:r>
      <w:r>
        <w:rPr>
          <w:rFonts w:ascii="David" w:cs="David" w:eastAsia="David" w:hAnsi="David"/>
          <w:sz w:val="24"/>
          <w:szCs w:val="24"/>
          <w:rtl/>
        </w:rPr>
        <w:t xml:space="preserve">). הרביעית היא לא להשתמש באיום כמנוע, משום שחוסר ביטחון פוגע בביצועים ומגביר התנהגות סוטה (</w:t>
      </w:r>
      <w:r>
        <w:rPr>
          <w:rFonts w:ascii="Times New Roman" w:cs="Times New Roman" w:eastAsia="Times New Roman" w:hAnsi="Times New Roman"/>
          <w:sz w:val="24"/>
          <w:szCs w:val="24"/>
        </w:rPr>
        <w:t xml:space="preserve">‎Chung et al., 2025‎</w:t>
      </w:r>
      <w:r>
        <w:rPr>
          <w:rFonts w:ascii="David" w:cs="David" w:eastAsia="David" w:hAnsi="David"/>
          <w:sz w:val="24"/>
          <w:szCs w:val="24"/>
          <w:rtl/>
        </w:rPr>
        <w:t xml:space="preserve">).</w:t>
      </w:r>
    </w:p>
    <w:p>
      <w:pPr>
        <w:pStyle w:val="Heading2"/>
        <w:bidi/>
        <w:spacing w:after="120" w:before="240" w:line="480"/>
        <w:jc w:val="right"/>
      </w:pPr>
      <w:r>
        <w:rPr>
          <w:rFonts w:ascii="David" w:cs="David" w:eastAsia="David" w:hAnsi="David"/>
          <w:b/>
          <w:bCs/>
          <w:color w:val="000000"/>
          <w:sz w:val="28"/>
          <w:szCs w:val="28"/>
          <w:rtl/>
        </w:rPr>
        <w:t xml:space="preserve">6.4 האמצעים להמחשה ולהפעלה במצגת</w:t>
      </w:r>
    </w:p>
    <w:p>
      <w:pPr>
        <w:bidi/>
        <w:spacing w:after="120" w:before="0" w:line="480"/>
        <w:jc w:val="both"/>
      </w:pPr>
      <w:r>
        <w:rPr>
          <w:rFonts w:ascii="David" w:cs="David" w:eastAsia="David" w:hAnsi="David"/>
          <w:sz w:val="24"/>
          <w:szCs w:val="24"/>
          <w:rtl/>
        </w:rPr>
        <w:t xml:space="preserve">כנדרש בהנחיות המטלה, המצגת משלבת אמצעים ויזואליים ואינטראקטיביים. פירוט מלא ולוח זמנים מופיעים בנספח א. בתמצית: סקר פתיחה בזמן אמת על שלושת רכיבי תחושת הקוהרנטיות, כתבת עיתון על אתגרי מנהלי ההייטק ("הקשיים של מנהלי הייטק", 2026) לצד נתוני בנק ישראל (2025), תרשים של מודל הספירלה וגרף עמודות של מקדמי הניבוי מהמאמר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 קטע וידאו מהרצאת </w:t>
      </w:r>
      <w:r>
        <w:rPr>
          <w:rFonts w:ascii="Times New Roman" w:cs="Times New Roman" w:eastAsia="Times New Roman" w:hAnsi="Times New Roman"/>
          <w:sz w:val="24"/>
          <w:szCs w:val="24"/>
        </w:rPr>
        <w:t xml:space="preserve">‎TED‎</w:t>
      </w:r>
      <w:r>
        <w:rPr>
          <w:rFonts w:ascii="David" w:cs="David" w:eastAsia="David" w:hAnsi="David"/>
          <w:sz w:val="24"/>
          <w:szCs w:val="24"/>
          <w:rtl/>
        </w:rPr>
        <w:t xml:space="preserve"> של חוקרת החוסן לוסי הון (</w:t>
      </w:r>
      <w:r>
        <w:rPr>
          <w:rFonts w:ascii="Times New Roman" w:cs="Times New Roman" w:eastAsia="Times New Roman" w:hAnsi="Times New Roman"/>
          <w:sz w:val="24"/>
          <w:szCs w:val="24"/>
        </w:rPr>
        <w:t xml:space="preserve">‎Hone, 2019‎</w:t>
      </w:r>
      <w:r>
        <w:rPr>
          <w:rFonts w:ascii="David" w:cs="David" w:eastAsia="David" w:hAnsi="David"/>
          <w:sz w:val="24"/>
          <w:szCs w:val="24"/>
          <w:rtl/>
        </w:rPr>
        <w:t xml:space="preserve">), טבלת החיבור לחומר הקורס, טבלת תוכנית עיצוב התפקיד והפעלה אישית קצרה שבה כל סטודנט בוחר צורך אחד ופעולה אחת.</w:t>
      </w:r>
    </w:p>
    <w:p>
      <w:r>
        <w:br w:type="page"/>
      </w:r>
    </w:p>
    <w:p>
      <w:pPr>
        <w:pStyle w:val="Heading1"/>
        <w:bidi/>
        <w:spacing w:after="240" w:before="240" w:line="480"/>
        <w:jc w:val="right"/>
      </w:pPr>
      <w:r>
        <w:rPr>
          <w:rFonts w:ascii="David" w:cs="David" w:eastAsia="David" w:hAnsi="David"/>
          <w:b/>
          <w:bCs/>
          <w:color w:val="000000"/>
          <w:sz w:val="32"/>
          <w:szCs w:val="32"/>
          <w:rtl/>
        </w:rPr>
        <w:t xml:space="preserve">סיכום ומסקנות</w:t>
      </w:r>
    </w:p>
    <w:p>
      <w:pPr>
        <w:bidi/>
        <w:spacing w:after="120" w:before="0" w:line="480"/>
        <w:jc w:val="both"/>
      </w:pPr>
      <w:r>
        <w:rPr>
          <w:rFonts w:ascii="David" w:cs="David" w:eastAsia="David" w:hAnsi="David"/>
          <w:sz w:val="24"/>
          <w:szCs w:val="24"/>
          <w:rtl/>
        </w:rPr>
        <w:t xml:space="preserve">העבודה פתחה בשאלה מה מאפשר לעובדים להישאר בריאים ומתפקדים כשעולם העבודה אינו יציב. התשובה שעלתה ממחקר האורך של צטקובסקה ואחרים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 היא שתחושת הקוהרנטיות בעבודה, התפיסה שהעבודה מובנת, ניתנת לניהול ומשמעותית, היא משאב דינמי שהעובד יכול לחזק בעצמו באמצעות עיצוב תפקיד המכוון לצרכי אוטונומיה, מיומנות, משמעות ושייכות, ושהמשאב הזה בתורו מזין יוזמה נוספת. המאמר המשלים של צ'ונג ואחרים (</w:t>
      </w:r>
      <w:r>
        <w:rPr>
          <w:rFonts w:ascii="Times New Roman" w:cs="Times New Roman" w:eastAsia="Times New Roman" w:hAnsi="Times New Roman"/>
          <w:sz w:val="24"/>
          <w:szCs w:val="24"/>
        </w:rPr>
        <w:t xml:space="preserve">‎Chung et al., 2025‎</w:t>
      </w:r>
      <w:r>
        <w:rPr>
          <w:rFonts w:ascii="David" w:cs="David" w:eastAsia="David" w:hAnsi="David"/>
          <w:sz w:val="24"/>
          <w:szCs w:val="24"/>
          <w:rtl/>
        </w:rPr>
        <w:t xml:space="preserve">) הראה שהמודעות לבינה מלאכותית היא מקור מרכזי לחוסר הביטחון של ימינו ושמשאב אישי ממתן אותו. שני המאמרים יחד מלמדים שאת המשאבים יש לבנות מראש, לפני שהאיום מדלדל אותם.</w:t>
      </w:r>
    </w:p>
    <w:p>
      <w:pPr>
        <w:bidi/>
        <w:spacing w:after="120" w:before="0" w:line="480"/>
        <w:jc w:val="both"/>
      </w:pPr>
      <w:r>
        <w:rPr>
          <w:rFonts w:ascii="David" w:cs="David" w:eastAsia="David" w:hAnsi="David"/>
          <w:sz w:val="24"/>
          <w:szCs w:val="24"/>
          <w:rtl/>
        </w:rPr>
        <w:t xml:space="preserve">מכאן נגזרות המלצות יישומיות. לסטודנט: לבחור בכל שבועיים צורך התקרבות אחד ופעולה אחת של עיצוב תפקיד, למשל שעה ללא הפרעות, משימה מאתגרת אחת, שיחה עם מי שהעבודה עוזרת לו, או הפסקת קפה קבועה עם עמית; ללמוד כלי בינה מלאכותית אחד בתחום העיסוק; ולתעד בסוף כל שבוע דבר אחד שנלמד. למנהל: לטפח תחושת ניהוליות באמצעות משאבים ומידע ברור, לתת מרחב לעיצוב תפקיד, לתקשר שינויים טכנולוגיים בשקיפות, ולא להשתמש באיום כמנוע. את חוסר הוודאות לא תמיד אפשר למנוע. את הבהירות, השליטה והמשמעות בתוך התפקיד אפשר לבנות, וזו הבשורה של המאמר לניהול קריירה.</w:t>
      </w:r>
    </w:p>
    <w:p>
      <w:r>
        <w:br w:type="page"/>
      </w:r>
    </w:p>
    <w:p>
      <w:pPr>
        <w:pStyle w:val="Heading1"/>
        <w:bidi/>
        <w:spacing w:after="240" w:before="240" w:line="480"/>
        <w:jc w:val="right"/>
      </w:pPr>
      <w:r>
        <w:rPr>
          <w:rFonts w:ascii="David" w:cs="David" w:eastAsia="David" w:hAnsi="David"/>
          <w:b/>
          <w:bCs/>
          <w:color w:val="000000"/>
          <w:sz w:val="32"/>
          <w:szCs w:val="32"/>
          <w:rtl/>
        </w:rPr>
        <w:t xml:space="preserve">נספח א: תכנון המצגת והאמצעים להמחשה</w:t>
      </w:r>
    </w:p>
    <w:p>
      <w:pPr>
        <w:bidi/>
        <w:spacing w:after="120" w:before="0" w:line="360"/>
        <w:jc w:val="both"/>
      </w:pPr>
      <w:r>
        <w:rPr>
          <w:rFonts w:ascii="David" w:cs="David" w:eastAsia="David" w:hAnsi="David"/>
          <w:sz w:val="24"/>
          <w:szCs w:val="24"/>
          <w:rtl/>
        </w:rPr>
        <w:t xml:space="preserve">משך ההצגה עד עשר דקות בזוג או עד רבע שעה בשלשה. התכנון להלן מבוסס על עשר דקות. בהגשה בשלשה מתווספות כארבע דקות להצגת המאמר המשלים ולהרחבת הדיון.</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600"/>
      </w:tblGrid>
      <w:tr>
        <w:trPr>
          <w:tblHeader/>
        </w:trPr>
        <w:tc>
          <w:tcPr>
            <w:tcW w:type="dxa" w:w="1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b/>
                <w:bCs/>
                <w:sz w:val="22"/>
                <w:szCs w:val="22"/>
                <w:rtl/>
              </w:rPr>
              <w:t xml:space="preserve">זמן</w:t>
            </w:r>
          </w:p>
        </w:tc>
        <w:tc>
          <w:tcPr>
            <w:tcW w:type="dxa" w:w="4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b/>
                <w:bCs/>
                <w:sz w:val="22"/>
                <w:szCs w:val="22"/>
                <w:rtl/>
              </w:rPr>
              <w:t xml:space="preserve">תוכן</w:t>
            </w:r>
          </w:p>
        </w:tc>
        <w:tc>
          <w:tcPr>
            <w:tcW w:type="dxa" w:w="3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b/>
                <w:bCs/>
                <w:sz w:val="22"/>
                <w:szCs w:val="22"/>
                <w:rtl/>
              </w:rPr>
              <w:t xml:space="preserve">אמצעי המחשה</w:t>
            </w:r>
          </w:p>
        </w:tc>
      </w:tr>
      <w:tr>
        <w:tc>
          <w:tcPr>
            <w:tcW w:type="dxa" w:w="1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0:00-1:00</w:t>
            </w:r>
          </w:p>
        </w:tc>
        <w:tc>
          <w:tcPr>
            <w:tcW w:type="dxa" w:w="4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שער ופתיחה: "עד כמה העבודה שלכם מרגישה ברורה, בשליטה ומשמעותית?"</w:t>
            </w:r>
          </w:p>
        </w:tc>
        <w:tc>
          <w:tcPr>
            <w:tcW w:type="dxa" w:w="3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סקר </w:t>
            </w:r>
            <w:r>
              <w:rPr>
                <w:rFonts w:ascii="Times New Roman" w:cs="Times New Roman" w:eastAsia="Times New Roman" w:hAnsi="Times New Roman"/>
                <w:sz w:val="22"/>
                <w:szCs w:val="22"/>
              </w:rPr>
              <w:t xml:space="preserve">‎Mentimeter‎</w:t>
            </w:r>
            <w:r>
              <w:rPr>
                <w:rFonts w:ascii="David" w:cs="David" w:eastAsia="David" w:hAnsi="David"/>
                <w:sz w:val="22"/>
                <w:szCs w:val="22"/>
                <w:rtl/>
              </w:rPr>
              <w:t xml:space="preserve"> בזמן אמת על שלושת הרכיבים</w:t>
            </w:r>
          </w:p>
        </w:tc>
      </w:tr>
      <w:tr>
        <w:tc>
          <w:tcPr>
            <w:tcW w:type="dxa" w:w="1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1:00-2:30</w:t>
            </w:r>
          </w:p>
        </w:tc>
        <w:tc>
          <w:tcPr>
            <w:tcW w:type="dxa" w:w="4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למה עכשיו: הבינה המלאכותית, הפיטורים בהייטק, המילואים</w:t>
            </w:r>
          </w:p>
        </w:tc>
        <w:tc>
          <w:tcPr>
            <w:tcW w:type="dxa" w:w="3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כתבת </w:t>
            </w:r>
            <w:r>
              <w:rPr>
                <w:rFonts w:ascii="Times New Roman" w:cs="Times New Roman" w:eastAsia="Times New Roman" w:hAnsi="Times New Roman"/>
                <w:sz w:val="22"/>
                <w:szCs w:val="22"/>
              </w:rPr>
              <w:t xml:space="preserve">‎TheMarker‎</w:t>
            </w:r>
            <w:r>
              <w:rPr>
                <w:rFonts w:ascii="David" w:cs="David" w:eastAsia="David" w:hAnsi="David"/>
                <w:sz w:val="22"/>
                <w:szCs w:val="22"/>
                <w:rtl/>
              </w:rPr>
              <w:t xml:space="preserve"> ("הקשיים של מנהלי הייטק", 2026), נתוני בנק ישראל (2025), כרטיסי מספרים</w:t>
            </w:r>
          </w:p>
        </w:tc>
      </w:tr>
      <w:tr>
        <w:tc>
          <w:tcPr>
            <w:tcW w:type="dxa" w:w="1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2:30-5:00</w:t>
            </w:r>
          </w:p>
        </w:tc>
        <w:tc>
          <w:tcPr>
            <w:tcW w:type="dxa" w:w="4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המאמר: מי, איפה, מה. סלוטוגנזה ושלושת הרכיבים, צרכי </w:t>
            </w:r>
            <w:r>
              <w:rPr>
                <w:rFonts w:ascii="Times New Roman" w:cs="Times New Roman" w:eastAsia="Times New Roman" w:hAnsi="Times New Roman"/>
                <w:sz w:val="22"/>
                <w:szCs w:val="22"/>
              </w:rPr>
              <w:t xml:space="preserve">‎DRAMMA‎</w:t>
            </w:r>
            <w:r>
              <w:rPr>
                <w:rFonts w:ascii="David" w:cs="David" w:eastAsia="David" w:hAnsi="David"/>
                <w:sz w:val="22"/>
                <w:szCs w:val="22"/>
                <w:rtl/>
              </w:rPr>
              <w:t xml:space="preserve">, המערך, הממצאים</w:t>
            </w:r>
          </w:p>
        </w:tc>
        <w:tc>
          <w:tcPr>
            <w:tcW w:type="dxa" w:w="3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תרשים הספירלה, גרף עמודות של מקדמי הניבוי, כרטיס 924 משתתפים</w:t>
            </w:r>
          </w:p>
        </w:tc>
      </w:tr>
      <w:tr>
        <w:tc>
          <w:tcPr>
            <w:tcW w:type="dxa" w:w="1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5:00-6:30</w:t>
            </w:r>
          </w:p>
        </w:tc>
        <w:tc>
          <w:tcPr>
            <w:tcW w:type="dxa" w:w="4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המאמר המשלים, חיבור לחומר הקורס ותובנות: בינה מלאכותית, חוסן קריירה, סלי הכלים, הרצברג, עוגני קריירה, "המשאבים קודמים ליוזמה"</w:t>
            </w:r>
          </w:p>
        </w:tc>
        <w:tc>
          <w:tcPr>
            <w:tcW w:type="dxa" w:w="3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שקופית מעגל המשאבים, טבלת חיבור לחומר הקורס</w:t>
            </w:r>
          </w:p>
        </w:tc>
      </w:tr>
      <w:tr>
        <w:tc>
          <w:tcPr>
            <w:tcW w:type="dxa" w:w="1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6:30-7:45</w:t>
            </w:r>
          </w:p>
        </w:tc>
        <w:tc>
          <w:tcPr>
            <w:tcW w:type="dxa" w:w="4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סרטון: קטע של 75 שניות מהרצאת </w:t>
            </w:r>
            <w:r>
              <w:rPr>
                <w:rFonts w:ascii="Times New Roman" w:cs="Times New Roman" w:eastAsia="Times New Roman" w:hAnsi="Times New Roman"/>
                <w:sz w:val="22"/>
                <w:szCs w:val="22"/>
              </w:rPr>
              <w:t xml:space="preserve">‎TED‎</w:t>
            </w:r>
            <w:r>
              <w:rPr>
                <w:rFonts w:ascii="David" w:cs="David" w:eastAsia="David" w:hAnsi="David"/>
                <w:sz w:val="22"/>
                <w:szCs w:val="22"/>
                <w:rtl/>
              </w:rPr>
              <w:t xml:space="preserve"> של לוסי הון (</w:t>
            </w:r>
            <w:r>
              <w:rPr>
                <w:rFonts w:ascii="Times New Roman" w:cs="Times New Roman" w:eastAsia="Times New Roman" w:hAnsi="Times New Roman"/>
                <w:sz w:val="22"/>
                <w:szCs w:val="22"/>
              </w:rPr>
              <w:t xml:space="preserve">‎Hone, 2019‎</w:t>
            </w:r>
            <w:r>
              <w:rPr>
                <w:rFonts w:ascii="David" w:cs="David" w:eastAsia="David" w:hAnsi="David"/>
                <w:sz w:val="22"/>
                <w:szCs w:val="22"/>
                <w:rtl/>
              </w:rPr>
              <w:t xml:space="preserve">)</w:t>
            </w:r>
          </w:p>
        </w:tc>
        <w:tc>
          <w:tcPr>
            <w:tcW w:type="dxa" w:w="3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וידאו</w:t>
            </w:r>
          </w:p>
        </w:tc>
      </w:tr>
      <w:tr>
        <w:tc>
          <w:tcPr>
            <w:tcW w:type="dxa" w:w="1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7:45-9:00</w:t>
            </w:r>
          </w:p>
        </w:tc>
        <w:tc>
          <w:tcPr>
            <w:tcW w:type="dxa" w:w="4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הפעלה: כל סטודנט בוחר צורך התקרבות אחד ופעולה אחת לשבועיים הקרובים, ומשתף עם השכן</w:t>
            </w:r>
          </w:p>
        </w:tc>
        <w:tc>
          <w:tcPr>
            <w:tcW w:type="dxa" w:w="3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שקופית ארבעת הצרכים, כרטיסיות</w:t>
            </w:r>
          </w:p>
        </w:tc>
      </w:tr>
      <w:tr>
        <w:tc>
          <w:tcPr>
            <w:tcW w:type="dxa" w:w="1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9:00-10:00</w:t>
            </w:r>
          </w:p>
        </w:tc>
        <w:tc>
          <w:tcPr>
            <w:tcW w:type="dxa" w:w="40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סיכום, המסר לכיתה ושאלות</w:t>
            </w:r>
          </w:p>
        </w:tc>
        <w:tc>
          <w:tcPr>
            <w:tcW w:type="dxa" w:w="36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שקופית סיכום</w:t>
            </w:r>
          </w:p>
        </w:tc>
      </w:tr>
    </w:tbl>
    <w:p>
      <w:pPr>
        <w:spacing w:after="120"/>
      </w:pPr>
    </w:p>
    <w:p>
      <w:pPr>
        <w:pStyle w:val="Heading2"/>
        <w:bidi/>
        <w:spacing w:after="120" w:before="240" w:line="480"/>
        <w:jc w:val="right"/>
      </w:pPr>
      <w:r>
        <w:rPr>
          <w:rFonts w:ascii="David" w:cs="David" w:eastAsia="David" w:hAnsi="David"/>
          <w:b/>
          <w:bCs/>
          <w:color w:val="000000"/>
          <w:sz w:val="28"/>
          <w:szCs w:val="28"/>
          <w:rtl/>
        </w:rPr>
        <w:t xml:space="preserve">כרטיסיות ההפעלה</w:t>
      </w:r>
    </w:p>
    <w:p>
      <w:pPr>
        <w:pStyle w:val="ListParagraph"/>
        <w:numPr>
          <w:ilvl w:val="0"/>
          <w:numId w:val="2"/>
        </w:numPr>
        <w:bidi/>
        <w:spacing w:after="60" w:line="480"/>
        <w:jc w:val="both"/>
      </w:pPr>
      <w:r>
        <w:rPr>
          <w:rFonts w:ascii="David" w:cs="David" w:eastAsia="David" w:hAnsi="David"/>
          <w:sz w:val="24"/>
          <w:szCs w:val="24"/>
          <w:rtl/>
        </w:rPr>
        <w:t xml:space="preserve">אוטונומיה: איזו החלטה קטנה בעבודה או בלימודים אני יכול לקחת לידיים כבר השבוע?</w:t>
      </w:r>
    </w:p>
    <w:p>
      <w:pPr>
        <w:pStyle w:val="ListParagraph"/>
        <w:numPr>
          <w:ilvl w:val="0"/>
          <w:numId w:val="2"/>
        </w:numPr>
        <w:bidi/>
        <w:spacing w:after="60" w:line="480"/>
        <w:jc w:val="both"/>
      </w:pPr>
      <w:r>
        <w:rPr>
          <w:rFonts w:ascii="David" w:cs="David" w:eastAsia="David" w:hAnsi="David"/>
          <w:sz w:val="24"/>
          <w:szCs w:val="24"/>
          <w:rtl/>
        </w:rPr>
        <w:t xml:space="preserve">מיומנות: איזה אתגר אחד, מעט מעבר ליכולת הנוכחית, אני מוכן לקחת על עצמי בשבועיים הקרובים?</w:t>
      </w:r>
    </w:p>
    <w:p>
      <w:pPr>
        <w:pStyle w:val="ListParagraph"/>
        <w:numPr>
          <w:ilvl w:val="0"/>
          <w:numId w:val="2"/>
        </w:numPr>
        <w:bidi/>
        <w:spacing w:after="60" w:line="480"/>
        <w:jc w:val="both"/>
      </w:pPr>
      <w:r>
        <w:rPr>
          <w:rFonts w:ascii="David" w:cs="David" w:eastAsia="David" w:hAnsi="David"/>
          <w:sz w:val="24"/>
          <w:szCs w:val="24"/>
          <w:rtl/>
        </w:rPr>
        <w:t xml:space="preserve">משמעות: למי העבודה שלי עוזרת, ומתי בפעם האחרונה דיברתי איתו?</w:t>
      </w:r>
    </w:p>
    <w:p>
      <w:pPr>
        <w:pStyle w:val="ListParagraph"/>
        <w:numPr>
          <w:ilvl w:val="0"/>
          <w:numId w:val="2"/>
        </w:numPr>
        <w:bidi/>
        <w:spacing w:after="60" w:line="480"/>
        <w:jc w:val="both"/>
      </w:pPr>
      <w:r>
        <w:rPr>
          <w:rFonts w:ascii="David" w:cs="David" w:eastAsia="David" w:hAnsi="David"/>
          <w:sz w:val="24"/>
          <w:szCs w:val="24"/>
          <w:rtl/>
        </w:rPr>
        <w:t xml:space="preserve">שייכות: עם מי בעבודה אני רוצה קשר אמיתי יותר, ומה הצעד הראשון?</w:t>
      </w:r>
    </w:p>
    <w:p>
      <w:pPr>
        <w:bidi/>
        <w:spacing w:after="120" w:before="0" w:line="360"/>
        <w:jc w:val="both"/>
      </w:pPr>
      <w:r>
        <w:rPr>
          <w:rFonts w:ascii="David" w:cs="David" w:eastAsia="David" w:hAnsi="David"/>
          <w:sz w:val="24"/>
          <w:szCs w:val="24"/>
          <w:rtl/>
        </w:rPr>
        <w:t xml:space="preserve">כל סטודנט בוחר כרטיסייה אחת, כותב פעולה אחת קונקרטית ומועד לביצועה, ומשתף את השכן במשפט אחד. המציגים אוספים שתיים או שלוש דוגמאות מהכיתה ומחברים אותן לממצא: פעולות מסוג זה, לפי המאמר, מנבאות עלייה בבהירות, בשליטה ובמשמעות חצי שנה מאוחר יותר.</w:t>
      </w:r>
    </w:p>
    <w:p>
      <w:r>
        <w:br w:type="page"/>
      </w:r>
    </w:p>
    <w:p>
      <w:pPr>
        <w:pStyle w:val="Heading1"/>
        <w:bidi/>
        <w:spacing w:after="240" w:before="240" w:line="480"/>
        <w:jc w:val="right"/>
      </w:pPr>
      <w:r>
        <w:rPr>
          <w:rFonts w:ascii="David" w:cs="David" w:eastAsia="David" w:hAnsi="David"/>
          <w:b/>
          <w:bCs/>
          <w:color w:val="000000"/>
          <w:sz w:val="32"/>
          <w:szCs w:val="32"/>
          <w:rtl/>
        </w:rPr>
        <w:t xml:space="preserve">נספח ב: שאלון קצר להערכה עצמית</w:t>
      </w:r>
    </w:p>
    <w:p>
      <w:pPr>
        <w:bidi/>
        <w:spacing w:after="120" w:before="0" w:line="360"/>
        <w:jc w:val="both"/>
      </w:pPr>
      <w:r>
        <w:rPr>
          <w:rFonts w:ascii="David" w:cs="David" w:eastAsia="David" w:hAnsi="David"/>
          <w:sz w:val="24"/>
          <w:szCs w:val="24"/>
          <w:rtl/>
        </w:rPr>
        <w:t xml:space="preserve">השאלון נוסח על ידי המחברים בהשראת סולם תחושת הקוהרנטיות בעבודה וסולם עיצוב התפקיד מבוסס הצרכים, כפי שתוארו במאמר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 הוא אינו כלי מדידה מתוקף ומטרתו לעורר חשיבה, לא לאבחן. יש לדרג כל היגד בסולם 1 (כלל לא מסכים) עד 5 (מסכים מאוד).</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400"/>
        <w:gridCol w:w="2800"/>
      </w:tblGrid>
      <w:tr>
        <w:trPr>
          <w:tblHeader/>
        </w:trPr>
        <w:tc>
          <w:tcPr>
            <w:tcW w:type="dxa" w:w="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b/>
                <w:bCs/>
                <w:sz w:val="22"/>
                <w:szCs w:val="22"/>
                <w:rtl/>
              </w:rPr>
              <w:t xml:space="preserve">#</w:t>
            </w:r>
          </w:p>
        </w:tc>
        <w:tc>
          <w:tcPr>
            <w:tcW w:type="dxa" w:w="5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b/>
                <w:bCs/>
                <w:sz w:val="22"/>
                <w:szCs w:val="22"/>
                <w:rtl/>
              </w:rPr>
              <w:t xml:space="preserve">היגד</w:t>
            </w:r>
          </w:p>
        </w:tc>
        <w:tc>
          <w:tcPr>
            <w:tcW w:type="dxa" w:w="2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b/>
                <w:bCs/>
                <w:sz w:val="22"/>
                <w:szCs w:val="22"/>
                <w:rtl/>
              </w:rPr>
              <w:t xml:space="preserve">ממד</w:t>
            </w:r>
          </w:p>
        </w:tc>
      </w:tr>
      <w:tr>
        <w:tc>
          <w:tcPr>
            <w:tcW w:type="dxa" w:w="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1</w:t>
            </w:r>
          </w:p>
        </w:tc>
        <w:tc>
          <w:tcPr>
            <w:tcW w:type="dxa" w:w="5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מצב העבודה (או הלימודים) הנוכחי שלי ברור וצפוי לי.</w:t>
            </w:r>
          </w:p>
        </w:tc>
        <w:tc>
          <w:tcPr>
            <w:tcW w:type="dxa" w:w="2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מובנות</w:t>
            </w:r>
          </w:p>
        </w:tc>
      </w:tr>
      <w:tr>
        <w:tc>
          <w:tcPr>
            <w:tcW w:type="dxa" w:w="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2</w:t>
            </w:r>
          </w:p>
        </w:tc>
        <w:tc>
          <w:tcPr>
            <w:tcW w:type="dxa" w:w="5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יש לי מספיק זמן, כלים ותמיכה כדי להתמודד עם הדרישות.</w:t>
            </w:r>
          </w:p>
        </w:tc>
        <w:tc>
          <w:tcPr>
            <w:tcW w:type="dxa" w:w="2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ניהוליות</w:t>
            </w:r>
          </w:p>
        </w:tc>
      </w:tr>
      <w:tr>
        <w:tc>
          <w:tcPr>
            <w:tcW w:type="dxa" w:w="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3</w:t>
            </w:r>
          </w:p>
        </w:tc>
        <w:tc>
          <w:tcPr>
            <w:tcW w:type="dxa" w:w="5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מה שאני עושה שווה את המאמץ ואת המעורבות שלי.</w:t>
            </w:r>
          </w:p>
        </w:tc>
        <w:tc>
          <w:tcPr>
            <w:tcW w:type="dxa" w:w="2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משמעותיות</w:t>
            </w:r>
          </w:p>
        </w:tc>
      </w:tr>
      <w:tr>
        <w:tc>
          <w:tcPr>
            <w:tcW w:type="dxa" w:w="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4</w:t>
            </w:r>
          </w:p>
        </w:tc>
        <w:tc>
          <w:tcPr>
            <w:tcW w:type="dxa" w:w="5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בשבועיים האחרונים תכננתי את עבודתי כך שאחווה שליטה.</w:t>
            </w:r>
          </w:p>
        </w:tc>
        <w:tc>
          <w:tcPr>
            <w:tcW w:type="dxa" w:w="2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עיצוב לצורך אוטונומיה</w:t>
            </w:r>
          </w:p>
        </w:tc>
      </w:tr>
      <w:tr>
        <w:tc>
          <w:tcPr>
            <w:tcW w:type="dxa" w:w="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5</w:t>
            </w:r>
          </w:p>
        </w:tc>
        <w:tc>
          <w:tcPr>
            <w:tcW w:type="dxa" w:w="5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בשבועיים האחרונים חיפשתי אתגר שיפתח את היכולות שלי.</w:t>
            </w:r>
          </w:p>
        </w:tc>
        <w:tc>
          <w:tcPr>
            <w:tcW w:type="dxa" w:w="2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עיצוב לצורך מיומנות</w:t>
            </w:r>
          </w:p>
        </w:tc>
      </w:tr>
      <w:tr>
        <w:tc>
          <w:tcPr>
            <w:tcW w:type="dxa" w:w="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6</w:t>
            </w:r>
          </w:p>
        </w:tc>
        <w:tc>
          <w:tcPr>
            <w:tcW w:type="dxa" w:w="5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בשבועיים האחרונים ארגנתי את עבודתי כך שאשיג תחושת תכלית.</w:t>
            </w:r>
          </w:p>
        </w:tc>
        <w:tc>
          <w:tcPr>
            <w:tcW w:type="dxa" w:w="2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עיצוב לצורך משמעות</w:t>
            </w:r>
          </w:p>
        </w:tc>
      </w:tr>
      <w:tr>
        <w:tc>
          <w:tcPr>
            <w:tcW w:type="dxa" w:w="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7</w:t>
            </w:r>
          </w:p>
        </w:tc>
        <w:tc>
          <w:tcPr>
            <w:tcW w:type="dxa" w:w="5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בשבועיים האחרונים יזמתי קשר או שיתוף פעולה עם עמיתים.</w:t>
            </w:r>
          </w:p>
        </w:tc>
        <w:tc>
          <w:tcPr>
            <w:tcW w:type="dxa" w:w="2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עיצוב לצורך שייכות</w:t>
            </w:r>
          </w:p>
        </w:tc>
      </w:tr>
      <w:tr>
        <w:tc>
          <w:tcPr>
            <w:tcW w:type="dxa" w:w="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8</w:t>
            </w:r>
          </w:p>
        </w:tc>
        <w:tc>
          <w:tcPr>
            <w:tcW w:type="dxa" w:w="54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בשבועיים האחרונים דאגתי להתנתק מהעבודה בזמן הפנוי.</w:t>
            </w:r>
          </w:p>
        </w:tc>
        <w:tc>
          <w:tcPr>
            <w:tcW w:type="dxa" w:w="2800"/>
            <w:tcBorders>
              <w:top w:val="single" w:color="A6A6A6" w:sz="6"/>
              <w:left w:val="single" w:color="A6A6A6" w:sz="6"/>
              <w:bottom w:val="single" w:color="A6A6A6" w:sz="6"/>
              <w:right w:val="single" w:color="A6A6A6" w:sz="6"/>
            </w:tcBorders>
            <w:tcMar>
              <w:top w:type="dxa" w:w="80"/>
              <w:left w:type="dxa" w:w="100"/>
              <w:bottom w:type="dxa" w:w="80"/>
              <w:right w:type="dxa" w:w="100"/>
            </w:tcMar>
            <w:vAlign w:val="center"/>
          </w:tcPr>
          <w:p>
            <w:pPr>
              <w:bidi/>
              <w:spacing w:after="40" w:line="276"/>
              <w:jc w:val="right"/>
            </w:pPr>
            <w:r>
              <w:rPr>
                <w:rFonts w:ascii="David" w:cs="David" w:eastAsia="David" w:hAnsi="David"/>
                <w:sz w:val="22"/>
                <w:szCs w:val="22"/>
                <w:rtl/>
              </w:rPr>
              <w:t xml:space="preserve">עיצוב לצורך ניתוק</w:t>
            </w:r>
          </w:p>
        </w:tc>
      </w:tr>
    </w:tbl>
    <w:p>
      <w:pPr>
        <w:spacing w:after="120"/>
      </w:pPr>
    </w:p>
    <w:p>
      <w:pPr>
        <w:bidi/>
        <w:spacing w:after="120" w:before="0" w:line="360"/>
        <w:jc w:val="both"/>
      </w:pPr>
      <w:r>
        <w:rPr>
          <w:rFonts w:ascii="David" w:cs="David" w:eastAsia="David" w:hAnsi="David"/>
          <w:sz w:val="24"/>
          <w:szCs w:val="24"/>
          <w:rtl/>
        </w:rPr>
        <w:t xml:space="preserve">פרשנות: ציון נמוך בהיגדים 1 עד 3 מעיד על תחושת קוהרנטיות נמוכה בעבודה. ציון נמוך בהיגדים 4 עד 7 מעיד שכמעט לא מתבצע עיצוב תפקיד לצרכי התקרבות, ולפי המאמר זהו המקום שבו יש הכי הרבה מה להרוויח. ציון גבוה בהיגד 8 בלבד מעיד על דפוס של הימנעות, שתומך בהתאוששות אך אינו משנה את האופן שבו העבודה נתפסת (</w:t>
      </w:r>
      <w:r>
        <w:rPr>
          <w:rFonts w:ascii="Times New Roman" w:cs="Times New Roman" w:eastAsia="Times New Roman" w:hAnsi="Times New Roman"/>
          <w:sz w:val="24"/>
          <w:szCs w:val="24"/>
        </w:rPr>
        <w:t xml:space="preserve">‎Cetkovská et al., 2026‎</w:t>
      </w:r>
      <w:r>
        <w:rPr>
          <w:rFonts w:ascii="David" w:cs="David" w:eastAsia="David" w:hAnsi="David"/>
          <w:sz w:val="24"/>
          <w:szCs w:val="24"/>
          <w:rtl/>
        </w:rPr>
        <w:t xml:space="preserve">).</w:t>
      </w:r>
    </w:p>
    <w:p>
      <w:r>
        <w:br w:type="page"/>
      </w:r>
    </w:p>
    <w:p>
      <w:pPr>
        <w:pStyle w:val="Heading1"/>
        <w:bidi/>
        <w:spacing w:after="240" w:before="240" w:line="480"/>
        <w:jc w:val="right"/>
      </w:pPr>
      <w:r>
        <w:rPr>
          <w:rFonts w:ascii="David" w:cs="David" w:eastAsia="David" w:hAnsi="David"/>
          <w:b/>
          <w:bCs/>
          <w:color w:val="000000"/>
          <w:sz w:val="32"/>
          <w:szCs w:val="32"/>
          <w:rtl/>
        </w:rPr>
        <w:t xml:space="preserve">רשימת מקורות</w:t>
      </w:r>
    </w:p>
    <w:p>
      <w:pPr>
        <w:bidi/>
        <w:spacing w:after="0" w:line="480"/>
        <w:ind w:left="709" w:hanging="709"/>
        <w:jc w:val="right"/>
      </w:pPr>
      <w:r>
        <w:rPr>
          <w:rFonts w:ascii="David" w:cs="David" w:eastAsia="David" w:hAnsi="David"/>
          <w:sz w:val="24"/>
          <w:szCs w:val="24"/>
          <w:rtl/>
        </w:rPr>
        <w:t xml:space="preserve">בנק ישראל. (2025, 11 במרץ). ההשפעה הצפויה של בינה מלאכותית יוצרת על העובדים: השלכות על המדיניות בשוק העבודה [תיבה מתוך דוח בנק ישראל לשנת 2024]. </w:t>
      </w:r>
      <w:r>
        <w:rPr>
          <w:rFonts w:ascii="Times New Roman" w:cs="Times New Roman" w:eastAsia="Times New Roman" w:hAnsi="Times New Roman"/>
          <w:sz w:val="24"/>
          <w:szCs w:val="24"/>
        </w:rPr>
        <w:t xml:space="preserve">‎https://www.boi.org.il/publications/pressreleases/11-3-25/‎</w:t>
      </w:r>
    </w:p>
    <w:p>
      <w:pPr>
        <w:bidi/>
        <w:spacing w:after="0" w:line="480"/>
        <w:ind w:left="709" w:hanging="709"/>
        <w:jc w:val="right"/>
      </w:pPr>
      <w:r>
        <w:rPr>
          <w:rFonts w:ascii="David" w:cs="David" w:eastAsia="David" w:hAnsi="David"/>
          <w:sz w:val="24"/>
          <w:szCs w:val="24"/>
          <w:rtl/>
        </w:rPr>
        <w:t xml:space="preserve">הקשיים של מנהלי הייטק ב-2026: גיוס עובדים מתאימים והתייעלות </w:t>
      </w:r>
      <w:r>
        <w:rPr>
          <w:rFonts w:ascii="Times New Roman" w:cs="Times New Roman" w:eastAsia="Times New Roman" w:hAnsi="Times New Roman"/>
          <w:sz w:val="24"/>
          <w:szCs w:val="24"/>
        </w:rPr>
        <w:t xml:space="preserve">‎AI‎</w:t>
      </w:r>
      <w:r>
        <w:rPr>
          <w:rFonts w:ascii="David" w:cs="David" w:eastAsia="David" w:hAnsi="David"/>
          <w:sz w:val="24"/>
          <w:szCs w:val="24"/>
          <w:rtl/>
        </w:rPr>
        <w:t xml:space="preserve">. (2026, 21 ביוני). </w:t>
      </w:r>
      <w:r>
        <w:rPr>
          <w:rFonts w:ascii="Times New Roman" w:cs="Times New Roman" w:eastAsia="Times New Roman" w:hAnsi="Times New Roman"/>
          <w:sz w:val="24"/>
          <w:szCs w:val="24"/>
        </w:rPr>
        <w:t xml:space="preserve">‎TheMarker‎</w:t>
      </w:r>
      <w:r>
        <w:rPr>
          <w:rFonts w:ascii="David" w:cs="David" w:eastAsia="David" w:hAnsi="David"/>
          <w:sz w:val="24"/>
          <w:szCs w:val="24"/>
          <w:rtl/>
        </w:rPr>
        <w:t xml:space="preserve">. </w:t>
      </w:r>
      <w:r>
        <w:rPr>
          <w:rFonts w:ascii="Times New Roman" w:cs="Times New Roman" w:eastAsia="Times New Roman" w:hAnsi="Times New Roman"/>
          <w:sz w:val="24"/>
          <w:szCs w:val="24"/>
        </w:rPr>
        <w:t xml:space="preserve">‎https://www.themarker.com/career/2026-06-21/ty-article/.premium/0000019e-e3b1-d2b1-a5bf-fbb76dff0000‎</w:t>
      </w:r>
    </w:p>
    <w:p>
      <w:pPr>
        <w:bidi w:val="false"/>
        <w:spacing w:after="0" w:line="480"/>
        <w:ind w:left="709" w:hanging="709"/>
        <w:jc w:val="left"/>
      </w:pPr>
      <w:r>
        <w:rPr>
          <w:rFonts w:ascii="Times New Roman" w:cs="Times New Roman" w:eastAsia="Times New Roman" w:hAnsi="Times New Roman"/>
          <w:i w:val="false"/>
          <w:iCs w:val="false"/>
          <w:sz w:val="24"/>
          <w:szCs w:val="24"/>
        </w:rPr>
        <w:t xml:space="preserve">Cetkovská, K., Bauer, G. F., &amp; Tušl, M. (2026). The role of needs-based job crafting in strengthening work-related sense of coherence: A two-wave panel study. </w:t>
      </w:r>
      <w:r>
        <w:rPr>
          <w:rFonts w:ascii="Times New Roman" w:cs="Times New Roman" w:eastAsia="Times New Roman" w:hAnsi="Times New Roman"/>
          <w:i/>
          <w:iCs/>
          <w:sz w:val="24"/>
          <w:szCs w:val="24"/>
        </w:rPr>
        <w:t xml:space="preserve">Scandinavian Journal of Work and Organizational Psychology, 11</w:t>
      </w:r>
      <w:r>
        <w:rPr>
          <w:rFonts w:ascii="Times New Roman" w:cs="Times New Roman" w:eastAsia="Times New Roman" w:hAnsi="Times New Roman"/>
          <w:i w:val="false"/>
          <w:iCs w:val="false"/>
          <w:sz w:val="24"/>
          <w:szCs w:val="24"/>
        </w:rPr>
        <w:t xml:space="preserve">(1), Article 14. https://doi.org/10.16993/sjwop.389</w:t>
      </w:r>
    </w:p>
    <w:p>
      <w:pPr>
        <w:bidi w:val="false"/>
        <w:spacing w:after="0" w:line="480"/>
        <w:ind w:left="709" w:hanging="709"/>
        <w:jc w:val="left"/>
      </w:pPr>
      <w:r>
        <w:rPr>
          <w:rFonts w:ascii="Times New Roman" w:cs="Times New Roman" w:eastAsia="Times New Roman" w:hAnsi="Times New Roman"/>
          <w:i w:val="false"/>
          <w:iCs w:val="false"/>
          <w:sz w:val="24"/>
          <w:szCs w:val="24"/>
        </w:rPr>
        <w:t xml:space="preserve">Chung, Y. W., Im, S., Kim, J. E., &amp; Yun, J. K. (2025). Artificial intelligence awareness, career resilience, job insecurity and behavioural outcomes. </w:t>
      </w:r>
      <w:r>
        <w:rPr>
          <w:rFonts w:ascii="Times New Roman" w:cs="Times New Roman" w:eastAsia="Times New Roman" w:hAnsi="Times New Roman"/>
          <w:i/>
          <w:iCs/>
          <w:sz w:val="24"/>
          <w:szCs w:val="24"/>
        </w:rPr>
        <w:t xml:space="preserve">Australian Journal of Psychology, 77</w:t>
      </w:r>
      <w:r>
        <w:rPr>
          <w:rFonts w:ascii="Times New Roman" w:cs="Times New Roman" w:eastAsia="Times New Roman" w:hAnsi="Times New Roman"/>
          <w:i w:val="false"/>
          <w:iCs w:val="false"/>
          <w:sz w:val="24"/>
          <w:szCs w:val="24"/>
        </w:rPr>
        <w:t xml:space="preserve">(1), Article 2559910. https://doi.org/10.1080/00049530.2025.2559910</w:t>
      </w:r>
    </w:p>
    <w:p>
      <w:pPr>
        <w:bidi w:val="false"/>
        <w:spacing w:after="0" w:line="480"/>
        <w:ind w:left="709" w:hanging="709"/>
        <w:jc w:val="left"/>
      </w:pPr>
      <w:r>
        <w:rPr>
          <w:rFonts w:ascii="Times New Roman" w:cs="Times New Roman" w:eastAsia="Times New Roman" w:hAnsi="Times New Roman"/>
          <w:i w:val="false"/>
          <w:iCs w:val="false"/>
          <w:sz w:val="24"/>
          <w:szCs w:val="24"/>
        </w:rPr>
        <w:t xml:space="preserve">Hone, L. (2019). </w:t>
      </w:r>
      <w:r>
        <w:rPr>
          <w:rFonts w:ascii="Times New Roman" w:cs="Times New Roman" w:eastAsia="Times New Roman" w:hAnsi="Times New Roman"/>
          <w:i/>
          <w:iCs/>
          <w:sz w:val="24"/>
          <w:szCs w:val="24"/>
        </w:rPr>
        <w:t xml:space="preserve">3 secrets of resilient people</w:t>
      </w:r>
      <w:r>
        <w:rPr>
          <w:rFonts w:ascii="Times New Roman" w:cs="Times New Roman" w:eastAsia="Times New Roman" w:hAnsi="Times New Roman"/>
          <w:i w:val="false"/>
          <w:iCs w:val="false"/>
          <w:sz w:val="24"/>
          <w:szCs w:val="24"/>
        </w:rPr>
        <w:t xml:space="preserve"> [Video]. TED Conferences. https://www.ted.com/talks/lucy_hone_the_three_secrets_of_resilient_people</w:t>
      </w:r>
    </w:p>
    <w:p>
      <w:pPr>
        <w:bidi w:val="false"/>
        <w:spacing w:after="0" w:line="480"/>
        <w:ind w:left="709" w:hanging="709"/>
        <w:jc w:val="left"/>
      </w:pPr>
      <w:r>
        <w:rPr>
          <w:rFonts w:ascii="Times New Roman" w:cs="Times New Roman" w:eastAsia="Times New Roman" w:hAnsi="Times New Roman"/>
          <w:i w:val="false"/>
          <w:iCs w:val="false"/>
          <w:sz w:val="24"/>
          <w:szCs w:val="24"/>
        </w:rPr>
        <w:t xml:space="preserve">Russo, M., Shteigman, A., &amp; Carmeli, A. (2016). Workplace and family support and work-life balance: Implications for individual psychological availability and energy at work. </w:t>
      </w:r>
      <w:r>
        <w:rPr>
          <w:rFonts w:ascii="Times New Roman" w:cs="Times New Roman" w:eastAsia="Times New Roman" w:hAnsi="Times New Roman"/>
          <w:i/>
          <w:iCs/>
          <w:sz w:val="24"/>
          <w:szCs w:val="24"/>
        </w:rPr>
        <w:t xml:space="preserve">The Journal of Positive Psychology, 11</w:t>
      </w:r>
      <w:r>
        <w:rPr>
          <w:rFonts w:ascii="Times New Roman" w:cs="Times New Roman" w:eastAsia="Times New Roman" w:hAnsi="Times New Roman"/>
          <w:i w:val="false"/>
          <w:iCs w:val="false"/>
          <w:sz w:val="24"/>
          <w:szCs w:val="24"/>
        </w:rPr>
        <w:t xml:space="preserve">(2), 173-188. https://doi.org/10.1080/17439760.2015.1025424</w:t>
      </w:r>
    </w:p>
    <w:sectPr>
      <w:footerReference w:type="default" r:id="rId7"/>
      <w:footerReference w:type="first" r:id="rId8"/>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David" w:cs="David" w:eastAsia="David" w:hAnsi="David"/>
      <w:b/>
      <w:bCs/>
      <w:color w:val="000000"/>
      <w:sz w:val="32"/>
      <w:szCs w:val="32"/>
    </w:rPr>
  </w:style>
  <w:style w:type="paragraph" w:styleId="Heading2">
    <w:name w:val="Heading 2"/>
    <w:basedOn w:val="Normal"/>
    <w:next w:val="Normal"/>
    <w:qFormat/>
    <w:pPr>
      <w:spacing w:after="120" w:before="240"/>
      <w:outlineLvl w:val="1"/>
    </w:pPr>
    <w:rPr>
      <w:rFonts w:ascii="David" w:cs="David" w:eastAsia="David" w:hAnsi="David"/>
      <w:b/>
      <w:bCs/>
      <w:color w:val="000000"/>
      <w:sz w:val="28"/>
      <w:szCs w:val="28"/>
    </w:rPr>
  </w:style>
  <w:style w:type="paragraph" w:styleId="TOC1">
    <w:name w:val="toc 1"/>
    <w:basedOn w:val="Normal"/>
    <w:next w:val="Normal"/>
    <w:uiPriority w:val="39"/>
    <w:pPr>
      <w:tabs>
        <w:tab w:val="left" w:leader="dot" w:pos="8800"/>
      </w:tabs>
      <w:bidi/>
      <w:spacing w:line="300" w:lineRule="auto" w:after="40"/>
      <w:ind w:right="0"/>
    </w:pPr>
    <w:rPr>
      <w:rFonts w:ascii="David" w:hAnsi="David" w:cs="David"/>
      <w:sz w:val="24"/>
      <w:szCs w:val="24"/>
    </w:rPr>
  </w:style>
  <w:style w:type="paragraph" w:styleId="TOC2">
    <w:name w:val="toc 2"/>
    <w:basedOn w:val="Normal"/>
    <w:next w:val="Normal"/>
    <w:uiPriority w:val="39"/>
    <w:pPr>
      <w:tabs>
        <w:tab w:val="left" w:leader="dot" w:pos="8800"/>
      </w:tabs>
      <w:bidi/>
      <w:spacing w:line="300" w:lineRule="auto" w:after="40"/>
      <w:ind w:right="400"/>
    </w:pPr>
    <w:rPr>
      <w:rFonts w:ascii="David" w:hAnsi="David" w:cs="Davi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75ce4fdf76b58d4cf0096412ef177958ae578a9.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התמודדות עם חוסר ודאות תעסוקתי: עבודה מסכמת</dc:title>
  <dc:creator>Ono Academic College, Career Management</dc:creator>
  <cp:lastModifiedBy>Un-named</cp:lastModifiedBy>
  <cp:revision>1</cp:revision>
  <dcterms:created xsi:type="dcterms:W3CDTF">2026-09-17T20:31:42.191Z</dcterms:created>
  <dcterms:modified xsi:type="dcterms:W3CDTF">2026-09-17T20:31:42.209Z</dcterms:modified>
</cp:coreProperties>
</file>

<file path=docProps/custom.xml><?xml version="1.0" encoding="utf-8"?>
<Properties xmlns="http://schemas.openxmlformats.org/officeDocument/2006/custom-properties" xmlns:vt="http://schemas.openxmlformats.org/officeDocument/2006/docPropsVTypes"/>
</file>