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כי עבודה זו, "ניהול משא ומתן של מנהלי בתי ספר במגזר הערבי מול בעלי עניין", המוגשת בקורס ניהול משא ומתן בהנחיית ד"ר רמי הוכמן, היא עבודתנו.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bCs/>
          <w:i w:val="0"/>
          <w:noProof/>
        </w:rPr>
        <w:t>הצהרה על שימוש בבינה מלאכותית:</w:t>
      </w:r>
      <w:r>
        <w:rPr>
          <w:b w:val="0"/>
          <w:i w:val="0"/>
          <w:noProof/>
        </w:rPr>
        <w:t xml:space="preserve"> בהכנת העבודה נעזרנו בכלי בינה מלאכותית (Claude) לאיתור מקורות, לבניית מבנה העבודה, לניסוח טיוטות ולעריכה לשונית. בדקנו את התוכן, את המקורות ואת הניתוח, ואנו אחראיות לכל האמור בעבודה.</w:t>
      </w:r>
    </w:p>
    <w:p>
      <w:r>
        <w:rPr>
          <w:b w:val="0"/>
          <w:i w:val="0"/>
          <w:noProof/>
          <w:highlight w:val="yellow"/>
        </w:rPr>
        <w:t>[אם באתר הקורס יש טופס הצהרה רשמי, יש להשתמש בנוסח שלו במקום הנוסח הזה.]</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2835"/>
            <w:shd w:val="clear" w:color="auto" w:fill="D9D9D9"/>
          </w:tcPr>
          <w:p>
            <w:pPr>
              <w:spacing w:line="276" w:lineRule="auto" w:after="40"/>
              <w:jc w:val="right"/>
            </w:pPr>
            <w:r>
              <w:rPr>
                <w:b/>
                <w:bCs/>
                <w:i w:val="0"/>
                <w:noProof/>
                <w:sz w:val="22"/>
                <w:szCs w:val="22"/>
              </w:rPr>
              <w:t>שם</w:t>
            </w:r>
          </w:p>
        </w:tc>
        <w:tc>
          <w:tcPr>
            <w:tcW w:type="dxa" w:w="1984"/>
            <w:shd w:val="clear" w:color="auto" w:fill="D9D9D9"/>
          </w:tcPr>
          <w:p>
            <w:pPr>
              <w:spacing w:line="276" w:lineRule="auto" w:after="40"/>
              <w:jc w:val="right"/>
            </w:pPr>
            <w:r>
              <w:rPr>
                <w:b/>
                <w:bCs/>
                <w:i w:val="0"/>
                <w:noProof/>
                <w:sz w:val="22"/>
                <w:szCs w:val="22"/>
              </w:rPr>
              <w:t>ת"ז</w:t>
            </w:r>
          </w:p>
        </w:tc>
        <w:tc>
          <w:tcPr>
            <w:tcW w:type="dxa" w:w="2268"/>
            <w:shd w:val="clear" w:color="auto" w:fill="D9D9D9"/>
          </w:tcPr>
          <w:p>
            <w:pPr>
              <w:spacing w:line="276" w:lineRule="auto" w:after="40"/>
              <w:jc w:val="right"/>
            </w:pPr>
            <w:r>
              <w:rPr>
                <w:b/>
                <w:bCs/>
                <w:i w:val="0"/>
                <w:noProof/>
                <w:sz w:val="22"/>
                <w:szCs w:val="22"/>
              </w:rPr>
              <w:t>חתימה</w:t>
            </w:r>
          </w:p>
        </w:tc>
        <w:tc>
          <w:tcPr>
            <w:tcW w:type="dxa" w:w="1984"/>
            <w:shd w:val="clear" w:color="auto" w:fill="D9D9D9"/>
          </w:tcPr>
          <w:p>
            <w:pPr>
              <w:spacing w:line="276" w:lineRule="auto" w:after="40"/>
              <w:jc w:val="right"/>
            </w:pPr>
            <w:r>
              <w:rPr>
                <w:b/>
                <w:bCs/>
                <w:i w:val="0"/>
                <w:noProof/>
                <w:sz w:val="22"/>
                <w:szCs w:val="22"/>
              </w:rPr>
              <w:t>תאריך</w:t>
            </w:r>
          </w:p>
        </w:tc>
      </w:tr>
      <w:tr>
        <w:tc>
          <w:tcPr>
            <w:tcW w:type="dxa" w:w="2835"/>
          </w:tcPr>
          <w:p>
            <w:pPr>
              <w:spacing w:line="276" w:lineRule="auto" w:after="40"/>
              <w:jc w:val="right"/>
            </w:pPr>
            <w:r>
              <w:rPr>
                <w:b w:val="0"/>
                <w:i w:val="0"/>
                <w:noProof/>
                <w:sz w:val="22"/>
                <w:szCs w:val="22"/>
              </w:rPr>
              <w:t>רואן לוקמאן ביאטרה</w:t>
            </w:r>
          </w:p>
        </w:tc>
        <w:tc>
          <w:tcPr>
            <w:tcW w:type="dxa" w:w="1984"/>
          </w:tcPr>
          <w:p>
            <w:pPr>
              <w:spacing w:line="276" w:lineRule="auto" w:after="40"/>
              <w:jc w:val="right"/>
            </w:pPr>
            <w:r>
              <w:rPr>
                <w:b w:val="0"/>
                <w:i w:val="0"/>
                <w:noProof/>
                <w:sz w:val="22"/>
                <w:szCs w:val="22"/>
              </w:rPr>
              <w:t>300869781</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מריאן אבו־ח'לא</w:t>
            </w:r>
          </w:p>
        </w:tc>
        <w:tc>
          <w:tcPr>
            <w:tcW w:type="dxa" w:w="1984"/>
          </w:tcPr>
          <w:p>
            <w:pPr>
              <w:spacing w:line="276" w:lineRule="auto" w:after="40"/>
              <w:jc w:val="right"/>
            </w:pPr>
            <w:r>
              <w:rPr>
                <w:b w:val="0"/>
                <w:i w:val="0"/>
                <w:noProof/>
                <w:sz w:val="22"/>
                <w:szCs w:val="22"/>
              </w:rPr>
              <w:t>211584644</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r>
        <w:tc>
          <w:tcPr>
            <w:tcW w:type="dxa" w:w="2835"/>
          </w:tcPr>
          <w:p>
            <w:pPr>
              <w:spacing w:line="276" w:lineRule="auto" w:after="40"/>
              <w:jc w:val="right"/>
            </w:pPr>
            <w:r>
              <w:rPr>
                <w:b w:val="0"/>
                <w:i w:val="0"/>
                <w:noProof/>
                <w:sz w:val="22"/>
                <w:szCs w:val="22"/>
              </w:rPr>
              <w:t>עביר בדיר</w:t>
            </w:r>
          </w:p>
        </w:tc>
        <w:tc>
          <w:tcPr>
            <w:tcW w:type="dxa" w:w="1984"/>
          </w:tcPr>
          <w:p>
            <w:pPr>
              <w:spacing w:line="276" w:lineRule="auto" w:after="40"/>
              <w:jc w:val="right"/>
            </w:pPr>
            <w:r>
              <w:rPr>
                <w:b w:val="0"/>
                <w:i w:val="0"/>
                <w:noProof/>
                <w:sz w:val="22"/>
                <w:szCs w:val="22"/>
              </w:rPr>
              <w:t>034387365</w:t>
            </w:r>
          </w:p>
        </w:tc>
        <w:tc>
          <w:tcPr>
            <w:tcW w:type="dxa" w:w="2268"/>
          </w:tcPr>
          <w:p>
            <w:pPr>
              <w:spacing w:line="276" w:lineRule="auto" w:after="40"/>
              <w:jc w:val="right"/>
            </w:pPr>
          </w:p>
        </w:tc>
        <w:tc>
          <w:tcPr>
            <w:tcW w:type="dxa" w:w="1984"/>
          </w:tcPr>
          <w:p>
            <w:pPr>
              <w:spacing w:line="276" w:lineRule="auto" w:after="40"/>
              <w:jc w:val="right"/>
            </w:pPr>
            <w:r>
              <w:rPr>
                <w:b w:val="0"/>
                <w:i w:val="0"/>
                <w:noProof/>
                <w:sz w:val="22"/>
                <w:szCs w:val="22"/>
              </w:rPr>
              <w:t>8.10.2026</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כל המסגרות נלמדו בקורס (הוכמן, 2026), ובסוף הסקירה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החלופה הטובה ביותר להסכם (הוכמן, 2026),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העיקרון הראשון במודל (פישר ואחרים, 2013),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(הוכמן, 2026).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(הוכמן, 2026).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(פישר ואחרים, 2013),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כלומר להוראות התנהגות (שפירא, 1983, כפי שמצוטט אצל הוכמן, 2026):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(הוכמן, 2026).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