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60" w:lineRule="auto"/>
        <w:jc w:val="center"/>
      </w:pPr>
      <w:r>
        <w:rPr>
          <w:rFonts w:ascii="Times New Roman" w:cs="David" w:eastAsia="David" w:hAnsi="Times New Roman"/>
          <w:b/>
          <w:bCs/>
          <w:i w:val="false"/>
          <w:sz w:val="30"/>
          <w:szCs w:val="30"/>
          <w:rtl/>
        </w:rPr>
        <w:t xml:space="preserve">המסלול האקדמי המכללה למינהל</w:t>
      </w:r>
    </w:p>
    <w:p>
      <w:pPr>
        <w:bidi/>
        <w:spacing w:after="480" w:before="0" w:line="360" w:lineRule="auto"/>
        <w:jc w:val="center"/>
      </w:pPr>
      <w:r>
        <w:rPr>
          <w:rFonts w:ascii="Times New Roman" w:cs="David" w:eastAsia="David" w:hAnsi="Times New Roman"/>
          <w:b/>
          <w:bCs/>
          <w:i w:val="false"/>
          <w:sz w:val="28"/>
          <w:szCs w:val="28"/>
          <w:rtl/>
        </w:rPr>
        <w:t xml:space="preserve">בית הספר לתקשורת</w:t>
      </w:r>
    </w:p>
    <w:p>
      <w:pPr>
        <w:bidi/>
        <w:spacing w:after="60" w:before="0" w:line="360" w:lineRule="auto"/>
        <w:jc w:val="center"/>
      </w:pPr>
      <w:r>
        <w:rPr>
          <w:rFonts w:ascii="Times New Roman" w:cs="David" w:eastAsia="David" w:hAnsi="Times New Roman"/>
          <w:b w:val="false"/>
          <w:i w:val="false"/>
          <w:sz w:val="26"/>
          <w:szCs w:val="26"/>
          <w:rtl/>
        </w:rPr>
        <w:t xml:space="preserve">עבודה מסכמת בקורס:</w:t>
      </w:r>
    </w:p>
    <w:p>
      <w:pPr>
        <w:bidi/>
        <w:spacing w:after="60" w:before="0" w:line="360" w:lineRule="auto"/>
        <w:jc w:val="center"/>
      </w:pPr>
      <w:r>
        <w:rPr>
          <w:rFonts w:ascii="Times New Roman" w:cs="David" w:eastAsia="David" w:hAnsi="Times New Roman"/>
          <w:b/>
          <w:bCs/>
          <w:i w:val="false"/>
          <w:sz w:val="28"/>
          <w:szCs w:val="28"/>
          <w:rtl/>
        </w:rPr>
        <w:t xml:space="preserve">קריאה וכתיבה אקדמית ב'</w:t>
      </w:r>
    </w:p>
    <w:p>
      <w:pPr>
        <w:bidi/>
        <w:spacing w:after="300" w:before="0" w:line="360" w:lineRule="auto"/>
        <w:jc w:val="center"/>
      </w:pPr>
      <w:r>
        <w:rPr>
          <w:rFonts w:ascii="Times New Roman" w:cs="David" w:eastAsia="David" w:hAnsi="Times New Roman"/>
          <w:b w:val="false"/>
          <w:i w:val="false"/>
          <w:sz w:val="24"/>
          <w:szCs w:val="24"/>
          <w:rtl/>
        </w:rPr>
        <w:t xml:space="preserve">קוד קורס: 411042, סמסטר ב', תשפ"ו</w:t>
      </w:r>
    </w:p>
    <w:p>
      <w:pPr>
        <w:bidi/>
        <w:spacing w:after="360" w:before="0" w:line="360" w:lineRule="auto"/>
        <w:jc w:val="center"/>
      </w:pPr>
      <w:r>
        <w:rPr>
          <w:rFonts w:ascii="Times New Roman" w:cs="David" w:eastAsia="David" w:hAnsi="Times New Roman"/>
          <w:b/>
          <w:bCs/>
          <w:i w:val="false"/>
          <w:sz w:val="32"/>
          <w:szCs w:val="32"/>
          <w:rtl/>
        </w:rPr>
        <w:t xml:space="preserve">תשתית לראש פרק בסקירת הספרות של עבודת הסמינריון</w:t>
      </w:r>
    </w:p>
    <w:p>
      <w:pPr>
        <w:bidi/>
        <w:spacing w:after="60" w:before="0" w:line="360" w:lineRule="auto"/>
        <w:jc w:val="center"/>
      </w:pPr>
      <w:r>
        <w:rPr>
          <w:rFonts w:ascii="Times New Roman" w:cs="David" w:eastAsia="David" w:hAnsi="Times New Roman"/>
          <w:b w:val="false"/>
          <w:i w:val="false"/>
          <w:sz w:val="26"/>
          <w:szCs w:val="26"/>
          <w:rtl/>
        </w:rPr>
        <w:t xml:space="preserve">מרצה: ______________</w:t>
      </w:r>
    </w:p>
    <w:p>
      <w:pPr>
        <w:bidi/>
        <w:spacing w:after="60" w:before="0" w:line="360" w:lineRule="auto"/>
        <w:jc w:val="center"/>
      </w:pPr>
      <w:r>
        <w:rPr>
          <w:rFonts w:ascii="Times New Roman" w:cs="David" w:eastAsia="David" w:hAnsi="Times New Roman"/>
          <w:b/>
          <w:bCs/>
          <w:i w:val="false"/>
          <w:sz w:val="26"/>
          <w:szCs w:val="26"/>
          <w:rtl/>
        </w:rPr>
        <w:t xml:space="preserve">מגישה: ______________</w:t>
      </w:r>
    </w:p>
    <w:p>
      <w:pPr>
        <w:bidi/>
        <w:spacing w:after="480" w:before="0" w:line="360" w:lineRule="auto"/>
        <w:jc w:val="center"/>
      </w:pPr>
      <w:r>
        <w:rPr>
          <w:rFonts w:ascii="Times New Roman" w:cs="David" w:eastAsia="David" w:hAnsi="Times New Roman"/>
          <w:b w:val="false"/>
          <w:i w:val="false"/>
          <w:sz w:val="26"/>
          <w:szCs w:val="26"/>
          <w:rtl/>
        </w:rPr>
        <w:t xml:space="preserve">ת"ז: ______________</w:t>
      </w:r>
    </w:p>
    <w:p>
      <w:pPr>
        <w:bidi/>
        <w:spacing w:after="0" w:before="0" w:line="360" w:lineRule="auto"/>
        <w:jc w:val="center"/>
      </w:pPr>
      <w:r>
        <w:rPr>
          <w:rFonts w:ascii="Times New Roman" w:cs="David" w:eastAsia="David" w:hAnsi="Times New Roman"/>
          <w:b w:val="false"/>
          <w:i w:val="false"/>
          <w:sz w:val="26"/>
          <w:szCs w:val="26"/>
          <w:rtl/>
        </w:rPr>
        <w:t xml:space="preserve">אב תשפ"ו, אוגוסט 2026</w:t>
      </w:r>
    </w:p>
    <w:p>
      <w:pPr>
        <w:pageBreakBefore/>
        <w:bidi/>
        <w:spacing w:after="240" w:line="360" w:lineRule="auto"/>
        <w:jc w:val="start"/>
      </w:pPr>
      <w:r>
        <w:rPr>
          <w:rFonts w:ascii="Times New Roman" w:cs="David" w:eastAsia="David" w:hAnsi="Times New Roman"/>
          <w:b/>
          <w:bCs/>
          <w:i w:val="false"/>
          <w:sz w:val="32"/>
          <w:szCs w:val="32"/>
          <w:rtl/>
        </w:rPr>
        <w:t xml:space="preserve">1. נושא העבודה ושאלת המחקר</w:t>
      </w:r>
    </w:p>
    <w:p>
      <w:pPr>
        <w:bidi/>
        <w:spacing w:after="120" w:line="360" w:lineRule="auto"/>
        <w:jc w:val="both"/>
      </w:pPr>
      <w:r>
        <w:rPr>
          <w:rFonts w:ascii="Times New Roman" w:cs="David" w:eastAsia="David" w:hAnsi="Times New Roman"/>
          <w:b w:val="false"/>
          <w:i w:val="false"/>
          <w:sz w:val="24"/>
          <w:szCs w:val="24"/>
          <w:rtl/>
        </w:rPr>
        <w:t xml:space="preserve">נושא עבודת הסמינריון, כפי שאושר על ידי מרצה הסמינריון בקורס "המשפט כתרבות פופולרית", הוא השידור החי של משפט הדיבה בין ג'וני דפ לאמבר הרד והפיכתו לאירוע ויראלי ברשתות החברתיות, ובמרכזו הקהל שהתגבש סביב השידור והכריע בעצמו בשאלת האשמה. שאלת המחקר: כיצד השידור החי של משפט ג'וני דפ והפיכתו לוויראלי יצרו "חבר מושבעים אלטרנטיבי" שערער על מוסד המושבעים המסורתי?</w:t>
      </w:r>
    </w:p>
    <w:p>
      <w:pPr>
        <w:bidi/>
        <w:spacing w:after="240" w:line="360" w:lineRule="auto"/>
        <w:jc w:val="start"/>
      </w:pPr>
      <w:r>
        <w:rPr>
          <w:rFonts w:ascii="Times New Roman" w:cs="David" w:eastAsia="David" w:hAnsi="Times New Roman"/>
          <w:b/>
          <w:bCs/>
          <w:i w:val="false"/>
          <w:sz w:val="32"/>
          <w:szCs w:val="32"/>
          <w:rtl/>
        </w:rPr>
        <w:t xml:space="preserve">2. שלושת הפריטים האקדמיים ואופן איתורם</w:t>
      </w:r>
    </w:p>
    <w:p>
      <w:pPr>
        <w:bidi/>
        <w:spacing w:after="120" w:line="360" w:lineRule="auto"/>
        <w:jc w:val="both"/>
      </w:pPr>
      <w:r>
        <w:rPr>
          <w:rFonts w:ascii="Times New Roman" w:cs="David" w:eastAsia="David" w:hAnsi="Times New Roman"/>
          <w:b w:val="false"/>
          <w:i w:val="false"/>
          <w:sz w:val="24"/>
          <w:szCs w:val="24"/>
          <w:rtl/>
        </w:rPr>
        <w:t xml:space="preserve">(van Es, 2017) - מאמר אקדמי מכתב עת. אותר במנוע החיפוש Google Scholar באמצעות מילות החיפוש והאופרטורים: liveness AND media AND television. קישור לטקסט המלא:</w:t>
      </w:r>
    </w:p>
    <w:p>
      <w:pPr>
        <w:bidi w:val="false"/>
        <w:spacing w:after="120" w:line="360" w:lineRule="auto"/>
        <w:ind w:left="709"/>
        <w:jc w:val="left"/>
      </w:pPr>
      <w:hyperlink w:history="1" r:id="rIdprjncz5mkj7mac-l8tyar">
        <w:r>
          <w:rPr>
            <w:rStyle w:val="Hyperlink"/>
            <w:rFonts w:ascii="Times New Roman" w:cs="Times New Roman" w:eastAsia="Times New Roman" w:hAnsi="Times New Roman"/>
            <w:sz w:val="22"/>
            <w:szCs w:val="22"/>
          </w:rPr>
          <w:t xml:space="preserve">https://pmc.ncbi.nlm.nih.gov/articles/PMC5732612/</w:t>
        </w:r>
      </w:hyperlink>
    </w:p>
    <w:p>
      <w:pPr>
        <w:bidi/>
        <w:spacing w:after="120" w:line="360" w:lineRule="auto"/>
        <w:jc w:val="both"/>
      </w:pPr>
      <w:r>
        <w:rPr>
          <w:rFonts w:ascii="Times New Roman" w:cs="David" w:eastAsia="David" w:hAnsi="Times New Roman"/>
          <w:b w:val="false"/>
          <w:i w:val="false"/>
          <w:sz w:val="24"/>
          <w:szCs w:val="24"/>
          <w:rtl/>
        </w:rPr>
        <w:t xml:space="preserve">(Hoffmeister &amp; Watts, 2018) - מאמר אקדמי מכתב עת. אותר במנוע החיפוש Google Scholar באמצעות מילות החיפוש והאופרטורים: jury AND "social media" AND internet. קישור לטקסט המלא:</w:t>
      </w:r>
    </w:p>
    <w:p>
      <w:pPr>
        <w:bidi w:val="false"/>
        <w:spacing w:after="120" w:line="360" w:lineRule="auto"/>
        <w:ind w:left="709"/>
        <w:jc w:val="left"/>
      </w:pPr>
      <w:hyperlink w:history="1" r:id="rIdwjwv8moiwj93lxqbz8lxt">
        <w:r>
          <w:rPr>
            <w:rStyle w:val="Hyperlink"/>
            <w:rFonts w:ascii="Times New Roman" w:cs="Times New Roman" w:eastAsia="Times New Roman" w:hAnsi="Times New Roman"/>
            <w:sz w:val="22"/>
            <w:szCs w:val="22"/>
          </w:rPr>
          <w:t xml:space="preserve">https://papers.ssrn.com/sol3/papers.cfm?abstract_id=3273809</w:t>
        </w:r>
      </w:hyperlink>
    </w:p>
    <w:p>
      <w:pPr>
        <w:bidi/>
        <w:spacing w:after="120" w:line="360" w:lineRule="auto"/>
        <w:jc w:val="both"/>
      </w:pPr>
      <w:r>
        <w:rPr>
          <w:rFonts w:ascii="Times New Roman" w:cs="David" w:eastAsia="David" w:hAnsi="Times New Roman"/>
          <w:b w:val="false"/>
          <w:i w:val="false"/>
          <w:sz w:val="24"/>
          <w:szCs w:val="24"/>
          <w:rtl/>
        </w:rPr>
        <w:t xml:space="preserve">(Nelson, 2025) - מאמר אקדמי מכתב עת. אותר במנוע החיפוש Google Scholar באמצעות מילות החיפוש והאופרטורים: "Depp v Heard" AND livestream AND "social media". קישור לטקסט המלא:</w:t>
      </w:r>
    </w:p>
    <w:p>
      <w:pPr>
        <w:bidi w:val="false"/>
        <w:spacing w:after="120" w:line="360" w:lineRule="auto"/>
        <w:ind w:left="709"/>
        <w:jc w:val="left"/>
      </w:pPr>
      <w:hyperlink w:history="1" r:id="rId-fy2_sm-z70hjnnweksra">
        <w:r>
          <w:rPr>
            <w:rStyle w:val="Hyperlink"/>
            <w:rFonts w:ascii="Times New Roman" w:cs="Times New Roman" w:eastAsia="Times New Roman" w:hAnsi="Times New Roman"/>
            <w:sz w:val="22"/>
            <w:szCs w:val="22"/>
          </w:rPr>
          <w:t xml:space="preserve">https://researchonline.nd.edu.au/arts_article/190/</w:t>
        </w:r>
      </w:hyperlink>
    </w:p>
    <w:p>
      <w:pPr>
        <w:bidi/>
        <w:spacing w:after="240" w:line="360" w:lineRule="auto"/>
        <w:jc w:val="start"/>
      </w:pPr>
      <w:r>
        <w:rPr>
          <w:rFonts w:ascii="Times New Roman" w:cs="David" w:eastAsia="David" w:hAnsi="Times New Roman"/>
          <w:b/>
          <w:bCs/>
          <w:i w:val="false"/>
          <w:sz w:val="32"/>
          <w:szCs w:val="32"/>
          <w:rtl/>
        </w:rPr>
        <w:t xml:space="preserve">3. ראש הפרק: השידור החי כמנגנון תרבותי, מן החיות הטכנולוגית אל הכרעת הקהל</w:t>
      </w:r>
    </w:p>
    <w:p>
      <w:pPr>
        <w:bidi/>
        <w:spacing w:after="120" w:line="360" w:lineRule="auto"/>
        <w:jc w:val="both"/>
      </w:pPr>
      <w:r>
        <w:rPr>
          <w:rFonts w:ascii="Times New Roman" w:cs="David" w:eastAsia="David" w:hAnsi="Times New Roman"/>
          <w:b w:val="false"/>
          <w:i w:val="false"/>
          <w:sz w:val="24"/>
          <w:szCs w:val="24"/>
          <w:rtl/>
        </w:rPr>
        <w:t xml:space="preserve">ראש פרק זה, הראשון בסקירת הספרות של עבודת הסמינריון, עוסק במושג השידור החי ובתפקידו התרבותי כאשר ההליך המשודר הוא הליך משפטי. בשיח הרווח נתפס השידור החי כעניין טכני בלבד, כלומר כהעברה של אירוע בזמן שהוא מתרחש. הטענה המרכזית של ראש הפרק היא שהחיות אינה תכונה טכנית של הטקסט אלא טענה שהמדיה מייצרת ומנהלת, וככזו היא מקנה לצופה תחושת השתתפות ולא רק תחושת צפייה. מן הטענה נגזרת השערה מעשית: כאשר משפט משודר בשידור חי, הצופה אינו נותר קהל אלא נעשה שותף המפרש את הראיות בזמן אמת ומגבש הכרעה משלו. השערה זו נעשית משמעותית במיוחד כאשר הצפייה החיה מלווה בפלטפורמות המאפשרות תגובה מיידית והמונית. לביסוס הטענה נשען הפרק על שלושה מקורות מן העשור האחרון: מחקר תאורטי על מושג החיות, סקירת מחקר על מושבעים בסביבה מקוונת, ומחקר מקרה על ההליך שבמוקד העבודה. הדיון המשולב בשלושתם יניח את התשתית לבחינת השאלה מי מכריע כאשר ההכרעה משודרת.</w:t>
      </w:r>
    </w:p>
    <w:p>
      <w:pPr>
        <w:bidi/>
        <w:spacing w:after="120" w:line="360" w:lineRule="auto"/>
        <w:jc w:val="both"/>
      </w:pPr>
      <w:r>
        <w:rPr>
          <w:rFonts w:ascii="Times New Roman" w:cs="David" w:eastAsia="David" w:hAnsi="Times New Roman"/>
          <w:b w:val="false"/>
          <w:i w:val="false"/>
          <w:sz w:val="24"/>
          <w:szCs w:val="24"/>
          <w:rtl/>
        </w:rPr>
        <w:t xml:space="preserve">ואן אס (van Es, 2017) מציעה לחשוב מחדש על מושג החיות במחקר התקשורת, ולוותר על ההנחה שהוא מתאר תכונה טכנולוגית יציבה. לטענתה, החיות היא טענה שהמדיה משמיעה על עצמה, ולא עובדה הנמדדת במרחק הזמן שבין ההתרחשות לבין שידורה. מכאן שהיא נבנית ומתוחזקת באמצעות מוסכמות, סימנים ופרקטיקות המשכנעים את הצופה שהוא נוכח באירוע בשעה שהוא קורה. ואן אס מדגישה שהטענה הזאת אינה ניטרלית, שכן שחקנים שונים מתחרים על הזכות להגדיר מה ייחשב "חי" ומה לא. משמעות הדבר היא שהחיות מחלקת ערך: מה שמוגדר חי נתפס כדחוף, כאותנטי וכראוי לתשומת לב מיידית. עבור ראש פרק זה, המסקנה החשובה היא שהשידור החי אינו אמצעי העברה בלבד אלא מנגנון המארגן את מעמדו של הצופה ואת מידת מעורבותו.</w:t>
      </w:r>
    </w:p>
    <w:p>
      <w:pPr>
        <w:bidi/>
        <w:spacing w:after="120" w:line="360" w:lineRule="auto"/>
        <w:jc w:val="both"/>
      </w:pPr>
      <w:r>
        <w:rPr>
          <w:rFonts w:ascii="Times New Roman" w:cs="David" w:eastAsia="David" w:hAnsi="Times New Roman"/>
          <w:b w:val="false"/>
          <w:i w:val="false"/>
          <w:sz w:val="24"/>
          <w:szCs w:val="24"/>
          <w:rtl/>
        </w:rPr>
        <w:t xml:space="preserve">שני המקורות הנוספים מראים מה קורה כאשר מנגנון החיות פוגש פלטפורמה המאפשרת השתתפות המונית, וכל אחד מהם עושה זאת מזווית אחרת. הופמייסטר ווטס (Hoffmeister &amp; Watts, 2018) סוקרים את המחקר על מושבעים בעידן האינטרנט ומראים שהמידע החיצוני אינו מגיע עוד רק מבחוץ אלא נמצא בכיסו של כל מושבע. מן הסקירה עולה שמושבעים מחפשים מידע על התיק ברשת, מפרסמים עליו ונחשפים לעמדותיהם של אחרים, ושהאיסורים המקובלים מתקשים לעמוד מול הרגלי צריכת מידע שנעשו אוטומטיים. נלסון (Nelson, 2025) בוחנת את הצד המשלים במחקר מקרה על ההליך שבין דפ להרד, שהיה משודר במלואו והפך לאירוע רשת עולמי. היא מתעדת היקפי השתתפות חריגים, ובכללם מיליארדי צפיות בתגיות ייעודיות ומיליוני פרסומים, ומראה כיצד השיח התארגן במהירות סביב צד אחד. קריאה משולבת של השניים מלמדת שהגבול בין הקהל למושבעים נעשה נקבובי משני עבריו: הקהל מתנהג כמכריע, והמכריעים חשופים לקהל. כך מתחדדת טענת ראש הפרק, שלפיה החיות אינה רק אופן שידור אלא מנגנון המסמיך את הצופה להכריע.</w:t>
      </w:r>
    </w:p>
    <w:p>
      <w:pPr>
        <w:bidi/>
        <w:spacing w:after="120" w:line="360" w:lineRule="auto"/>
        <w:jc w:val="both"/>
      </w:pPr>
      <w:r>
        <w:rPr>
          <w:rFonts w:ascii="Times New Roman" w:cs="David" w:eastAsia="David" w:hAnsi="Times New Roman"/>
          <w:b w:val="false"/>
          <w:i w:val="false"/>
          <w:sz w:val="24"/>
          <w:szCs w:val="24"/>
          <w:rtl/>
        </w:rPr>
        <w:t xml:space="preserve">השורה התחתונה של ראש הפרק היא שהשידור החי מעניק לצופה מעמד של משתתף, ובהליך משפטי משמעו מעמד של מכריע בפועל. שלושת המקורות מצביעים יחד על אותו מהלך: החיות נבנית כטענה, הטענה מייצרת מעורבות, והמעורבות נעשית שיפוטית. מכאן שהשאלה מי מוסמך להכריע אינה נשארת בתחומי האולם, אלא נפתחת אל כל מי שצופה בזמן אמת. ראש הפרק אינו מתיימר לקבוע שהקהל מחליף את חבר המושבעים, אלא להראות שנוצרת לצידו זירת הכרעה מקבילה. מסקנה זו מובילה ישירות לראש הפרק הבא בסקירת הספרות, שיעסוק במוסד המושבעים עצמו. שם ייבחנו ההנחות שעליהן הוא נשען ומידת עמידותן בסביבה שבה ההליך גלוי לצפייה מתמשכת.</w:t>
      </w:r>
    </w:p>
    <w:p>
      <w:pPr>
        <w:pageBreakBefore/>
        <w:bidi/>
        <w:spacing w:after="240" w:line="360" w:lineRule="auto"/>
        <w:jc w:val="start"/>
      </w:pPr>
      <w:r>
        <w:rPr>
          <w:rFonts w:ascii="Times New Roman" w:cs="David" w:eastAsia="David" w:hAnsi="Times New Roman"/>
          <w:b/>
          <w:bCs/>
          <w:i w:val="false"/>
          <w:sz w:val="32"/>
          <w:szCs w:val="32"/>
          <w:rtl/>
        </w:rPr>
        <w:t xml:space="preserve">רשימת מקורות</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Hoffmeister, T., &amp; Watts, A. C. (2018). Social media, the internet, and trial by jury. </w:t>
      </w:r>
      <w:r>
        <w:rPr>
          <w:rFonts w:ascii="Times New Roman" w:cs="Times New Roman" w:eastAsia="Times New Roman" w:hAnsi="Times New Roman"/>
          <w:b w:val="false"/>
          <w:i/>
          <w:iCs/>
          <w:sz w:val="24"/>
          <w:szCs w:val="24"/>
          <w:rtl w:val="false"/>
        </w:rPr>
        <w:t xml:space="preserve">Annual Review of Law and Social Science, 14</w:t>
      </w:r>
      <w:r>
        <w:rPr>
          <w:rFonts w:ascii="Times New Roman" w:cs="Times New Roman" w:eastAsia="Times New Roman" w:hAnsi="Times New Roman"/>
          <w:b w:val="false"/>
          <w:i w:val="false"/>
          <w:sz w:val="24"/>
          <w:szCs w:val="24"/>
          <w:rtl w:val="false"/>
        </w:rPr>
        <w:t xml:space="preserve">, 259-270.</w:t>
      </w:r>
    </w:p>
    <w:p>
      <w:pPr>
        <w:bidi w:val="false"/>
        <w:spacing w:after="180" w:line="360" w:lineRule="auto"/>
        <w:ind w:left="709"/>
        <w:jc w:val="left"/>
      </w:pPr>
      <w:hyperlink w:history="1" r:id="rIdlj9fqbf9dg6wybdoo1bx6">
        <w:r>
          <w:rPr>
            <w:rStyle w:val="Hyperlink"/>
            <w:rFonts w:ascii="Times New Roman" w:cs="Times New Roman" w:eastAsia="Times New Roman" w:hAnsi="Times New Roman"/>
            <w:sz w:val="22"/>
            <w:szCs w:val="22"/>
          </w:rPr>
          <w:t xml:space="preserve">https://papers.ssrn.com/sol3/papers.cfm?abstract_id=3273809</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Nelson, C. (2025). "A public orgy of misogyny": Gender, power, media, and legal spectacle in Depp v Heard. </w:t>
      </w:r>
      <w:r>
        <w:rPr>
          <w:rFonts w:ascii="Times New Roman" w:cs="Times New Roman" w:eastAsia="Times New Roman" w:hAnsi="Times New Roman"/>
          <w:b w:val="false"/>
          <w:i/>
          <w:iCs/>
          <w:sz w:val="24"/>
          <w:szCs w:val="24"/>
          <w:rtl w:val="false"/>
        </w:rPr>
        <w:t xml:space="preserve">Feminist Media Studies, 25</w:t>
      </w:r>
      <w:r>
        <w:rPr>
          <w:rFonts w:ascii="Times New Roman" w:cs="Times New Roman" w:eastAsia="Times New Roman" w:hAnsi="Times New Roman"/>
          <w:b w:val="false"/>
          <w:i w:val="false"/>
          <w:sz w:val="24"/>
          <w:szCs w:val="24"/>
          <w:rtl w:val="false"/>
        </w:rPr>
        <w:t xml:space="preserve">(2), 233-249.</w:t>
      </w:r>
    </w:p>
    <w:p>
      <w:pPr>
        <w:bidi w:val="false"/>
        <w:spacing w:after="180" w:line="360" w:lineRule="auto"/>
        <w:ind w:left="709"/>
        <w:jc w:val="left"/>
      </w:pPr>
      <w:hyperlink w:history="1" r:id="rIdhfjtulqxz3cd1ygx0b6pm">
        <w:r>
          <w:rPr>
            <w:rStyle w:val="Hyperlink"/>
            <w:rFonts w:ascii="Times New Roman" w:cs="Times New Roman" w:eastAsia="Times New Roman" w:hAnsi="Times New Roman"/>
            <w:sz w:val="22"/>
            <w:szCs w:val="22"/>
          </w:rPr>
          <w:t xml:space="preserve">https://researchonline.nd.edu.au/arts_article/190/</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van Es, K. (2017). Liveness redux: On media and their claim to be live. </w:t>
      </w:r>
      <w:r>
        <w:rPr>
          <w:rFonts w:ascii="Times New Roman" w:cs="Times New Roman" w:eastAsia="Times New Roman" w:hAnsi="Times New Roman"/>
          <w:b w:val="false"/>
          <w:i/>
          <w:iCs/>
          <w:sz w:val="24"/>
          <w:szCs w:val="24"/>
          <w:rtl w:val="false"/>
        </w:rPr>
        <w:t xml:space="preserve">Media, Culture &amp; Society, 39</w:t>
      </w:r>
      <w:r>
        <w:rPr>
          <w:rFonts w:ascii="Times New Roman" w:cs="Times New Roman" w:eastAsia="Times New Roman" w:hAnsi="Times New Roman"/>
          <w:b w:val="false"/>
          <w:i w:val="false"/>
          <w:sz w:val="24"/>
          <w:szCs w:val="24"/>
          <w:rtl w:val="false"/>
        </w:rPr>
        <w:t xml:space="preserve">(8), 1245-1256.</w:t>
      </w:r>
    </w:p>
    <w:p>
      <w:pPr>
        <w:bidi w:val="false"/>
        <w:spacing w:after="180" w:line="360" w:lineRule="auto"/>
        <w:ind w:left="709"/>
        <w:jc w:val="left"/>
      </w:pPr>
      <w:hyperlink w:history="1" r:id="rId54grukfvdjr-ca4lfoqtq">
        <w:r>
          <w:rPr>
            <w:rStyle w:val="Hyperlink"/>
            <w:rFonts w:ascii="Times New Roman" w:cs="Times New Roman" w:eastAsia="Times New Roman" w:hAnsi="Times New Roman"/>
            <w:sz w:val="22"/>
            <w:szCs w:val="22"/>
          </w:rPr>
          <w:t xml:space="preserve">https://pmc.ncbi.nlm.nih.gov/articles/PMC5732612/</w:t>
        </w:r>
      </w:hyperlink>
    </w:p>
    <w:sectPr>
      <w:headerReference w:type="default" r:id="rId7"/>
      <w:head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prjncz5mkj7mac-l8tyar" Type="http://schemas.openxmlformats.org/officeDocument/2006/relationships/hyperlink" Target="https://pmc.ncbi.nlm.nih.gov/articles/PMC5732612/" TargetMode="External"/><Relationship Id="rIdwjwv8moiwj93lxqbz8lxt" Type="http://schemas.openxmlformats.org/officeDocument/2006/relationships/hyperlink" Target="https://papers.ssrn.com/sol3/papers.cfm?abstract_id=3273809" TargetMode="External"/><Relationship Id="rId-fy2_sm-z70hjnnweksra" Type="http://schemas.openxmlformats.org/officeDocument/2006/relationships/hyperlink" Target="https://researchonline.nd.edu.au/arts_article/190/" TargetMode="External"/><Relationship Id="rIdlj9fqbf9dg6wybdoo1bx6" Type="http://schemas.openxmlformats.org/officeDocument/2006/relationships/hyperlink" Target="https://papers.ssrn.com/sol3/papers.cfm?abstract_id=3273809" TargetMode="External"/><Relationship Id="rIdhfjtulqxz3cd1ygx0b6pm" Type="http://schemas.openxmlformats.org/officeDocument/2006/relationships/hyperlink" Target="https://researchonline.nd.edu.au/arts_article/190/" TargetMode="External"/><Relationship Id="rId54grukfvdjr-ca4lfoqtq" Type="http://schemas.openxmlformats.org/officeDocument/2006/relationships/hyperlink" Target="https://pmc.ncbi.nlm.nih.gov/articles/PMC5732612/"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תשתית לראש פרק בסקירת הספרות של עבודת הסמינריון</dc:title>
  <dc:creator>______________</dc:creator>
  <cp:lastModifiedBy>Un-named</cp:lastModifiedBy>
  <cp:revision>1</cp:revision>
  <dcterms:created xsi:type="dcterms:W3CDTF">2026-08-01T18:57:44.571Z</dcterms:created>
  <dcterms:modified xsi:type="dcterms:W3CDTF">2026-08-01T18:57:44.589Z</dcterms:modified>
</cp:coreProperties>
</file>

<file path=docProps/custom.xml><?xml version="1.0" encoding="utf-8"?>
<Properties xmlns="http://schemas.openxmlformats.org/officeDocument/2006/custom-properties" xmlns:vt="http://schemas.openxmlformats.org/officeDocument/2006/docPropsVTypes"/>
</file>