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bidi/>
        <w:spacing w:after="120" w:line="360"/>
        <w:jc w:val="center"/>
      </w:pPr>
      <w:r>
        <w:rPr>
          <w:rFonts w:ascii="David" w:cs="David" w:eastAsia="David" w:hAnsi="David" w:hint="cs"/>
          <w:sz w:val="24"/>
          <w:szCs w:val="24"/>
          <w:rtl/>
        </w:rPr>
        <w:t xml:space="preserve">הפקולטה למדעי הרוח והחברה</w:t>
      </w:r>
    </w:p>
    <w:p>
      <w:pPr>
        <w:bidi/>
        <w:spacing w:after="600" w:line="360"/>
        <w:jc w:val="center"/>
      </w:pPr>
      <w:r>
        <w:rPr>
          <w:rFonts w:ascii="David" w:cs="David" w:eastAsia="David" w:hAnsi="David" w:hint="cs"/>
          <w:sz w:val="24"/>
          <w:szCs w:val="24"/>
          <w:rtl/>
        </w:rPr>
        <w:t xml:space="preserve">התוכנית לתואר שני בחינוך</w:t>
      </w:r>
    </w:p>
    <w:p>
      <w:pPr>
        <w:bidi/>
        <w:spacing w:after="120" w:line="360"/>
        <w:jc w:val="center"/>
      </w:pPr>
      <w:r>
        <w:rPr>
          <w:rFonts w:ascii="David" w:cs="David" w:eastAsia="David" w:hAnsi="David" w:hint="cs"/>
          <w:b/>
          <w:bCs/>
          <w:sz w:val="28"/>
          <w:szCs w:val="28"/>
          <w:rtl/>
        </w:rPr>
        <w:t xml:space="preserve">היבטים פסיכולוגיים בחינוך ובחברה</w:t>
      </w:r>
    </w:p>
    <w:p>
      <w:pPr>
        <w:bidi/>
        <w:spacing w:after="120" w:line="360"/>
        <w:jc w:val="center"/>
      </w:pPr>
      <w:r>
        <w:rPr>
          <w:rFonts w:ascii="David" w:cs="David" w:eastAsia="David" w:hAnsi="David" w:hint="cs"/>
          <w:sz w:val="24"/>
          <w:szCs w:val="24"/>
          <w:highlight w:val="yellow"/>
          <w:highlightCs w:val="yellow"/>
          <w:rtl/>
        </w:rPr>
        <w:t xml:space="preserve">[מספר הקורס]</w:t>
      </w:r>
    </w:p>
    <w:p>
      <w:pPr>
        <w:bidi/>
        <w:spacing w:after="800" w:line="360"/>
        <w:jc w:val="center"/>
      </w:pPr>
      <w:r>
        <w:rPr>
          <w:rFonts w:ascii="David" w:cs="David" w:eastAsia="David" w:hAnsi="David" w:hint="cs"/>
          <w:sz w:val="24"/>
          <w:szCs w:val="24"/>
          <w:rtl/>
        </w:rPr>
        <w:t xml:space="preserve">מרצה: </w:t>
      </w:r>
      <w:r>
        <w:rPr>
          <w:rFonts w:ascii="David" w:cs="David" w:eastAsia="David" w:hAnsi="David" w:hint="cs"/>
          <w:sz w:val="24"/>
          <w:szCs w:val="24"/>
          <w:highlight w:val="yellow"/>
          <w:highlightCs w:val="yellow"/>
          <w:rtl/>
        </w:rPr>
        <w:t xml:space="preserve">[שם המרצה]</w:t>
      </w:r>
    </w:p>
    <w:p>
      <w:pPr>
        <w:bidi/>
        <w:spacing w:after="120" w:line="360"/>
        <w:jc w:val="center"/>
      </w:pPr>
      <w:r>
        <w:rPr>
          <w:rFonts w:ascii="David" w:cs="David" w:eastAsia="David" w:hAnsi="David" w:hint="cs"/>
          <w:b/>
          <w:bCs/>
          <w:sz w:val="32"/>
          <w:szCs w:val="32"/>
          <w:rtl/>
        </w:rPr>
        <w:t xml:space="preserve">מטלת אמצע</w:t>
      </w:r>
    </w:p>
    <w:p>
      <w:pPr>
        <w:bidi/>
        <w:spacing w:after="0" w:line="360"/>
        <w:jc w:val="center"/>
      </w:pPr>
      <w:r>
        <w:rPr>
          <w:rFonts w:ascii="David" w:cs="David" w:eastAsia="David" w:hAnsi="David" w:hint="cs"/>
          <w:sz w:val="28"/>
          <w:szCs w:val="28"/>
          <w:rtl/>
        </w:rPr>
        <w:t xml:space="preserve">הבית שאי אפשר לחזור אליו:</w:t>
      </w:r>
    </w:p>
    <w:p>
      <w:pPr>
        <w:bidi/>
        <w:spacing w:after="1000" w:line="360"/>
        <w:jc w:val="center"/>
      </w:pPr>
      <w:r>
        <w:rPr>
          <w:rFonts w:ascii="David" w:cs="David" w:eastAsia="David" w:hAnsi="David" w:hint="cs"/>
          <w:sz w:val="28"/>
          <w:szCs w:val="28"/>
          <w:rtl/>
        </w:rPr>
        <w:t xml:space="preserve">טראומה, אובדן והכרה חברתית בקרב תושבי ניר עוז</w:t>
      </w:r>
    </w:p>
    <w:p>
      <w:pPr>
        <w:bidi/>
        <w:spacing w:after="120" w:line="360"/>
        <w:jc w:val="center"/>
      </w:pPr>
      <w:r>
        <w:rPr>
          <w:rFonts w:ascii="David" w:cs="David" w:eastAsia="David" w:hAnsi="David" w:hint="cs"/>
          <w:sz w:val="24"/>
          <w:szCs w:val="24"/>
          <w:rtl/>
        </w:rPr>
        <w:t xml:space="preserve">מגישה:</w:t>
      </w:r>
    </w:p>
    <w:p>
      <w:pPr>
        <w:bidi/>
        <w:spacing w:after="600" w:line="360"/>
        <w:jc w:val="center"/>
      </w:pPr>
      <w:r>
        <w:rPr>
          <w:rFonts w:ascii="David" w:cs="David" w:eastAsia="David" w:hAnsi="David" w:hint="cs"/>
          <w:sz w:val="24"/>
          <w:szCs w:val="24"/>
          <w:rtl/>
        </w:rPr>
        <w:t xml:space="preserve">יסמין טהא</w:t>
      </w:r>
    </w:p>
    <w:p>
      <w:pPr>
        <w:bidi/>
        <w:spacing w:after="120" w:line="360"/>
        <w:jc w:val="center"/>
      </w:pPr>
      <w:r>
        <w:rPr>
          <w:rFonts w:ascii="David" w:cs="David" w:eastAsia="David" w:hAnsi="David" w:hint="cs"/>
          <w:sz w:val="24"/>
          <w:szCs w:val="24"/>
          <w:rtl/>
        </w:rPr>
        <w:t xml:space="preserve">כ"ו בתשרי תשפ"ז | 7 באוקטובר 2026</w:t>
      </w:r>
    </w:p>
    <w:p>
      <w:r>
        <w:br w:type="page"/>
      </w:r>
    </w:p>
    <w:p>
      <w:pPr>
        <w:pStyle w:val="Heading1"/>
        <w:bidi/>
        <w:spacing w:after="120" w:before="240" w:line="360"/>
        <w:jc w:val="right"/>
      </w:pPr>
      <w:r>
        <w:rPr>
          <w:rFonts w:ascii="David" w:cs="David" w:eastAsia="David" w:hAnsi="David" w:hint="cs"/>
          <w:b/>
          <w:bCs/>
          <w:sz w:val="28"/>
          <w:szCs w:val="28"/>
          <w:rtl/>
        </w:rPr>
        <w:t xml:space="preserve">א. תיאור המקרה</w:t>
      </w:r>
    </w:p>
    <w:p>
      <w:pPr>
        <w:bidi/>
        <w:spacing w:after="120" w:line="360"/>
        <w:ind w:firstLine="0"/>
        <w:jc w:val="both"/>
      </w:pPr>
      <w:r>
        <w:rPr>
          <w:rFonts w:ascii="David" w:cs="David" w:eastAsia="David" w:hAnsi="David" w:hint="cs"/>
          <w:sz w:val="24"/>
          <w:szCs w:val="24"/>
          <w:rtl/>
        </w:rPr>
        <w:t xml:space="preserve">כמעט שנתיים וחצי אחרי טבח 7 באוקטובר, חלק מתושבי קיבוץ ניר עוז עדיין אינם מסוגלים לחזור לבתיהם. במרץ 2026 הגיעו כמה מהם לדיון בוועדת הנגב והגליל בכנסת כדי לדרוש פתרון מסודר (גרין שאולוב, 2026). בין הדוברים היו חבר קיבוץ ששרד את הטבח עם אשתו וילדיו, אם שבנה נפל בקרב על הקיבוץ וגופתו נחטפה לרצועה, ושורדת שבי ששוחררה עם שתי בנותיה אחרי 52 ימים ובעלה נרצח. כבר בנובמבר 2024 הובטחה להם ועדת חריגים שתטפל במי שאינם יכולים לחזור, אך הוועדה לא הוקמה.</w:t>
      </w:r>
    </w:p>
    <w:p>
      <w:pPr>
        <w:bidi/>
        <w:spacing w:after="120" w:line="360"/>
        <w:ind w:firstLine="0"/>
        <w:jc w:val="both"/>
      </w:pPr>
      <w:r>
        <w:rPr>
          <w:rFonts w:ascii="David" w:cs="David" w:eastAsia="David" w:hAnsi="David" w:hint="cs"/>
          <w:sz w:val="24"/>
          <w:szCs w:val="24"/>
          <w:rtl/>
        </w:rPr>
        <w:t xml:space="preserve">המקרה משמעותי משום שהאובדן בו כפול. התושבים איבדו בני משפחה, בית, קהילה וביטחון כלכלי, ובנוסף הם חווים שהמדינה אינה רואה אותם. הכתבה: https://www.ynet.co.il/news/article/skwewngibl</w:t>
      </w:r>
    </w:p>
    <w:p>
      <w:pPr>
        <w:pStyle w:val="Heading1"/>
        <w:bidi/>
        <w:spacing w:after="120" w:before="240" w:line="360"/>
        <w:jc w:val="right"/>
      </w:pPr>
      <w:r>
        <w:rPr>
          <w:rFonts w:ascii="David" w:cs="David" w:eastAsia="David" w:hAnsi="David" w:hint="cs"/>
          <w:b/>
          <w:bCs/>
          <w:sz w:val="28"/>
          <w:szCs w:val="28"/>
          <w:rtl/>
        </w:rPr>
        <w:t xml:space="preserve">ב. ניתוח המקרה</w:t>
      </w:r>
    </w:p>
    <w:p>
      <w:pPr>
        <w:pStyle w:val="Heading2"/>
        <w:bidi/>
        <w:spacing w:after="120" w:before="240" w:line="360"/>
        <w:jc w:val="right"/>
      </w:pPr>
      <w:r>
        <w:rPr>
          <w:rFonts w:ascii="David" w:cs="David" w:eastAsia="David" w:hAnsi="David" w:hint="cs"/>
          <w:b/>
          <w:bCs/>
          <w:sz w:val="24"/>
          <w:szCs w:val="24"/>
          <w:rtl/>
        </w:rPr>
        <w:t xml:space="preserve">1. הרמן: טראומה כתופעה חברתית</w:t>
      </w:r>
    </w:p>
    <w:p>
      <w:pPr>
        <w:bidi/>
        <w:spacing w:after="120" w:line="360"/>
        <w:ind w:firstLine="0"/>
        <w:jc w:val="both"/>
      </w:pPr>
      <w:r>
        <w:rPr>
          <w:rFonts w:ascii="David" w:cs="David" w:eastAsia="David" w:hAnsi="David" w:hint="cs"/>
          <w:sz w:val="24"/>
          <w:szCs w:val="24"/>
          <w:rtl/>
        </w:rPr>
        <w:t xml:space="preserve">הרמן (1992/2001) רואה בטראומה תופעה חברתית ולא רק חוויה פרטית. האירוע מנפץ את תחושת הביטחון, האמון והאוטונומיה, וכשהסביבה אינה מכירה בפגיעה נוצרת פגיעה נוספת, שנלווים אליה בדידות ותחושת נטישה. ההחלמה מתחילה ביצירת ביטחון ושליטה, ועוברת בזכירה ואבלות ובקשר מחודש עם אחרים (הרמן, 1992/2001). בעבודתה המאוחרת הוסיפה הרמן את הצדק, שעניינו תיקון הנזק ולא ענישה (Herman, 2023).</w:t>
      </w:r>
    </w:p>
    <w:p>
      <w:pPr>
        <w:bidi/>
        <w:spacing w:after="120" w:line="360"/>
        <w:ind w:firstLine="0"/>
        <w:jc w:val="both"/>
      </w:pPr>
      <w:r>
        <w:rPr>
          <w:rFonts w:ascii="David" w:cs="David" w:eastAsia="David" w:hAnsi="David" w:hint="cs"/>
          <w:sz w:val="24"/>
          <w:szCs w:val="24"/>
          <w:rtl/>
        </w:rPr>
        <w:t xml:space="preserve">דברי התושבים מתארים כמעט אחד לאחד את מה שהרמן מכנה טראומה משנית. האם השכולה אמרה ש"אף אחד לא שאל אותנו עם מה אנחנו מתמודדים" (גרין שאולוב, 2026, פס' 4), וחבר הקיבוץ השווה בין ה"יחס האישי" שקיבל מחמאס ובין היחס שהוא מצפה לו מהממשלה (גרין שאולוב, 2026, פס' 1). במונחי המודל, התושבים תקועים בשלב הראשון: בלי בית ובלי ביטחון כלכלי אין בסיס בטוח שממנו אפשר להתחיל לעבד. הדרישה שלהם "לייצג את עצמנו" (גרין שאולוב, 2026, פס' 3) היא ניסיון להחזיר לעצמם שליטה, והדרישה לפתרון בדומה למפוני גוש קטיף היא בקשה לצדק במובן של תיקון.</w:t>
      </w:r>
    </w:p>
    <w:p>
      <w:pPr>
        <w:bidi/>
        <w:spacing w:after="120" w:line="360"/>
        <w:ind w:firstLine="0"/>
        <w:jc w:val="both"/>
      </w:pPr>
      <w:r>
        <w:rPr>
          <w:rFonts w:ascii="David" w:cs="David" w:eastAsia="David" w:hAnsi="David" w:hint="cs"/>
          <w:sz w:val="24"/>
          <w:szCs w:val="24"/>
          <w:rtl/>
        </w:rPr>
        <w:t xml:space="preserve">גם השלבים המאוחרים במודל ניכרים בכתבה, אם כי באופן חלקי. ההגעה המשותפת לכנסת, לצד חברי כנסת שהתגייסו למאבק, היא צורה של קשר מחודש עם אחרים. התושבים אינם דורשים להעניש איש. הם מבקשים מנגנון שיטפל בכל מקרה לגופו, וזו ההגדרה של צדק כתיקון. אחד מחברי הכנסת בדיון תיאר את יחס המדינה כ"הפקרה ושכחה" (גרין שאולוב, 2026, פס' 6). כלומר, גם בעיני מי שנמצא מחוץ לקהילה, ההכרה שהרמן רואה בה תנאי להחלמה עדיין חסרה.</w:t>
      </w:r>
    </w:p>
    <w:p>
      <w:pPr>
        <w:pStyle w:val="Heading2"/>
        <w:bidi/>
        <w:spacing w:after="120" w:before="240" w:line="360"/>
        <w:jc w:val="right"/>
      </w:pPr>
      <w:r>
        <w:rPr>
          <w:rFonts w:ascii="David" w:cs="David" w:eastAsia="David" w:hAnsi="David" w:hint="cs"/>
          <w:b/>
          <w:bCs/>
          <w:sz w:val="24"/>
          <w:szCs w:val="24"/>
          <w:rtl/>
        </w:rPr>
        <w:t xml:space="preserve">2. ואן דר קולק: הטראומה היא התגובה, לא האירוע</w:t>
      </w:r>
    </w:p>
    <w:p>
      <w:pPr>
        <w:bidi/>
        <w:spacing w:after="120" w:line="360"/>
        <w:ind w:firstLine="0"/>
        <w:jc w:val="both"/>
      </w:pPr>
      <w:r>
        <w:rPr>
          <w:rFonts w:ascii="David" w:cs="David" w:eastAsia="David" w:hAnsi="David" w:hint="cs"/>
          <w:sz w:val="24"/>
          <w:szCs w:val="24"/>
          <w:rtl/>
        </w:rPr>
        <w:t xml:space="preserve">לפי ואן דר קולק (2014/2021), הטראומה אינה האירוע עצמו אלא האופן שבו האדם חווה אותו ומפרש אותו. הפרשנות מושפעת מהאישיות, מניסיון קודם ומיסודות הביטחון, והגוף ממשיך לאותת על סכנה גם אחרי שהאירוע הסתיים. אחד הביטויים של פוסט טראומה הוא הימנעות (ואן דר קולק, 2014/2021).</w:t>
      </w:r>
    </w:p>
    <w:p>
      <w:pPr>
        <w:bidi/>
        <w:spacing w:after="120" w:line="360"/>
        <w:ind w:firstLine="0"/>
        <w:jc w:val="both"/>
      </w:pPr>
      <w:r>
        <w:rPr>
          <w:rFonts w:ascii="David" w:cs="David" w:eastAsia="David" w:hAnsi="David" w:hint="cs"/>
          <w:sz w:val="24"/>
          <w:szCs w:val="24"/>
          <w:rtl/>
        </w:rPr>
        <w:t xml:space="preserve">ההבדל בין תושבים שחזרו לקיבוץ ובין אלה שאינם מסוגלים לחזור ממחיש את הטענה. זה אותו קיבוץ ואותו אירוע, אבל "אני לא מסוגל לחזור אחרי מה שעברתי" (גרין שאולוב, 2026, פס' 1) מתאר תגובה אישית, לא החלטה רציונלית. גם שורדת השבי אינה אומרת שהקיבוץ מסוכן. היא אומרת "אני לא יכולה לחזור לשם לבד" (גרין שאולוב, 2026, פס' 5). ההימנעות מהמקום עצמו היא הדרך שבה הגוף שומר על האדם.</w:t>
      </w:r>
    </w:p>
    <w:p>
      <w:pPr>
        <w:bidi/>
        <w:spacing w:after="120" w:line="360"/>
        <w:ind w:firstLine="0"/>
        <w:jc w:val="both"/>
      </w:pPr>
      <w:r>
        <w:rPr>
          <w:rFonts w:ascii="David" w:cs="David" w:eastAsia="David" w:hAnsi="David" w:hint="cs"/>
          <w:sz w:val="24"/>
          <w:szCs w:val="24"/>
          <w:rtl/>
        </w:rPr>
        <w:t xml:space="preserve">ואן דר קולק מדגיש גם את מה שהאדם מביא איתו לאירוע. בכתבה מוזכרים תושבים בגיל מתקדם או במצב בריאותי שאינו מאפשר להם לחזור, וכאלה שנסיבות המשפחה שלהם השתנו (גרין שאולוב, 2026, פס' 2). לפי הגישה שלו, אצל אנשים שיסודות הביטחון שלהם נפגעו, חזרה למקום שהגוף מזהה כמסוכן אינה ריפוי. הריפוי מתחיל בהחזרת המגע עם הגוף ותחושת השליטה בו, באמצעות יוגה, מיינדפולנס או EMDR, ורק אחר כך אפשר לבחון אם חזרה אפשרית בכלל (ואן דר קולק, 2014/2021).</w:t>
      </w:r>
    </w:p>
    <w:p>
      <w:pPr>
        <w:pStyle w:val="Heading2"/>
        <w:bidi/>
        <w:spacing w:after="120" w:before="240" w:line="360"/>
        <w:jc w:val="right"/>
      </w:pPr>
      <w:r>
        <w:rPr>
          <w:rFonts w:ascii="David" w:cs="David" w:eastAsia="David" w:hAnsi="David" w:hint="cs"/>
          <w:b/>
          <w:bCs/>
          <w:sz w:val="24"/>
          <w:szCs w:val="24"/>
          <w:rtl/>
        </w:rPr>
        <w:t xml:space="preserve">3. קובלר-רוס: אבל על בית ועל עתיד</w:t>
      </w:r>
    </w:p>
    <w:p>
      <w:pPr>
        <w:bidi/>
        <w:spacing w:after="120" w:line="360"/>
        <w:ind w:firstLine="0"/>
        <w:jc w:val="both"/>
      </w:pPr>
      <w:r>
        <w:rPr>
          <w:rFonts w:ascii="David" w:cs="David" w:eastAsia="David" w:hAnsi="David" w:hint="cs"/>
          <w:sz w:val="24"/>
          <w:szCs w:val="24"/>
          <w:rtl/>
        </w:rPr>
        <w:t xml:space="preserve">קובלר-רוס (2002) תיארה חמישה שלבים בהתמודדות עם אובדן: הכחשה, כעס, מיקוח, דיכאון והשלמה. הסדר והעוצמה משתנים מאדם לאדם, ואובדן יכול להיות גם של בית, שגרה או תחושת ביטחון.</w:t>
      </w:r>
    </w:p>
    <w:p>
      <w:pPr>
        <w:bidi/>
        <w:spacing w:after="120" w:line="360"/>
        <w:ind w:firstLine="0"/>
        <w:jc w:val="both"/>
      </w:pPr>
      <w:r>
        <w:rPr>
          <w:rFonts w:ascii="David" w:cs="David" w:eastAsia="David" w:hAnsi="David" w:hint="cs"/>
          <w:sz w:val="24"/>
          <w:szCs w:val="24"/>
          <w:rtl/>
        </w:rPr>
        <w:t xml:space="preserve">בכתבה בולט הכעס, והוא מופנה כלפי המדינה: "מינהלת התקומה מתעסקת בבטון ולא בשיקום התושבים" (גרין שאולוב, 2026, פס' 3). האובדן גם אינו רק של העבר. האם מתארת ילדים שהם דור שלישי בקיבוץ, שבתיהם נהרסו ובמקומם נבנים בתים שהם לא יגורו בהם. השאלה של שורדת השבי, "איך אני בונה בית מחדש?" (גרין שאולוב, 2026, פס' 5), כבר מביטה קדימה ונוגעת בהשלמה, אבל בלי תשובה מעשית קשה להגיע אליה.</w:t>
      </w:r>
    </w:p>
    <w:p>
      <w:pPr>
        <w:bidi/>
        <w:spacing w:after="120" w:line="360"/>
        <w:ind w:firstLine="0"/>
        <w:jc w:val="both"/>
      </w:pPr>
      <w:r>
        <w:rPr>
          <w:rFonts w:ascii="David" w:cs="David" w:eastAsia="David" w:hAnsi="David" w:hint="cs"/>
          <w:sz w:val="24"/>
          <w:szCs w:val="24"/>
          <w:rtl/>
        </w:rPr>
        <w:t xml:space="preserve">גם הדיכאון, השלב הרביעי, נשמע בכתבה, במשפט הקצר "אני לבד" (גרין שאולוב, 2026, פס' 5). לקהילה תפקיד מרכזי בהתמודדות: לתת זמן, להכיל ולהקשיב שוב ושוב לאותו סיפור בלי לשפוט, והמשפט "אף אחד לא שאל אותנו" מתאר בדיוק את היעדר ההקשבה הזו. הופמן (Hoffman, 1989), שהיגרה מפולין לקנדה ואיבדה את נופי ילדותה, מתארת הסתגלות הדרגתית שמתאפשרת רק כשנבנית קהילה חדשה. מי שאינו חוזר לניר עוז צריך לבנות קהילה כזו במקום אחר, וכרגע אין לו כלים לעשות זאת.</w:t>
      </w:r>
    </w:p>
    <w:p>
      <w:pPr>
        <w:pStyle w:val="Heading2"/>
        <w:bidi/>
        <w:spacing w:after="120" w:before="240" w:line="360"/>
        <w:jc w:val="right"/>
      </w:pPr>
      <w:r>
        <w:rPr>
          <w:rFonts w:ascii="David" w:cs="David" w:eastAsia="David" w:hAnsi="David" w:hint="cs"/>
          <w:b/>
          <w:bCs/>
          <w:sz w:val="24"/>
          <w:szCs w:val="24"/>
          <w:rtl/>
        </w:rPr>
        <w:t xml:space="preserve">ההקשר התרבותי והחברתי</w:t>
      </w:r>
    </w:p>
    <w:p>
      <w:pPr>
        <w:bidi/>
        <w:spacing w:after="120" w:line="360"/>
        <w:ind w:firstLine="0"/>
        <w:jc w:val="both"/>
      </w:pPr>
      <w:r>
        <w:rPr>
          <w:rFonts w:ascii="David" w:cs="David" w:eastAsia="David" w:hAnsi="David" w:hint="cs"/>
          <w:sz w:val="24"/>
          <w:szCs w:val="24"/>
          <w:rtl/>
        </w:rPr>
        <w:t xml:space="preserve">הקיבוץ הוא לא רק מקום מגורים אלא זהות קהילתית, ופגיעה בו היא אובדן של עולם ההנחות: ההנחה שאנחנו, כאנשים וכחברה, מוגנים (Janoff-Bulman, 1992). טראומה קולקטיבית נצרבת בזיכרון הקבוצה (Saul, 2014), וכמעט תמיד הופכת לבין-דורית (Hirschberger, 2018). הנרטיב הציבורי של "חוזרים ובונים" מקשה במיוחד על מי שאינו מסוגל לחזור, וזו אולי הסיבה שחלק מהתושבים דורשים לדבר בשם עצמם ולא דרך הקיבוץ או המועצה.</w:t>
      </w:r>
    </w:p>
    <w:p>
      <w:pPr>
        <w:bidi/>
        <w:spacing w:after="120" w:line="360"/>
        <w:ind w:firstLine="0"/>
        <w:jc w:val="both"/>
      </w:pPr>
      <w:r>
        <w:rPr>
          <w:rFonts w:ascii="David" w:cs="David" w:eastAsia="David" w:hAnsi="David" w:hint="cs"/>
          <w:sz w:val="24"/>
          <w:szCs w:val="24"/>
          <w:rtl/>
        </w:rPr>
        <w:t xml:space="preserve">בחברה הישראלית טראומות עבר מתעוררות מחדש באירועים עכשוויים. טריגרים עכשוויים מחיים את זיכרון הטראומה הקולקטיבית (Hirschberger, 2018), ואירועי 7 באוקטובר החיו אצל רבים את זיכרון השואה, ובכתבה עצמה ההשוואה שהתושבים עושים היא למפוני גוש קטיף. ההשוואה מלמדת שהם מחפשים מקום בתוך סיפור ישראלי מוכר של עקירה, סיפור שבו המדינה לקחה אחריות. לפי סול (Saul, 2014), ריפוי קולקטיבי דורש הכרה בטראומה של כל קבוצה. לפי הובל (Hübl, 2020), יוזמות שצומחות מתוך הקהילה עצמה מחזקות סולידריות ולכידות. הדרישה של התושבים לייצג את עצמם היא יוזמה כזו, והמדינה, בינתיים, אינה נענית לה.</w:t>
      </w:r>
    </w:p>
    <w:p>
      <w:pPr>
        <w:pStyle w:val="Heading2"/>
        <w:bidi/>
        <w:spacing w:after="120" w:before="240" w:line="360"/>
        <w:jc w:val="right"/>
      </w:pPr>
      <w:r>
        <w:rPr>
          <w:rFonts w:ascii="David" w:cs="David" w:eastAsia="David" w:hAnsi="David" w:hint="cs"/>
          <w:b/>
          <w:bCs/>
          <w:sz w:val="24"/>
          <w:szCs w:val="24"/>
          <w:rtl/>
        </w:rPr>
        <w:t xml:space="preserve">מה התאוריות מסבירות היטב, ומה פחות</w:t>
      </w:r>
    </w:p>
    <w:p>
      <w:pPr>
        <w:bidi/>
        <w:spacing w:after="120" w:line="360"/>
        <w:ind w:firstLine="0"/>
        <w:jc w:val="both"/>
      </w:pPr>
      <w:r>
        <w:rPr>
          <w:rFonts w:ascii="David" w:cs="David" w:eastAsia="David" w:hAnsi="David" w:hint="cs"/>
          <w:sz w:val="24"/>
          <w:szCs w:val="24"/>
          <w:rtl/>
        </w:rPr>
        <w:t xml:space="preserve">הרמן (1992/2001) מסבירה היטב את הממד החברתי, ובמיוחד את הנזק שבהיעדר הכרה. עם זאת, המודל שלה מניח שאפשר לבסס קודם כול ביטחון, וכאן הביטחון הכלכלי תלוי בהחלטה של המדינה ולא בתהליך הטיפולי. ואן דר קולק (2014/2021) מסביר את ההימנעות, אבל הכתבה אינה מתארת תסמינים גופניים, ולכן החלק הזה נשאר השערה. שלבי האבל של קובלר-רוס (2002) נקראים בקלות כרצף ליניארי, ואילו כאן האובדן עדיין נמשך, והכעס מתחדש בכל פעם שהבטחה אינה מתקיימת.</w:t>
      </w:r>
    </w:p>
    <w:p>
      <w:pPr>
        <w:pStyle w:val="Heading2"/>
        <w:bidi/>
        <w:spacing w:after="120" w:before="240" w:line="360"/>
        <w:jc w:val="right"/>
      </w:pPr>
      <w:r>
        <w:rPr>
          <w:rFonts w:ascii="David" w:cs="David" w:eastAsia="David" w:hAnsi="David" w:hint="cs"/>
          <w:b/>
          <w:bCs/>
          <w:sz w:val="24"/>
          <w:szCs w:val="24"/>
          <w:rtl/>
        </w:rPr>
        <w:t xml:space="preserve">סיכום והמלצות</w:t>
      </w:r>
    </w:p>
    <w:p>
      <w:pPr>
        <w:bidi/>
        <w:spacing w:after="120" w:line="360"/>
        <w:ind w:firstLine="0"/>
        <w:jc w:val="both"/>
      </w:pPr>
      <w:r>
        <w:rPr>
          <w:rFonts w:ascii="David" w:cs="David" w:eastAsia="David" w:hAnsi="David" w:hint="cs"/>
          <w:sz w:val="24"/>
          <w:szCs w:val="24"/>
          <w:rtl/>
        </w:rPr>
        <w:t xml:space="preserve">שלוש התאוריות מצביעות על אותה נקודה מכיוונים שונים: האובדן של תושבי ניר עוז שאינם חוזרים הוא אישי, גופני וחברתי בו-זמנית, והמכשול העיקרי להחלמה שלהם כרגע הוא היעדר הכרה. מכאן כמה המלצות מעשיות. ראשית, להקים את ועדת החריגים שהובטחה ב-2024 ולשלב בה נציגים של התושבים עצמם, כדי להחזיר להם שליטה. שנית, להציע מענה טיפולי רגשי וגופני שאינו מותנה בחזרה לקיבוץ. ולבסוף, במערכת החינוך: ילדים ממשפחות שאינן חוזרות צריכים לשמוע שגם הבחירה שלהם לגיטימית. צוותי חינוך שמכירים את תגובות הטראומה יכולים לקדם דיאלוג, כבוד הדדי ואמפתיה, ולחזק את החוסן של הקהילה כולה (Saul, 2014).</w:t>
      </w:r>
    </w:p>
    <w:p>
      <w:r>
        <w:br w:type="page"/>
      </w:r>
    </w:p>
    <w:p>
      <w:pPr>
        <w:bidi/>
        <w:spacing w:after="240"/>
        <w:jc w:val="center"/>
      </w:pPr>
      <w:r>
        <w:rPr>
          <w:rFonts w:ascii="David" w:cs="David" w:eastAsia="David" w:hAnsi="David" w:hint="cs"/>
          <w:b/>
          <w:bCs/>
          <w:sz w:val="28"/>
          <w:szCs w:val="28"/>
          <w:rtl/>
        </w:rPr>
        <w:t xml:space="preserve">רשימת מקורות</w:t>
      </w:r>
    </w:p>
    <w:p>
      <w:pPr>
        <w:bidi/>
        <w:spacing w:after="0" w:line="480"/>
        <w:ind w:start="709" w:hanging="709"/>
        <w:jc w:val="right"/>
      </w:pPr>
      <w:r>
        <w:rPr>
          <w:rFonts w:ascii="David" w:cs="David" w:eastAsia="David" w:hAnsi="David" w:hint="cs"/>
          <w:sz w:val="24"/>
          <w:szCs w:val="24"/>
          <w:rtl/>
        </w:rPr>
        <w:t xml:space="preserve">גרין שאולוב, ר' (2026, 24 במרץ). שנתיים וחצי אחרי הטבח: התושבים שמתקשים לשוב לניר עוז נותרו בלי פתרון. </w:t>
      </w:r>
      <w:r>
        <w:rPr>
          <w:rFonts w:ascii="David" w:cs="David" w:eastAsia="David" w:hAnsi="David" w:hint="cs"/>
          <w:i/>
          <w:iCs/>
          <w:sz w:val="24"/>
          <w:szCs w:val="24"/>
          <w:rtl/>
        </w:rPr>
        <w:t xml:space="preserve">ynet</w:t>
      </w:r>
      <w:r>
        <w:rPr>
          <w:rFonts w:ascii="David" w:cs="David" w:eastAsia="David" w:hAnsi="David" w:hint="cs"/>
          <w:sz w:val="24"/>
          <w:szCs w:val="24"/>
          <w:rtl/>
        </w:rPr>
        <w:t xml:space="preserve">. https://www.ynet.co.il/news/article/skwewngibl</w:t>
      </w:r>
    </w:p>
    <w:p>
      <w:pPr>
        <w:bidi/>
        <w:spacing w:after="0" w:line="480"/>
        <w:ind w:start="709" w:hanging="709"/>
        <w:jc w:val="right"/>
      </w:pPr>
      <w:r>
        <w:rPr>
          <w:rFonts w:ascii="David" w:cs="David" w:eastAsia="David" w:hAnsi="David" w:hint="cs"/>
          <w:sz w:val="24"/>
          <w:szCs w:val="24"/>
          <w:rtl/>
        </w:rPr>
        <w:t xml:space="preserve">הרמן, ג' ל' (2001). </w:t>
      </w:r>
      <w:r>
        <w:rPr>
          <w:rFonts w:ascii="David" w:cs="David" w:eastAsia="David" w:hAnsi="David" w:hint="cs"/>
          <w:i/>
          <w:iCs/>
          <w:sz w:val="24"/>
          <w:szCs w:val="24"/>
          <w:rtl/>
        </w:rPr>
        <w:t xml:space="preserve">טראומה והחלמה</w:t>
      </w:r>
      <w:r>
        <w:rPr>
          <w:rFonts w:ascii="David" w:cs="David" w:eastAsia="David" w:hAnsi="David" w:hint="cs"/>
          <w:sz w:val="24"/>
          <w:szCs w:val="24"/>
          <w:rtl/>
        </w:rPr>
        <w:t xml:space="preserve">. עם עובד. (פורסם במקור בשנת 1992)</w:t>
      </w:r>
    </w:p>
    <w:p>
      <w:pPr>
        <w:bidi/>
        <w:spacing w:after="0" w:line="480"/>
        <w:ind w:start="709" w:hanging="709"/>
        <w:jc w:val="right"/>
      </w:pPr>
      <w:r>
        <w:rPr>
          <w:rFonts w:ascii="David" w:cs="David" w:eastAsia="David" w:hAnsi="David" w:hint="cs"/>
          <w:sz w:val="24"/>
          <w:szCs w:val="24"/>
          <w:rtl/>
        </w:rPr>
        <w:t xml:space="preserve">ואן דר קולק, ב' (2021). </w:t>
      </w:r>
      <w:r>
        <w:rPr>
          <w:rFonts w:ascii="David" w:cs="David" w:eastAsia="David" w:hAnsi="David" w:hint="cs"/>
          <w:i/>
          <w:iCs/>
          <w:sz w:val="24"/>
          <w:szCs w:val="24"/>
          <w:rtl/>
        </w:rPr>
        <w:t xml:space="preserve">נרשם בגוף: מוח, נפש וגוף בריפוי מטראומה</w:t>
      </w:r>
      <w:r>
        <w:rPr>
          <w:rFonts w:ascii="David" w:cs="David" w:eastAsia="David" w:hAnsi="David" w:hint="cs"/>
          <w:sz w:val="24"/>
          <w:szCs w:val="24"/>
          <w:rtl/>
        </w:rPr>
        <w:t xml:space="preserve"> (א' רילוב, מתרגמת). פרדס. (פורסם במקור בשנת 2014)</w:t>
      </w:r>
    </w:p>
    <w:p>
      <w:pPr>
        <w:bidi/>
        <w:spacing w:after="0" w:line="480"/>
        <w:ind w:start="709" w:hanging="709"/>
        <w:jc w:val="right"/>
      </w:pPr>
      <w:r>
        <w:rPr>
          <w:rFonts w:ascii="David" w:cs="David" w:eastAsia="David" w:hAnsi="David" w:hint="cs"/>
          <w:sz w:val="24"/>
          <w:szCs w:val="24"/>
          <w:rtl/>
        </w:rPr>
        <w:t xml:space="preserve">קובלר-רוס, א' (2002). </w:t>
      </w:r>
      <w:r>
        <w:rPr>
          <w:rFonts w:ascii="David" w:cs="David" w:eastAsia="David" w:hAnsi="David" w:hint="cs"/>
          <w:i/>
          <w:iCs/>
          <w:sz w:val="24"/>
          <w:szCs w:val="24"/>
          <w:rtl/>
        </w:rPr>
        <w:t xml:space="preserve">המוות חשוב לחיים</w:t>
      </w:r>
      <w:r>
        <w:rPr>
          <w:rFonts w:ascii="David" w:cs="David" w:eastAsia="David" w:hAnsi="David" w:hint="cs"/>
          <w:sz w:val="24"/>
          <w:szCs w:val="24"/>
          <w:rtl/>
        </w:rPr>
        <w:t xml:space="preserve">. כתר.</w:t>
      </w:r>
    </w:p>
    <w:p>
      <w:pPr>
        <w:spacing w:after="0" w:line="480"/>
        <w:ind w:left="709" w:hanging="709"/>
        <w:jc w:val="left"/>
      </w:pPr>
      <w:r>
        <w:rPr>
          <w:rFonts w:ascii="Times New Roman" w:cs="Times New Roman" w:eastAsia="Times New Roman" w:hAnsi="Times New Roman"/>
          <w:sz w:val="24"/>
          <w:szCs w:val="24"/>
        </w:rPr>
        <w:t xml:space="preserve">Herman, J. L. (2023). </w:t>
      </w:r>
      <w:r>
        <w:rPr>
          <w:rFonts w:ascii="Times New Roman" w:cs="Times New Roman" w:eastAsia="Times New Roman" w:hAnsi="Times New Roman"/>
          <w:i/>
          <w:iCs/>
          <w:sz w:val="24"/>
          <w:szCs w:val="24"/>
        </w:rPr>
        <w:t xml:space="preserve">Truth and repair: How trauma survivors envision justice</w:t>
      </w:r>
      <w:r>
        <w:rPr>
          <w:rFonts w:ascii="Times New Roman" w:cs="Times New Roman" w:eastAsia="Times New Roman" w:hAnsi="Times New Roman"/>
          <w:sz w:val="24"/>
          <w:szCs w:val="24"/>
        </w:rPr>
        <w:t xml:space="preserve">. Basic Books.</w:t>
      </w:r>
    </w:p>
    <w:p>
      <w:pPr>
        <w:spacing w:after="0" w:line="480"/>
        <w:ind w:left="709" w:hanging="709"/>
        <w:jc w:val="left"/>
      </w:pPr>
      <w:r>
        <w:rPr>
          <w:rFonts w:ascii="Times New Roman" w:cs="Times New Roman" w:eastAsia="Times New Roman" w:hAnsi="Times New Roman"/>
          <w:sz w:val="24"/>
          <w:szCs w:val="24"/>
        </w:rPr>
        <w:t xml:space="preserve">Hirschberger, G. (2018). Collective trauma and the social construction of meaning. </w:t>
      </w:r>
      <w:r>
        <w:rPr>
          <w:rFonts w:ascii="Times New Roman" w:cs="Times New Roman" w:eastAsia="Times New Roman" w:hAnsi="Times New Roman"/>
          <w:i/>
          <w:iCs/>
          <w:sz w:val="24"/>
          <w:szCs w:val="24"/>
        </w:rPr>
        <w:t xml:space="preserve">Frontiers in Psychology, 9</w:t>
      </w:r>
      <w:r>
        <w:rPr>
          <w:rFonts w:ascii="Times New Roman" w:cs="Times New Roman" w:eastAsia="Times New Roman" w:hAnsi="Times New Roman"/>
          <w:sz w:val="24"/>
          <w:szCs w:val="24"/>
        </w:rPr>
        <w:t xml:space="preserve">, Article 1441. https://doi.org/10.3389/fpsyg.2018.01441</w:t>
      </w:r>
    </w:p>
    <w:p>
      <w:pPr>
        <w:spacing w:after="0" w:line="480"/>
        <w:ind w:left="709" w:hanging="709"/>
        <w:jc w:val="left"/>
      </w:pPr>
      <w:r>
        <w:rPr>
          <w:rFonts w:ascii="Times New Roman" w:cs="Times New Roman" w:eastAsia="Times New Roman" w:hAnsi="Times New Roman"/>
          <w:sz w:val="24"/>
          <w:szCs w:val="24"/>
        </w:rPr>
        <w:t xml:space="preserve">Hoffman, E. (1989). </w:t>
      </w:r>
      <w:r>
        <w:rPr>
          <w:rFonts w:ascii="Times New Roman" w:cs="Times New Roman" w:eastAsia="Times New Roman" w:hAnsi="Times New Roman"/>
          <w:i/>
          <w:iCs/>
          <w:sz w:val="24"/>
          <w:szCs w:val="24"/>
        </w:rPr>
        <w:t xml:space="preserve">Lost in translation: A life in a new language</w:t>
      </w:r>
      <w:r>
        <w:rPr>
          <w:rFonts w:ascii="Times New Roman" w:cs="Times New Roman" w:eastAsia="Times New Roman" w:hAnsi="Times New Roman"/>
          <w:sz w:val="24"/>
          <w:szCs w:val="24"/>
        </w:rPr>
        <w:t xml:space="preserve">. E. P. Dutton.</w:t>
      </w:r>
    </w:p>
    <w:p>
      <w:pPr>
        <w:spacing w:after="0" w:line="480"/>
        <w:ind w:left="709" w:hanging="709"/>
        <w:jc w:val="left"/>
      </w:pPr>
      <w:r>
        <w:rPr>
          <w:rFonts w:ascii="Times New Roman" w:cs="Times New Roman" w:eastAsia="Times New Roman" w:hAnsi="Times New Roman"/>
          <w:sz w:val="24"/>
          <w:szCs w:val="24"/>
        </w:rPr>
        <w:t xml:space="preserve">Hübl, T. (2020). </w:t>
      </w:r>
      <w:r>
        <w:rPr>
          <w:rFonts w:ascii="Times New Roman" w:cs="Times New Roman" w:eastAsia="Times New Roman" w:hAnsi="Times New Roman"/>
          <w:i/>
          <w:iCs/>
          <w:sz w:val="24"/>
          <w:szCs w:val="24"/>
        </w:rPr>
        <w:t xml:space="preserve">Healing collective trauma: A process for integrating our intergenerational and cultural wounds</w:t>
      </w:r>
      <w:r>
        <w:rPr>
          <w:rFonts w:ascii="Times New Roman" w:cs="Times New Roman" w:eastAsia="Times New Roman" w:hAnsi="Times New Roman"/>
          <w:sz w:val="24"/>
          <w:szCs w:val="24"/>
        </w:rPr>
        <w:t xml:space="preserve">. Sounds True.</w:t>
      </w:r>
    </w:p>
    <w:p>
      <w:pPr>
        <w:spacing w:after="0" w:line="480"/>
        <w:ind w:left="709" w:hanging="709"/>
        <w:jc w:val="left"/>
      </w:pPr>
      <w:r>
        <w:rPr>
          <w:rFonts w:ascii="Times New Roman" w:cs="Times New Roman" w:eastAsia="Times New Roman" w:hAnsi="Times New Roman"/>
          <w:sz w:val="24"/>
          <w:szCs w:val="24"/>
        </w:rPr>
        <w:t xml:space="preserve">Janoff-Bulman, R. (1992). </w:t>
      </w:r>
      <w:r>
        <w:rPr>
          <w:rFonts w:ascii="Times New Roman" w:cs="Times New Roman" w:eastAsia="Times New Roman" w:hAnsi="Times New Roman"/>
          <w:i/>
          <w:iCs/>
          <w:sz w:val="24"/>
          <w:szCs w:val="24"/>
        </w:rPr>
        <w:t xml:space="preserve">Shattered assumptions: Towards a new psychology of trauma</w:t>
      </w:r>
      <w:r>
        <w:rPr>
          <w:rFonts w:ascii="Times New Roman" w:cs="Times New Roman" w:eastAsia="Times New Roman" w:hAnsi="Times New Roman"/>
          <w:sz w:val="24"/>
          <w:szCs w:val="24"/>
        </w:rPr>
        <w:t xml:space="preserve">. Free Press.</w:t>
      </w:r>
    </w:p>
    <w:p>
      <w:pPr>
        <w:spacing w:after="0" w:line="480"/>
        <w:ind w:left="709" w:hanging="709"/>
        <w:jc w:val="left"/>
      </w:pPr>
      <w:r>
        <w:rPr>
          <w:rFonts w:ascii="Times New Roman" w:cs="Times New Roman" w:eastAsia="Times New Roman" w:hAnsi="Times New Roman"/>
          <w:sz w:val="24"/>
          <w:szCs w:val="24"/>
        </w:rPr>
        <w:t xml:space="preserve">Saul, J. (2014). </w:t>
      </w:r>
      <w:r>
        <w:rPr>
          <w:rFonts w:ascii="Times New Roman" w:cs="Times New Roman" w:eastAsia="Times New Roman" w:hAnsi="Times New Roman"/>
          <w:i/>
          <w:iCs/>
          <w:sz w:val="24"/>
          <w:szCs w:val="24"/>
        </w:rPr>
        <w:t xml:space="preserve">Collective trauma, collective healing: Promoting community resilience in the aftermath of disaster</w:t>
      </w:r>
      <w:r>
        <w:rPr>
          <w:rFonts w:ascii="Times New Roman" w:cs="Times New Roman" w:eastAsia="Times New Roman" w:hAnsi="Times New Roman"/>
          <w:sz w:val="24"/>
          <w:szCs w:val="24"/>
        </w:rPr>
        <w:t xml:space="preserve">. Routledge.</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sz w:val="28"/>
      <w:szCs w:val="28"/>
    </w:rPr>
  </w:style>
  <w:style w:type="paragraph" w:styleId="Heading2">
    <w:name w:val="Heading 2"/>
    <w:basedOn w:val="Normal"/>
    <w:next w:val="Normal"/>
    <w:qFormat/>
    <w:pPr>
      <w:outlineLvl w:val="1"/>
    </w:pPr>
    <w:rPr>
      <w:rFonts w:ascii="David" w:cs="David" w:eastAsia="David" w:hAnsi="David"/>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75ce4fdf76b58d4cf0096412ef177958ae578a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2026-10-07T13:00:48.369Z</dcterms:created>
  <dcterms:modified xsi:type="dcterms:W3CDTF">2026-10-07T13:00:48.378Z</dcterms:modified>
</cp:coreProperties>
</file>

<file path=docProps/custom.xml><?xml version="1.0" encoding="utf-8"?>
<Properties xmlns="http://schemas.openxmlformats.org/officeDocument/2006/custom-properties" xmlns:vt="http://schemas.openxmlformats.org/officeDocument/2006/docPropsVTypes"/>
</file>