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60"/>
        <w:jc w:val="center"/>
      </w:pPr>
      <w:r>
        <w:rPr>
          <w:rFonts w:ascii="Times New Roman" w:cs="David" w:eastAsia="David" w:hAnsi="Times New Roman"/>
          <w:b/>
          <w:bCs/>
          <w:i w:val="false"/>
          <w:iCs w:val="false"/>
          <w:noProof/>
          <w:sz w:val="28"/>
          <w:szCs w:val="28"/>
          <w:rtl/>
          <w:lang w:val="en-US" w:bidi="he-IL"/>
        </w:rPr>
        <w:t xml:space="preserve">[שם המוסד האקדמי]</w:t>
      </w:r>
    </w:p>
    <w:p>
      <w:pPr>
        <w:bidi/>
        <w:spacing w:after="1800" w:line="360"/>
        <w:jc w:val="center"/>
      </w:pPr>
      <w:r>
        <w:rPr>
          <w:rFonts w:ascii="Times New Roman" w:cs="David" w:eastAsia="David" w:hAnsi="Times New Roman"/>
          <w:b w:val="false"/>
          <w:bCs w:val="false"/>
          <w:i w:val="false"/>
          <w:iCs w:val="false"/>
          <w:noProof/>
          <w:sz w:val="26"/>
          <w:szCs w:val="26"/>
          <w:rtl/>
          <w:lang w:val="en-US" w:bidi="he-IL"/>
        </w:rPr>
        <w:t xml:space="preserve">[שם החוג / התוכנית]</w:t>
      </w:r>
    </w:p>
    <w:p>
      <w:pPr>
        <w:bidi/>
        <w:spacing w:after="1200" w:line="360"/>
        <w:jc w:val="center"/>
      </w:pPr>
      <w:r>
        <w:rPr>
          <w:rFonts w:ascii="Times New Roman" w:cs="David" w:eastAsia="David" w:hAnsi="Times New Roman"/>
          <w:b/>
          <w:bCs/>
          <w:i w:val="false"/>
          <w:iCs w:val="false"/>
          <w:noProof/>
          <w:sz w:val="30"/>
          <w:szCs w:val="30"/>
          <w:rtl/>
          <w:lang w:val="en-US" w:bidi="he-IL"/>
        </w:rPr>
        <w:t xml:space="preserve">עבודה סמינריונית</w:t>
      </w:r>
    </w:p>
    <w:p>
      <w:pPr>
        <w:bidi/>
        <w:spacing w:after="240" w:line="360"/>
        <w:jc w:val="center"/>
      </w:pPr>
      <w:r>
        <w:rPr>
          <w:rFonts w:ascii="Times New Roman" w:cs="David" w:eastAsia="David" w:hAnsi="Times New Roman"/>
          <w:b/>
          <w:bCs/>
          <w:i w:val="false"/>
          <w:iCs w:val="false"/>
          <w:noProof/>
          <w:sz w:val="36"/>
          <w:szCs w:val="36"/>
          <w:rtl/>
          <w:lang w:val="en-US" w:bidi="he-IL"/>
        </w:rPr>
        <w:t xml:space="preserve">"וַחֲמוֹר אֵבוּס בְּעָלָיו לֹא יָדַע"</w:t>
      </w:r>
    </w:p>
    <w:p>
      <w:pPr>
        <w:bidi/>
        <w:spacing w:after="2000" w:line="360"/>
        <w:jc w:val="center"/>
      </w:pPr>
      <w:r>
        <w:rPr>
          <w:rFonts w:ascii="Times New Roman" w:cs="David" w:eastAsia="David" w:hAnsi="Times New Roman"/>
          <w:b/>
          <w:bCs/>
          <w:i w:val="false"/>
          <w:iCs w:val="false"/>
          <w:noProof/>
          <w:sz w:val="32"/>
          <w:szCs w:val="32"/>
          <w:rtl/>
          <w:lang w:val="en-US" w:bidi="he-IL"/>
        </w:rPr>
        <w:t xml:space="preserve">דמות החמור במשלי שועלים לרבי ברכיה הנקדן</w:t>
      </w:r>
    </w:p>
    <w:p>
      <w:pPr>
        <w:bidi/>
        <w:spacing w:after="120" w:line="360"/>
        <w:jc w:val="center"/>
      </w:pPr>
      <w:r>
        <w:rPr>
          <w:rFonts w:ascii="Times New Roman" w:cs="David" w:eastAsia="David" w:hAnsi="Times New Roman"/>
          <w:b w:val="false"/>
          <w:bCs w:val="false"/>
          <w:i w:val="false"/>
          <w:iCs w:val="false"/>
          <w:noProof/>
          <w:sz w:val="24"/>
          <w:szCs w:val="24"/>
          <w:rtl/>
          <w:lang w:val="en-US" w:bidi="he-IL"/>
        </w:rPr>
        <w:t xml:space="preserve">הקורס: [שם הקורס ומספרו]</w:t>
      </w:r>
    </w:p>
    <w:p>
      <w:pPr>
        <w:bidi/>
        <w:spacing w:after="1400" w:line="360"/>
        <w:jc w:val="center"/>
      </w:pPr>
      <w:r>
        <w:rPr>
          <w:rFonts w:ascii="Times New Roman" w:cs="David" w:eastAsia="David" w:hAnsi="Times New Roman"/>
          <w:b w:val="false"/>
          <w:bCs w:val="false"/>
          <w:i w:val="false"/>
          <w:iCs w:val="false"/>
          <w:noProof/>
          <w:sz w:val="24"/>
          <w:szCs w:val="24"/>
          <w:rtl/>
          <w:lang w:val="en-US" w:bidi="he-IL"/>
        </w:rPr>
        <w:t xml:space="preserve">המרצה: [שם המרצה]</w:t>
      </w:r>
    </w:p>
    <w:p>
      <w:pPr>
        <w:bidi/>
        <w:spacing w:after="120" w:line="360"/>
        <w:jc w:val="center"/>
      </w:pPr>
      <w:r>
        <w:rPr>
          <w:rFonts w:ascii="Times New Roman" w:cs="David" w:eastAsia="David" w:hAnsi="Times New Roman"/>
          <w:b w:val="false"/>
          <w:bCs w:val="false"/>
          <w:i w:val="false"/>
          <w:iCs w:val="false"/>
          <w:noProof/>
          <w:sz w:val="24"/>
          <w:szCs w:val="24"/>
          <w:rtl/>
          <w:lang w:val="en-US" w:bidi="he-IL"/>
        </w:rPr>
        <w:t xml:space="preserve">מגיש/ה: [שם מלא], ת"ז [מספר]</w:t>
      </w:r>
    </w:p>
    <w:p>
      <w:pPr>
        <w:bidi/>
        <w:spacing w:after="0" w:line="360"/>
        <w:jc w:val="center"/>
      </w:pPr>
      <w:r>
        <w:rPr>
          <w:rFonts w:ascii="Times New Roman" w:cs="David" w:eastAsia="David" w:hAnsi="Times New Roman"/>
          <w:b w:val="false"/>
          <w:bCs w:val="false"/>
          <w:i w:val="false"/>
          <w:iCs w:val="false"/>
          <w:noProof/>
          <w:sz w:val="24"/>
          <w:szCs w:val="24"/>
          <w:rtl/>
          <w:lang w:val="en-US" w:bidi="he-IL"/>
        </w:rPr>
        <w:t xml:space="preserve">תשרי תשפ"ז, ספטמבר 2026</w:t>
      </w:r>
    </w:p>
    <w:p>
      <w:pPr>
        <w:pageBreakBefore/>
        <w:bidi/>
        <w:spacing w:after="360" w:line="360"/>
        <w:jc w:val="center"/>
      </w:pPr>
      <w:r>
        <w:rPr>
          <w:rFonts w:ascii="Times New Roman" w:cs="David" w:eastAsia="David" w:hAnsi="Times New Roman"/>
          <w:b/>
          <w:bCs/>
          <w:i w:val="false"/>
          <w:iCs w:val="false"/>
          <w:noProof/>
          <w:sz w:val="32"/>
          <w:szCs w:val="32"/>
          <w:rtl/>
          <w:lang w:val="en-US" w:bidi="he-IL"/>
        </w:rPr>
        <w:t xml:space="preserve">תוכן עניינים</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מבוא</w:t>
      </w:r>
      <w:r>
        <w:rPr>
          <w:rFonts w:ascii="Times New Roman" w:cs="David" w:eastAsia="David" w:hAnsi="Times New Roman"/>
          <w:noProof/>
          <w:sz w:val="24"/>
          <w:szCs w:val="24"/>
          <w:rtl/>
          <w:lang w:val="en-US" w:bidi="he-IL"/>
        </w:rPr>
        <w:t xml:space="preserve">	1</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1: החמור: זואולוגיה, מקורות יהודיים ומקורות כלליים</w:t>
      </w:r>
      <w:r>
        <w:rPr>
          <w:rFonts w:ascii="Times New Roman" w:cs="David" w:eastAsia="David" w:hAnsi="Times New Roman"/>
          <w:noProof/>
          <w:sz w:val="24"/>
          <w:szCs w:val="24"/>
          <w:rtl/>
          <w:lang w:val="en-US" w:bidi="he-I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1.1 החמור מבחינה זואולוגית</w:t>
      </w:r>
      <w:r>
        <w:rPr>
          <w:rFonts w:ascii="Times New Roman" w:cs="David" w:eastAsia="David" w:hAnsi="Times New Roman"/>
          <w:noProof/>
          <w:sz w:val="24"/>
          <w:szCs w:val="24"/>
          <w:rtl/>
          <w:lang w:val="en-US" w:bidi="he-I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1.2 החמור במקורות היהודיים</w:t>
      </w:r>
      <w:r>
        <w:rPr>
          <w:rFonts w:ascii="Times New Roman" w:cs="David" w:eastAsia="David" w:hAnsi="Times New Roman"/>
          <w:noProof/>
          <w:sz w:val="24"/>
          <w:szCs w:val="24"/>
          <w:rtl/>
          <w:lang w:val="en-US" w:bidi="he-I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1.3 החמור במקורות הכלליים</w:t>
      </w:r>
      <w:r>
        <w:rPr>
          <w:rFonts w:ascii="Times New Roman" w:cs="David" w:eastAsia="David" w:hAnsi="Times New Roman"/>
          <w:noProof/>
          <w:sz w:val="24"/>
          <w:szCs w:val="24"/>
          <w:rtl/>
          <w:lang w:val="en-US" w:bidi="he-IL"/>
        </w:rPr>
        <w:t xml:space="preserve">	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1.4 החמור במקורות הנוצריים והמוסלמיים ובפולקלור</w:t>
      </w:r>
      <w:r>
        <w:rPr>
          <w:rFonts w:ascii="Times New Roman" w:cs="David" w:eastAsia="David" w:hAnsi="Times New Roman"/>
          <w:noProof/>
          <w:sz w:val="24"/>
          <w:szCs w:val="24"/>
          <w:rtl/>
          <w:lang w:val="en-US" w:bidi="he-IL"/>
        </w:rPr>
        <w:t xml:space="preserve">	5</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1.5 קורפוס משלי החמור: סיכום</w:t>
      </w:r>
      <w:r>
        <w:rPr>
          <w:rFonts w:ascii="Times New Roman" w:cs="David" w:eastAsia="David" w:hAnsi="Times New Roman"/>
          <w:noProof/>
          <w:sz w:val="24"/>
          <w:szCs w:val="24"/>
          <w:rtl/>
          <w:lang w:val="en-US" w:bidi="he-IL"/>
        </w:rPr>
        <w:t xml:space="preserve">	6</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2: היוצר, הספר וההקדמה</w:t>
      </w:r>
      <w:r>
        <w:rPr>
          <w:rFonts w:ascii="Times New Roman" w:cs="David" w:eastAsia="David" w:hAnsi="Times New Roman"/>
          <w:noProof/>
          <w:sz w:val="24"/>
          <w:szCs w:val="24"/>
          <w:rtl/>
          <w:lang w:val="en-US" w:bidi="he-IL"/>
        </w:rPr>
        <w:t xml:space="preserve">	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2.1 רבי ברכיה בן נטרונאי הנקדן</w:t>
      </w:r>
      <w:r>
        <w:rPr>
          <w:rFonts w:ascii="Times New Roman" w:cs="David" w:eastAsia="David" w:hAnsi="Times New Roman"/>
          <w:noProof/>
          <w:sz w:val="24"/>
          <w:szCs w:val="24"/>
          <w:rtl/>
          <w:lang w:val="en-US" w:bidi="he-IL"/>
        </w:rPr>
        <w:t xml:space="preserve">	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2.2 הספר: משלי שועלים</w:t>
      </w:r>
      <w:r>
        <w:rPr>
          <w:rFonts w:ascii="Times New Roman" w:cs="David" w:eastAsia="David" w:hAnsi="Times New Roman"/>
          <w:noProof/>
          <w:sz w:val="24"/>
          <w:szCs w:val="24"/>
          <w:rtl/>
          <w:lang w:val="en-US" w:bidi="he-IL"/>
        </w:rPr>
        <w:t xml:space="preserve">	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2.3 הקדמת המחבר</w:t>
      </w:r>
      <w:r>
        <w:rPr>
          <w:rFonts w:ascii="Times New Roman" w:cs="David" w:eastAsia="David" w:hAnsi="Times New Roman"/>
          <w:noProof/>
          <w:sz w:val="24"/>
          <w:szCs w:val="24"/>
          <w:rtl/>
          <w:lang w:val="en-US" w:bidi="he-IL"/>
        </w:rPr>
        <w:t xml:space="preserve">	8</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2.4 ארבעת המשלים הנבחרים: סקירה ונמשל</w:t>
      </w:r>
      <w:r>
        <w:rPr>
          <w:rFonts w:ascii="Times New Roman" w:cs="David" w:eastAsia="David" w:hAnsi="Times New Roman"/>
          <w:noProof/>
          <w:sz w:val="24"/>
          <w:szCs w:val="24"/>
          <w:rtl/>
          <w:lang w:val="en-US" w:bidi="he-IL"/>
        </w:rPr>
        <w:t xml:space="preserve">	8</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3: "חמור, דבורים וצרעה": ניתוח</w:t>
      </w:r>
      <w:r>
        <w:rPr>
          <w:rFonts w:ascii="Times New Roman" w:cs="David" w:eastAsia="David" w:hAnsi="Times New Roman"/>
          <w:noProof/>
          <w:sz w:val="24"/>
          <w:szCs w:val="24"/>
          <w:rtl/>
          <w:lang w:val="en-US" w:bidi="he-IL"/>
        </w:rPr>
        <w:t xml:space="preserve">	10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3.1 מבנה המשל ומהלך העלילה</w:t>
      </w:r>
      <w:r>
        <w:rPr>
          <w:rFonts w:ascii="Times New Roman" w:cs="David" w:eastAsia="David" w:hAnsi="Times New Roman"/>
          <w:noProof/>
          <w:sz w:val="24"/>
          <w:szCs w:val="24"/>
          <w:rtl/>
          <w:lang w:val="en-US" w:bidi="he-IL"/>
        </w:rPr>
        <w:t xml:space="preserve">	10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3.2 השיבוצים</w:t>
      </w:r>
      <w:r>
        <w:rPr>
          <w:rFonts w:ascii="Times New Roman" w:cs="David" w:eastAsia="David" w:hAnsi="Times New Roman"/>
          <w:noProof/>
          <w:sz w:val="24"/>
          <w:szCs w:val="24"/>
          <w:rtl/>
          <w:lang w:val="en-US" w:bidi="he-IL"/>
        </w:rPr>
        <w:t xml:space="preserve">	10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3.3 הפואטיקה של המשל</w:t>
      </w:r>
      <w:r>
        <w:rPr>
          <w:rFonts w:ascii="Times New Roman" w:cs="David" w:eastAsia="David" w:hAnsi="Times New Roman"/>
          <w:noProof/>
          <w:sz w:val="24"/>
          <w:szCs w:val="24"/>
          <w:rtl/>
          <w:lang w:val="en-US" w:bidi="he-IL"/>
        </w:rPr>
        <w:t xml:space="preserve">	11</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3.4 הקשר בין המשל לנמשל</w:t>
      </w:r>
      <w:r>
        <w:rPr>
          <w:rFonts w:ascii="Times New Roman" w:cs="David" w:eastAsia="David" w:hAnsi="Times New Roman"/>
          <w:noProof/>
          <w:sz w:val="24"/>
          <w:szCs w:val="24"/>
          <w:rtl/>
          <w:lang w:val="en-US" w:bidi="he-IL"/>
        </w:rPr>
        <w:t xml:space="preserve">	12</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4: "חמור בעור ארי" (משל מז): ניתוח</w:t>
      </w:r>
      <w:r>
        <w:rPr>
          <w:rFonts w:ascii="Times New Roman" w:cs="David" w:eastAsia="David" w:hAnsi="Times New Roman"/>
          <w:noProof/>
          <w:sz w:val="24"/>
          <w:szCs w:val="24"/>
          <w:rtl/>
          <w:lang w:val="en-US" w:bidi="he-IL"/>
        </w:rPr>
        <w:t xml:space="preserve">	13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4.1 מבנה המשל ומהלך העלילה</w:t>
      </w:r>
      <w:r>
        <w:rPr>
          <w:rFonts w:ascii="Times New Roman" w:cs="David" w:eastAsia="David" w:hAnsi="Times New Roman"/>
          <w:noProof/>
          <w:sz w:val="24"/>
          <w:szCs w:val="24"/>
          <w:rtl/>
          <w:lang w:val="en-US" w:bidi="he-IL"/>
        </w:rPr>
        <w:t xml:space="preserve">	13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4.2 השיבוצים</w:t>
      </w:r>
      <w:r>
        <w:rPr>
          <w:rFonts w:ascii="Times New Roman" w:cs="David" w:eastAsia="David" w:hAnsi="Times New Roman"/>
          <w:noProof/>
          <w:sz w:val="24"/>
          <w:szCs w:val="24"/>
          <w:rtl/>
          <w:lang w:val="en-US" w:bidi="he-IL"/>
        </w:rPr>
        <w:t xml:space="preserve">	13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4.3 הפואטיקה של המשל</w:t>
      </w:r>
      <w:r>
        <w:rPr>
          <w:rFonts w:ascii="Times New Roman" w:cs="David" w:eastAsia="David" w:hAnsi="Times New Roman"/>
          <w:noProof/>
          <w:sz w:val="24"/>
          <w:szCs w:val="24"/>
          <w:rtl/>
          <w:lang w:val="en-US" w:bidi="he-IL"/>
        </w:rPr>
        <w:t xml:space="preserve">	14</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4.4 הקשר בין המשל לנמשל</w:t>
      </w:r>
      <w:r>
        <w:rPr>
          <w:rFonts w:ascii="Times New Roman" w:cs="David" w:eastAsia="David" w:hAnsi="Times New Roman"/>
          <w:noProof/>
          <w:sz w:val="24"/>
          <w:szCs w:val="24"/>
          <w:rtl/>
          <w:lang w:val="en-US" w:bidi="he-IL"/>
        </w:rPr>
        <w:t xml:space="preserve">	15</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5: "חמור, כלב ואדם" (משל יד): ניתוח</w:t>
      </w:r>
      <w:r>
        <w:rPr>
          <w:rFonts w:ascii="Times New Roman" w:cs="David" w:eastAsia="David" w:hAnsi="Times New Roman"/>
          <w:noProof/>
          <w:sz w:val="24"/>
          <w:szCs w:val="24"/>
          <w:rtl/>
          <w:lang w:val="en-US" w:bidi="he-IL"/>
        </w:rPr>
        <w:t xml:space="preserve">	16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5.1 מבנה המשל ומהלך העלילה</w:t>
      </w:r>
      <w:r>
        <w:rPr>
          <w:rFonts w:ascii="Times New Roman" w:cs="David" w:eastAsia="David" w:hAnsi="Times New Roman"/>
          <w:noProof/>
          <w:sz w:val="24"/>
          <w:szCs w:val="24"/>
          <w:rtl/>
          <w:lang w:val="en-US" w:bidi="he-IL"/>
        </w:rPr>
        <w:t xml:space="preserve">	16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5.2 השיבוצים</w:t>
      </w:r>
      <w:r>
        <w:rPr>
          <w:rFonts w:ascii="Times New Roman" w:cs="David" w:eastAsia="David" w:hAnsi="Times New Roman"/>
          <w:noProof/>
          <w:sz w:val="24"/>
          <w:szCs w:val="24"/>
          <w:rtl/>
          <w:lang w:val="en-US" w:bidi="he-IL"/>
        </w:rPr>
        <w:t xml:space="preserve">	16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5.3 הפואטיקה של המשל</w:t>
      </w:r>
      <w:r>
        <w:rPr>
          <w:rFonts w:ascii="Times New Roman" w:cs="David" w:eastAsia="David" w:hAnsi="Times New Roman"/>
          <w:noProof/>
          <w:sz w:val="24"/>
          <w:szCs w:val="24"/>
          <w:rtl/>
          <w:lang w:val="en-US" w:bidi="he-IL"/>
        </w:rPr>
        <w:t xml:space="preserve">	17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5.4 הקשר בין המשל לנמשל</w:t>
      </w:r>
      <w:r>
        <w:rPr>
          <w:rFonts w:ascii="Times New Roman" w:cs="David" w:eastAsia="David" w:hAnsi="Times New Roman"/>
          <w:noProof/>
          <w:sz w:val="24"/>
          <w:szCs w:val="24"/>
          <w:rtl/>
          <w:lang w:val="en-US" w:bidi="he-IL"/>
        </w:rPr>
        <w:t xml:space="preserve">	17</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6: "אריה וחמור" (משל סה): ניתוח</w:t>
      </w:r>
      <w:r>
        <w:rPr>
          <w:rFonts w:ascii="Times New Roman" w:cs="David" w:eastAsia="David" w:hAnsi="Times New Roman"/>
          <w:noProof/>
          <w:sz w:val="24"/>
          <w:szCs w:val="24"/>
          <w:rtl/>
          <w:lang w:val="en-US" w:bidi="he-IL"/>
        </w:rPr>
        <w:t xml:space="preserve">	19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6.1 מבנה המשל ומהלך העלילה</w:t>
      </w:r>
      <w:r>
        <w:rPr>
          <w:rFonts w:ascii="Times New Roman" w:cs="David" w:eastAsia="David" w:hAnsi="Times New Roman"/>
          <w:noProof/>
          <w:sz w:val="24"/>
          <w:szCs w:val="24"/>
          <w:rtl/>
          <w:lang w:val="en-US" w:bidi="he-IL"/>
        </w:rPr>
        <w:t xml:space="preserve">	19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6.2 השיבוצים</w:t>
      </w:r>
      <w:r>
        <w:rPr>
          <w:rFonts w:ascii="Times New Roman" w:cs="David" w:eastAsia="David" w:hAnsi="Times New Roman"/>
          <w:noProof/>
          <w:sz w:val="24"/>
          <w:szCs w:val="24"/>
          <w:rtl/>
          <w:lang w:val="en-US" w:bidi="he-IL"/>
        </w:rPr>
        <w:t xml:space="preserve">	19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6.3 הפואטיקה של המשל</w:t>
      </w:r>
      <w:r>
        <w:rPr>
          <w:rFonts w:ascii="Times New Roman" w:cs="David" w:eastAsia="David" w:hAnsi="Times New Roman"/>
          <w:noProof/>
          <w:sz w:val="24"/>
          <w:szCs w:val="24"/>
          <w:rtl/>
          <w:lang w:val="en-US" w:bidi="he-IL"/>
        </w:rPr>
        <w:t xml:space="preserve">	21</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6.4 הקשר בין המשל לנמשל</w:t>
      </w:r>
      <w:r>
        <w:rPr>
          <w:rFonts w:ascii="Times New Roman" w:cs="David" w:eastAsia="David" w:hAnsi="Times New Roman"/>
          <w:noProof/>
          <w:sz w:val="24"/>
          <w:szCs w:val="24"/>
          <w:rtl/>
          <w:lang w:val="en-US" w:bidi="he-IL"/>
        </w:rPr>
        <w:t xml:space="preserve">	21</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7: סיכום ומסקנות</w:t>
      </w:r>
      <w:r>
        <w:rPr>
          <w:rFonts w:ascii="Times New Roman" w:cs="David" w:eastAsia="David" w:hAnsi="Times New Roman"/>
          <w:noProof/>
          <w:sz w:val="24"/>
          <w:szCs w:val="24"/>
          <w:rtl/>
          <w:lang w:val="en-US" w:bidi="he-IL"/>
        </w:rPr>
        <w:t xml:space="preserve">	23</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ביבליוגרפיה</w:t>
      </w:r>
      <w:r>
        <w:rPr>
          <w:rFonts w:ascii="Times New Roman" w:cs="David" w:eastAsia="David" w:hAnsi="Times New Roman"/>
          <w:noProof/>
          <w:sz w:val="24"/>
          <w:szCs w:val="24"/>
          <w:rtl/>
          <w:lang w:val="en-US" w:bidi="he-IL"/>
        </w:rPr>
        <w:t xml:space="preserve">	25</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נספחים: המשלים הנדונים</w:t>
      </w:r>
      <w:r>
        <w:rPr>
          <w:rFonts w:ascii="Times New Roman" w:cs="David" w:eastAsia="David" w:hAnsi="Times New Roman"/>
          <w:noProof/>
          <w:sz w:val="24"/>
          <w:szCs w:val="24"/>
          <w:rtl/>
          <w:lang w:val="en-US" w:bidi="he-IL"/>
        </w:rPr>
        <w:t xml:space="preserve">	27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א: חמור, דבורים וצרעה</w:t>
      </w:r>
      <w:r>
        <w:rPr>
          <w:rFonts w:ascii="Times New Roman" w:cs="David" w:eastAsia="David" w:hAnsi="Times New Roman"/>
          <w:noProof/>
          <w:sz w:val="24"/>
          <w:szCs w:val="24"/>
          <w:rtl/>
          <w:lang w:val="en-US" w:bidi="he-IL"/>
        </w:rPr>
        <w:t xml:space="preserve">	27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ב: משל מז: חמור בעור ארי</w:t>
      </w:r>
      <w:r>
        <w:rPr>
          <w:rFonts w:ascii="Times New Roman" w:cs="David" w:eastAsia="David" w:hAnsi="Times New Roman"/>
          <w:noProof/>
          <w:sz w:val="24"/>
          <w:szCs w:val="24"/>
          <w:rtl/>
          <w:lang w:val="en-US" w:bidi="he-IL"/>
        </w:rPr>
        <w:t xml:space="preserve">	27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ג: משל יד: חמור, כלב ואדם</w:t>
      </w:r>
      <w:r>
        <w:rPr>
          <w:rFonts w:ascii="Times New Roman" w:cs="David" w:eastAsia="David" w:hAnsi="Times New Roman"/>
          <w:noProof/>
          <w:sz w:val="24"/>
          <w:szCs w:val="24"/>
          <w:rtl/>
          <w:lang w:val="en-US" w:bidi="he-IL"/>
        </w:rPr>
        <w:t xml:space="preserve">	28</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ד: משל סה: אריה וחמור</w:t>
      </w:r>
      <w:r>
        <w:rPr>
          <w:rFonts w:ascii="Times New Roman" w:cs="David" w:eastAsia="David" w:hAnsi="Times New Roman"/>
          <w:noProof/>
          <w:sz w:val="24"/>
          <w:szCs w:val="24"/>
          <w:rtl/>
          <w:lang w:val="en-US" w:bidi="he-IL"/>
        </w:rPr>
        <w:t xml:space="preserve">	29</w:t>
      </w:r>
    </w:p>
    <w:p>
      <w:pPr>
        <w:sectPr>
          <w:pgSz w:w="11906" w:h="16838" w:orient="portrait"/>
          <w:pgMar w:top="1417" w:right="1417" w:bottom="1417" w:left="1417" w:header="708" w:footer="708" w:gutter="0"/>
          <w:pgNumType/>
          <w:docGrid w:linePitch="360"/>
        </w:sectPr>
      </w:pPr>
    </w:p>
    <w:p>
      <w:pPr>
        <w:pStyle w:val="Heading1"/>
        <w:keepNext/>
        <w:bidi/>
        <w:spacing w:after="360" w:before="0" w:line="360"/>
        <w:jc w:val="center"/>
      </w:pPr>
      <w:r>
        <w:rPr>
          <w:rFonts w:ascii="Times New Roman" w:cs="David" w:eastAsia="David" w:hAnsi="Times New Roman"/>
          <w:b/>
          <w:bCs/>
          <w:i w:val="false"/>
          <w:iCs w:val="false"/>
          <w:noProof/>
          <w:sz w:val="32"/>
          <w:szCs w:val="32"/>
          <w:rtl/>
          <w:lang w:val="en-US" w:bidi="he-IL"/>
        </w:rPr>
        <w:t xml:space="preserve">מבוא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החמור הוא אחד מבעלי החיים הנפוצים ביותר בספרות המשלים, ועם זאת מעטים בעלי החיים שנגזר עליהם דימוי כה יציב וכה לא מחמיא. בפי הבריות "חמור" הוא כינוי לטיפש, לעקשן ולמי שאינו מבין את מקומו. במקרא, לעומת זאת, אותו חמור נושא את אברהם אל העקדה, רואה את המלאך לפני שרואה אותו בלעם, ומשמש רכבו של המלך המשיח. הפער הזה, בין החיה המשרתת והנאמנה ובין הדימוי הספרותי של הכסיל, הוא נקודת המוצא של העבודה.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מתמקדת בארבעה משלים מתוך "משלי שועלים" לרבי ברכיה הנקדן, שחי באנגליה ובצפון צרפת בסוף המאה השתים עשרה ובראשית המאה השלוש עשרה: "חמור, דבורים וצרעה", "חמור בעור ארי" (משל מז), "חמור, כלב ואדם" (משל יד) ו"אריה וחמור" (משל סה).</w:t>
      </w:r>
      <w:r>
        <w:rPr>
          <w:rStyle w:val="FootnoteReference"/>
        </w:rPr>
        <w:footnoteReference w:id="1"/>
      </w:r>
      <w:r>
        <w:rPr>
          <w:rFonts w:ascii="Times New Roman" w:cs="David" w:eastAsia="David" w:hAnsi="Times New Roman"/>
          <w:i w:val="false"/>
          <w:iCs w:val="false"/>
          <w:noProof/>
          <w:sz w:val="24"/>
          <w:szCs w:val="24"/>
          <w:rtl/>
          <w:lang w:val="en-US" w:bidi="he-IL"/>
        </w:rPr>
        <w:t xml:space="preserve"> בארבעתם החמור הוא הגיבור, ובארבעתם הוא נכשל. שאלת המחקר כפולה: מהי התכונה שהחמור מייצג אצל ברכיה, וכיצד בונה המחבר את הקשר בין סיפור המשל ובין הנמשל באמצעות שיבוצים מן המקרא ומספרות חז"ל.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הטענה המרכזית של העבודה היא שהחמור של ברכיה אינו בראש ובראשונה טיפש, אלא מי שאינו יודע את מקומו. בכל אחד מן המשלים החמור מנסה להיות משהו אחר ממה שהוא: שליט שאינו חושש מן הקטן ממנו, אריה, כלב מחמד, משנה למלך. הכישלון בא מבחוץ, כמכה, ומחזיר אותו אל האבוס. ברכיה מעצב את הרעיון הזה לא רק בעלילה אלא בשכבת השיבוצים, שמעמידה מאחורי החמור שורה של דמויות מקראיות שגאוותן נשברה: רחבעם, אמציה, אדוניה, המן, נגיד צור, ארז הלבנון של יחזקאל. הקורא שמזהה את הפסוק יודע כיצד ייגמר המשל עוד לפני שהסיפור מגיע לסופו.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מבנה העבודה: פרק 1 סוקר את החמור מן הבחינה הזואולוגית, במקורות היהודיים, במקורות הכלליים, הנוצריים והמוסלמיים ובפולקלור, ומציג את קורפוס משלי החמור בימי הביניים. פרק 2 עוסק ביוצר, בספר ובהקדמתו, וסוקר את ארבעת המשלים הנבחרים ואת הנמשל של כל אחד מהם. פרקים 3 עד 6 מנתחים כל משל בנפרד: מבנהו, השיבוצים שבו, הפואטיקה שלו והקשר בין המשל לנמשל. פרק 7 מסכם ומשיב על שאלת המחקר. בנספחים מובאים ארבעת המשלים במלואם.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הערה על השיטה: הציטוטים מן המשלים מובאים על פי הנוסח המנוקד שנמסר בקורס, שנבדק מול מהדורת הברמן. הפניות למקרא הן לפי ספר, פרק ופסוק, והפניות לספרות חז"ל לפי המסכת והדף. ההערות והביבליוגרפיה כתובות בשיטה אחת לאורך כל העבודה: בהערה הראשונה פרט ביבליוגרפי מלא, ולאחר מכן צורה מקוצרת. מקומות שבהם עדיין נדרשת השלמה של מספר עמוד או בדיקה במהדורה סומנו בסוגריים מרובעים.</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1: החמור: זואולוגיה, מקורות יהודיים ומקורות כלליים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1.1 החמור מבחינה זואולוגית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החמור (</w:t>
      </w:r>
      <w:r>
        <w:rPr>
          <w:rFonts w:ascii="Times New Roman" w:cs="David" w:eastAsia="David" w:hAnsi="Times New Roman"/>
          <w:i w:val="false"/>
          <w:iCs w:val="false"/>
          <w:noProof/>
          <w:sz w:val="24"/>
          <w:szCs w:val="24"/>
          <w:rtl w:val="false"/>
          <w:lang w:val="en-US" w:bidi="he-IL"/>
        </w:rPr>
        <w:t xml:space="preserve">Equus asinus) </w:t>
      </w:r>
      <w:r>
        <w:rPr>
          <w:rFonts w:ascii="Times New Roman" w:cs="David" w:eastAsia="David" w:hAnsi="Times New Roman"/>
          <w:i w:val="false"/>
          <w:iCs w:val="false"/>
          <w:noProof/>
          <w:sz w:val="24"/>
          <w:szCs w:val="24"/>
          <w:rtl/>
          <w:lang w:val="en-US" w:bidi="he-IL"/>
        </w:rPr>
        <w:t xml:space="preserve">הוא בן משפחת הסוסיים. הוא בוית מן הפרא האפריקני (</w:t>
      </w:r>
      <w:r>
        <w:rPr>
          <w:rFonts w:ascii="Times New Roman" w:cs="David" w:eastAsia="David" w:hAnsi="Times New Roman"/>
          <w:i w:val="false"/>
          <w:iCs w:val="false"/>
          <w:noProof/>
          <w:sz w:val="24"/>
          <w:szCs w:val="24"/>
          <w:rtl w:val="false"/>
          <w:lang w:val="en-US" w:bidi="he-IL"/>
        </w:rPr>
        <w:t xml:space="preserve">Equus africanus) </w:t>
      </w:r>
      <w:r>
        <w:rPr>
          <w:rFonts w:ascii="Times New Roman" w:cs="David" w:eastAsia="David" w:hAnsi="Times New Roman"/>
          <w:i w:val="false"/>
          <w:iCs w:val="false"/>
          <w:noProof/>
          <w:sz w:val="24"/>
          <w:szCs w:val="24"/>
          <w:rtl/>
          <w:lang w:val="en-US" w:bidi="he-IL"/>
        </w:rPr>
        <w:t xml:space="preserve">בצפון מזרח אפריקה לפני כחמשת אלפים עד ששת אלפים שנה, ככל הנראה בסביבת מצרים ונוביה, והיה בעל החיים הראשון ששימש לנשיאת משאות למרחקים. הממצא הארכיאולוגי מאבידוס שבמצרים, שבו נקברו חמורים בסמוך לקברי מלוכה מראשית האלף השלישי לפני הספירה, מלמד עד כמה היה החמור חשוב לכלכלה ולתנועה בעולם העתיק.</w:t>
      </w:r>
      <w:r>
        <w:rPr>
          <w:rStyle w:val="FootnoteReference"/>
        </w:rPr>
        <w:footnoteReference w:id="2"/>
      </w:r>
    </w:p>
    <w:p>
      <w:pPr>
        <w:bidi/>
        <w:spacing w:after="120" w:before="0" w:line="360"/>
        <w:jc w:val="both"/>
      </w:pPr>
      <w:r>
        <w:rPr>
          <w:rFonts w:ascii="Times New Roman" w:cs="David" w:eastAsia="David" w:hAnsi="Times New Roman"/>
          <w:i w:val="false"/>
          <w:iCs w:val="false"/>
          <w:noProof/>
          <w:sz w:val="24"/>
          <w:szCs w:val="24"/>
          <w:rtl/>
          <w:lang w:val="en-US" w:bidi="he-IL"/>
        </w:rPr>
        <w:t xml:space="preserve">כמה מתכונותיו הגופניות של החמור מזינות ישירות את דימויו בספרות. אוזניו הארוכות, שתפקידן שמיעה וויסות חום, הפכו לסימן ההיכר שלו, וגם לסימן שמסגיר אותו כשהוא מנסה להתחפש. קולו, הנעירה, חזק וצורם ונשמע למרחק. הוא חיה קשוחה, מסתפקת במעט מים ומזון, נושאת משא כבד ביחס לגודלה ובעלת סף כאב גבוה. הנטייה שלו לעצור ולסרב לזוז כשהוא חש סכנה, שהאדם מפרש אותה כעקשנות, היא התנהגות הגנתית של בעל חיים שאינו יכול לברוח במהירות כמו הסוס. גם החיכוך בעצים ובסלעים, שמופיע במשל הצרעה, הוא התנהגות טבעית של החמור להסרת טפילים מעורו. שלוש התכונות, האוזניים, הקול והגוף המגושם והכבד, הן בדיוק התכונות שברכיה מפעיל בארבעת המשלים.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1.2 החמור במקורות היהודיים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במקרא החמור נזכר יותר ממאה ושלושים פעם, בדרך כלל כבהמת עבודה ורכיבה של כל שכבות העם. הוא מלווה את אברהם בדרכו לעקדה (בראשית כב, ג), נושא את משפחת משה למצרים (שמות ד, כ), והוא הבהמה שעליה נצטווה האדם לחוס גם כשהיא של שונאו: "כי תראה חמור שנאך רבץ תחת משאו וחדלת מעזב לו, עזב תעזב עמו" (שמות כג, ה). מעמדו ההלכתי מיוחד: הוא הבהמה הטמאה היחידה שבכורה טעון פדיון, "וכל פטר חמר תפדה בשה" (שמות יג, יג), ואסור לחרוש בו יחד עם השור (דברים כב, י). קנת ויי, שהקדיש לחמור המקראי מונוגרפיה שלמה, מראה שהחמור נושא במקרא גם משמעות טקסית וסמלית, ולא רק כלכלית.</w:t>
      </w:r>
      <w:r>
        <w:rPr>
          <w:rStyle w:val="FootnoteReference"/>
        </w:rPr>
        <w:footnoteReference w:id="3"/>
      </w:r>
    </w:p>
    <w:p>
      <w:pPr>
        <w:bidi/>
        <w:spacing w:after="120" w:before="0" w:line="360"/>
        <w:jc w:val="both"/>
      </w:pPr>
      <w:r>
        <w:rPr>
          <w:rFonts w:ascii="Times New Roman" w:cs="David" w:eastAsia="David" w:hAnsi="Times New Roman"/>
          <w:i w:val="false"/>
          <w:iCs w:val="false"/>
          <w:noProof/>
          <w:sz w:val="24"/>
          <w:szCs w:val="24"/>
          <w:rtl/>
          <w:lang w:val="en-US" w:bidi="he-IL"/>
        </w:rPr>
        <w:t xml:space="preserve">שלוש דמויות של חמור במקרא חשובות במיוחד לעבודה זו, מפני שברכיה מרמז אליהן במשלים הנדונים. הראשונה היא אתונו של בלעם, החיה היחידה במקרא שמדברת, והרואה את מלאך ה' בשעה שהנביא עצמו עיוור לו (במדבר כב, כא-לג). הנוסחה שברכיה חותם בה את משליו, "ואשא משלי ואומר", לקוחה מן הפסוק "וישא משלו ויאמר" (במדבר כג, ז) הפותח את נבואות בלעם. יש אירוניה בכך שספר שלם של משלי חיות חתום בנוסחה של הנביא שאתונו ראתה יותר ממנו. השנייה היא אתונות קיש, שאובדנן שלח את שאול לדרך שבסופה נמשח למלך ונתנבא (שמואל א ט-י). ברכיה מזכיר אותן במפורש בשיר החותם את משל יד. השלישית היא החמור של ישעיהו: "ידע שור קנהו וחמור אבוס בעליו, ישראל לא ידע עמי לא התבונן" (ישעיהו א, ג). כאן החמור הוא דווקא דוגמה לידיעה ולהכרת הטוב, וישראל הם שאינם יודעים. ברכיה הופך את הפסוק במשל מז: "וחמור אבוס בעליו לא ידע". החמור שלו הוא בדיוק החמור שישעיהו לא הכיר.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יש להוסיף את יששכר "חמר גרם רבץ בין המשפתים" (בראשית מט, יד), את לחי החמור של שמשון (שופטים טו, טו-טז), את "קבורת חמור" שנגזרה על יהויקים (ירמיהו כב, יט), ואת המלך המשיח "עני ורכב על חמור" (זכריה ט, ט). הפרא, חמור הבר, מופיע באיוב לט, ה-ח כסמל לחירות שאין לאדם שליטה בה. יהודה פליקס דן בהבחנה בין החמור לפרא ובזיהוים הזואולוגי.</w:t>
      </w:r>
      <w:r>
        <w:rPr>
          <w:rStyle w:val="FootnoteReference"/>
        </w:rPr>
        <w:footnoteReference w:id="4"/>
      </w:r>
    </w:p>
    <w:p>
      <w:pPr>
        <w:bidi/>
        <w:spacing w:after="120" w:before="0" w:line="360"/>
        <w:jc w:val="both"/>
      </w:pPr>
      <w:r>
        <w:rPr>
          <w:rFonts w:ascii="Times New Roman" w:cs="David" w:eastAsia="David" w:hAnsi="Times New Roman"/>
          <w:i w:val="false"/>
          <w:iCs w:val="false"/>
          <w:noProof/>
          <w:sz w:val="24"/>
          <w:szCs w:val="24"/>
          <w:rtl/>
          <w:lang w:val="en-US" w:bidi="he-IL"/>
        </w:rPr>
        <w:t xml:space="preserve">בספרות חז"ל החמור מופיע במשנה בעיקר בהקשרים הלכתיים של עבודה, משא וכלאיים (למשל משנה כלאים ח, ב-ד), אך באגדה הוא זוכה לדמות עשירה יותר. חמורו של רבי פנחס בן יאיר סירב לאכול שעורים שלא עושרו (בבלי חולין ז ע"א-ע"ב), ומכאן הכלל "אפילו בהמתן של צדיקים אין הקדוש ברוך הוא מביא תקלה על ידן". לעומת זאת הביטוי "עם הדומה לחמור" (בבלי יבמות סב ע"א, על פי בראשית כב, ה) הפך במסורת המאוחרת לכינוי גנאי. במדרש נאמר שאותו חמור שחבש אברהם הוא שרכב עליו משה ושעליו עתיד לרכוב המשיח (פרקי דרבי אליעזר, פרק לא), ובתלמוד מוצג המשיח כמי שיבוא "עני ורוכב על חמור" אם לא יזכו ישראל (בבלי סנהדרין צח ע"א). כך נוצר בעברית מתח קבוע: החמור הוא גם חיית הצדיקים והמשיח, וגם סמל הכסילות. עלי יסיף מראה שהמשל החייתי בספרות חז"ל, ובכלל זה משלי השועלים של רבי מאיר (בבלי סנהדרין לח ע"ב), הוא ז'אנר שבו החיה נושאת תכונה אנושית קבועה שהקהל מזהה מיד, ומכאן כוחו הרטורי.</w:t>
      </w:r>
      <w:r>
        <w:rPr>
          <w:rStyle w:val="FootnoteReference"/>
        </w:rPr>
        <w:footnoteReference w:id="5"/>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1.3 החמור במקורות הכלליים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בקורפוס האיזופי החמור הוא אחד הגיבורים השכיחים, וכמעט תמיד הוא לקוי בשיפוט. במפתח פרי, המפתח המקובל למשלי איזופוס, מופיעים בין השאר: החמור והכלבלב (פרי 91), שבו החמור המקנא מנסה לקפוץ על אדוניו כמו הכלב ומוכה; החמור נושא המלח (פרי 180), שלמד שהמלח נמס במים וטבע כשניסה את התחבולה עם ספוגים; החמור נושא פסל האל (פרי 182), שחשב שהעוברים משתחווים לו; החמור בעור האריה (פרי 188, וגרסה נוספת פרי 358), שנחשף בגלל אוזניו או קולו; והאריה והחמור היוצאים לצוד (פרי 151, אצל פדרוס א, יא), שבו החמור נוער כדי להבריח את החיות אל האריה, ואחר כך שואל אם קולו מצא חן, והאריה משיב שאילולא ידע מי הוא היה בורח גם הוא.</w:t>
      </w:r>
      <w:r>
        <w:rPr>
          <w:rStyle w:val="FootnoteReference"/>
        </w:rPr>
        <w:footnoteReference w:id="6"/>
      </w:r>
      <w:r>
        <w:rPr>
          <w:rFonts w:ascii="Times New Roman" w:cs="David" w:eastAsia="David" w:hAnsi="Times New Roman"/>
          <w:i w:val="false"/>
          <w:iCs w:val="false"/>
          <w:noProof/>
          <w:sz w:val="24"/>
          <w:szCs w:val="24"/>
          <w:rtl/>
          <w:lang w:val="en-US" w:bidi="he-IL"/>
        </w:rPr>
        <w:t xml:space="preserve"> במשלים אלה החמור מייצג את מי שמעריך את עצמו בטעות: הוא חושב שהכבוד שניתן לפסל ניתן לו, שהאהבה שניתנת לכלב תינתן גם לו, ושהעור יהפוך אותו לאריה. שלושה מן המשלים האלה הם המקורות הישירים של משלים יד, מז ו-סה אצל ברכיה, ומשל עור האריה הגיע אליו כנראה דרך אביאנוס (משל 5) ולא ישירות מן היוונית.</w:t>
      </w:r>
      <w:r>
        <w:rPr>
          <w:rStyle w:val="FootnoteReference"/>
        </w:rPr>
        <w:footnoteReference w:id="7"/>
      </w:r>
    </w:p>
    <w:p>
      <w:pPr>
        <w:bidi/>
        <w:spacing w:after="120" w:before="0" w:line="360"/>
        <w:jc w:val="both"/>
      </w:pPr>
      <w:r>
        <w:rPr>
          <w:rFonts w:ascii="Times New Roman" w:cs="David" w:eastAsia="David" w:hAnsi="Times New Roman"/>
          <w:i w:val="false"/>
          <w:iCs w:val="false"/>
          <w:noProof/>
          <w:sz w:val="24"/>
          <w:szCs w:val="24"/>
          <w:rtl/>
          <w:lang w:val="en-US" w:bidi="he-IL"/>
        </w:rPr>
        <w:t xml:space="preserve">במפתחות הבינלאומיים של סיפורי העם שניים מן הטיפוסים רשומים: </w:t>
      </w:r>
      <w:r>
        <w:rPr>
          <w:rFonts w:ascii="Times New Roman" w:cs="David" w:eastAsia="David" w:hAnsi="Times New Roman"/>
          <w:i w:val="false"/>
          <w:iCs w:val="false"/>
          <w:noProof/>
          <w:sz w:val="24"/>
          <w:szCs w:val="24"/>
          <w:rtl w:val="false"/>
          <w:lang w:val="en-US" w:bidi="he-IL"/>
        </w:rPr>
        <w:t xml:space="preserve">ATU 214, "</w:t>
      </w:r>
      <w:r>
        <w:rPr>
          <w:rFonts w:ascii="Times New Roman" w:cs="David" w:eastAsia="David" w:hAnsi="Times New Roman"/>
          <w:i w:val="false"/>
          <w:iCs w:val="false"/>
          <w:noProof/>
          <w:sz w:val="24"/>
          <w:szCs w:val="24"/>
          <w:rtl/>
          <w:lang w:val="en-US" w:bidi="he-IL"/>
        </w:rPr>
        <w:t xml:space="preserve">החמור המנסה ללטף את אדוניו כמו הכלב", ו-</w:t>
      </w:r>
      <w:r>
        <w:rPr>
          <w:rFonts w:ascii="Times New Roman" w:cs="David" w:eastAsia="David" w:hAnsi="Times New Roman"/>
          <w:i w:val="false"/>
          <w:iCs w:val="false"/>
          <w:noProof/>
          <w:sz w:val="24"/>
          <w:szCs w:val="24"/>
          <w:rtl w:val="false"/>
          <w:lang w:val="en-US" w:bidi="he-IL"/>
        </w:rPr>
        <w:t xml:space="preserve">ATU 214B, "</w:t>
      </w:r>
      <w:r>
        <w:rPr>
          <w:rFonts w:ascii="Times New Roman" w:cs="David" w:eastAsia="David" w:hAnsi="Times New Roman"/>
          <w:i w:val="false"/>
          <w:iCs w:val="false"/>
          <w:noProof/>
          <w:sz w:val="24"/>
          <w:szCs w:val="24"/>
          <w:rtl/>
          <w:lang w:val="en-US" w:bidi="he-IL"/>
        </w:rPr>
        <w:t xml:space="preserve">החמור בעור האריה".</w:t>
      </w:r>
      <w:r>
        <w:rPr>
          <w:rStyle w:val="FootnoteReference"/>
        </w:rPr>
        <w:footnoteReference w:id="8"/>
      </w:r>
      <w:r>
        <w:rPr>
          <w:rFonts w:ascii="Times New Roman" w:cs="David" w:eastAsia="David" w:hAnsi="Times New Roman"/>
          <w:i w:val="false"/>
          <w:iCs w:val="false"/>
          <w:noProof/>
          <w:sz w:val="24"/>
          <w:szCs w:val="24"/>
          <w:rtl/>
          <w:lang w:val="en-US" w:bidi="he-IL"/>
        </w:rPr>
        <w:t xml:space="preserve"> במפתח המוטיבים של תומפסון החמור נקשר בעיקר לפרק </w:t>
      </w:r>
      <w:r>
        <w:rPr>
          <w:rFonts w:ascii="Times New Roman" w:cs="David" w:eastAsia="David" w:hAnsi="Times New Roman"/>
          <w:i w:val="false"/>
          <w:iCs w:val="false"/>
          <w:noProof/>
          <w:sz w:val="24"/>
          <w:szCs w:val="24"/>
          <w:rtl w:val="false"/>
          <w:lang w:val="en-US" w:bidi="he-IL"/>
        </w:rPr>
        <w:t xml:space="preserve">J (</w:t>
      </w:r>
      <w:r>
        <w:rPr>
          <w:rFonts w:ascii="Times New Roman" w:cs="David" w:eastAsia="David" w:hAnsi="Times New Roman"/>
          <w:i w:val="false"/>
          <w:iCs w:val="false"/>
          <w:noProof/>
          <w:sz w:val="24"/>
          <w:szCs w:val="24"/>
          <w:rtl/>
          <w:lang w:val="en-US" w:bidi="he-IL"/>
        </w:rPr>
        <w:t xml:space="preserve">חוכמה וטיפשות): המוטיב </w:t>
      </w:r>
      <w:r>
        <w:rPr>
          <w:rFonts w:ascii="Times New Roman" w:cs="David" w:eastAsia="David" w:hAnsi="Times New Roman"/>
          <w:i w:val="false"/>
          <w:iCs w:val="false"/>
          <w:noProof/>
          <w:sz w:val="24"/>
          <w:szCs w:val="24"/>
          <w:rtl w:val="false"/>
          <w:lang w:val="en-US" w:bidi="he-IL"/>
        </w:rPr>
        <w:t xml:space="preserve">J951.1 "</w:t>
      </w:r>
      <w:r>
        <w:rPr>
          <w:rFonts w:ascii="Times New Roman" w:cs="David" w:eastAsia="David" w:hAnsi="Times New Roman"/>
          <w:i w:val="false"/>
          <w:iCs w:val="false"/>
          <w:noProof/>
          <w:sz w:val="24"/>
          <w:szCs w:val="24"/>
          <w:rtl/>
          <w:lang w:val="en-US" w:bidi="he-IL"/>
        </w:rPr>
        <w:t xml:space="preserve">חמור בעור אריה" והמוטיב </w:t>
      </w:r>
      <w:r>
        <w:rPr>
          <w:rFonts w:ascii="Times New Roman" w:cs="David" w:eastAsia="David" w:hAnsi="Times New Roman"/>
          <w:i w:val="false"/>
          <w:iCs w:val="false"/>
          <w:noProof/>
          <w:sz w:val="24"/>
          <w:szCs w:val="24"/>
          <w:rtl w:val="false"/>
          <w:lang w:val="en-US" w:bidi="he-IL"/>
        </w:rPr>
        <w:t xml:space="preserve">J2413.1 "</w:t>
      </w:r>
      <w:r>
        <w:rPr>
          <w:rFonts w:ascii="Times New Roman" w:cs="David" w:eastAsia="David" w:hAnsi="Times New Roman"/>
          <w:i w:val="false"/>
          <w:iCs w:val="false"/>
          <w:noProof/>
          <w:sz w:val="24"/>
          <w:szCs w:val="24"/>
          <w:rtl/>
          <w:lang w:val="en-US" w:bidi="he-IL"/>
        </w:rPr>
        <w:t xml:space="preserve">חמור מנסה ללטף את אדוניו כמו הכלב". במשל הצרעה פועל מוטיב מפרק אחר, </w:t>
      </w:r>
      <w:r>
        <w:rPr>
          <w:rFonts w:ascii="Times New Roman" w:cs="David" w:eastAsia="David" w:hAnsi="Times New Roman"/>
          <w:i w:val="false"/>
          <w:iCs w:val="false"/>
          <w:noProof/>
          <w:sz w:val="24"/>
          <w:szCs w:val="24"/>
          <w:rtl w:val="false"/>
          <w:lang w:val="en-US" w:bidi="he-IL"/>
        </w:rPr>
        <w:t xml:space="preserve">L315, "</w:t>
      </w:r>
      <w:r>
        <w:rPr>
          <w:rFonts w:ascii="Times New Roman" w:cs="David" w:eastAsia="David" w:hAnsi="Times New Roman"/>
          <w:i w:val="false"/>
          <w:iCs w:val="false"/>
          <w:noProof/>
          <w:sz w:val="24"/>
          <w:szCs w:val="24"/>
          <w:rtl/>
          <w:lang w:val="en-US" w:bidi="he-IL"/>
        </w:rPr>
        <w:t xml:space="preserve">בעל חיים קטן מנצח בעל חיים גדול", ובמשל הציד המשותף מוטיב הציד בשותפות עם האריה, שסופו תמיד רע לשותף החלש.</w:t>
      </w:r>
      <w:r>
        <w:rPr>
          <w:rStyle w:val="FootnoteReference"/>
        </w:rPr>
        <w:footnoteReference w:id="9"/>
      </w:r>
      <w:r>
        <w:rPr>
          <w:rFonts w:ascii="Times New Roman" w:cs="David" w:eastAsia="David" w:hAnsi="Times New Roman"/>
          <w:i w:val="false"/>
          <w:iCs w:val="false"/>
          <w:noProof/>
          <w:sz w:val="24"/>
          <w:szCs w:val="24"/>
          <w:rtl/>
          <w:lang w:val="en-US" w:bidi="he-IL"/>
        </w:rPr>
        <w:t xml:space="preserve"> למשל הצרעה לא מצאתי מקבילה איזופית ישירה, והקרוב אליו ברוחו הוא משל היתוש והאריה (פרי 255), שבו היתוש מנצח את מלך החיות בעקיצות. את מקבילותיו של המשל יש לבדוק ברשימת המקבילות של שורצבוים.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ב"כלילה ודמנה", ספר המשלים ההודי שהגיע לעברית דרך העיבוד הערבי של אבן אלמקפע ותורגם פעמיים בימי הביניים, מופיע החמור בסיפור "האריה, השועל והחמור": השועל מפתה את החמור לבוא אל האריה החולה, החמור נמלט מן הטריפה הראשונה, ובכל זאת נענה לפיתוי שני ונטרף. השועל, שאכל בסתר את לב החמור ואת אוזניו, טוען שלחמור לא היו מעולם לא לב ולא אוזניים, שאם לא כן לא היה חוזר. כאן החמור מייצג פתיות שאינה לומדת מניסיון.</w:t>
      </w:r>
      <w:r>
        <w:rPr>
          <w:rStyle w:val="FootnoteReference"/>
        </w:rPr>
        <w:footnoteReference w:id="10"/>
      </w:r>
      <w:r>
        <w:rPr>
          <w:rFonts w:ascii="Times New Roman" w:cs="David" w:eastAsia="David" w:hAnsi="Times New Roman"/>
          <w:i w:val="false"/>
          <w:iCs w:val="false"/>
          <w:noProof/>
          <w:sz w:val="24"/>
          <w:szCs w:val="24"/>
          <w:rtl/>
          <w:lang w:val="en-US" w:bidi="he-IL"/>
        </w:rPr>
        <w:t xml:space="preserve"> בסיפור המסגרת של "אלף לילה ולילה", עוד לפני ששהרזאד פותחת בסיפוריה, מובא "מעשה השור והחמור": החמור החכם מייעץ לשור להעמיד פני חולה כדי להשתמט מן החרישה, ובעל הבית, שמבין שפת חיות, מטיל את החרישה על החמור עצמו. כאן החמור ערמומי, אבל ערמומיותו מתהפכת עליו.</w:t>
      </w:r>
      <w:r>
        <w:rPr>
          <w:rStyle w:val="FootnoteReference"/>
        </w:rPr>
        <w:footnoteReference w:id="11"/>
      </w:r>
      <w:r>
        <w:rPr>
          <w:rFonts w:ascii="Times New Roman" w:cs="David" w:eastAsia="David" w:hAnsi="Times New Roman"/>
          <w:i w:val="false"/>
          <w:iCs w:val="false"/>
          <w:noProof/>
          <w:sz w:val="24"/>
          <w:szCs w:val="24"/>
          <w:rtl/>
          <w:lang w:val="en-US" w:bidi="he-IL"/>
        </w:rPr>
        <w:t xml:space="preserve"> ב"משל הקדמוני" לרבי יצחק אבן סהולה (1281) לא איתרתי משל שהחמור עומד במרכזו, ולכן החיבור אינו נכלל בקורפוס.</w:t>
      </w:r>
      <w:r>
        <w:rPr>
          <w:rStyle w:val="FootnoteReference"/>
        </w:rPr>
        <w:footnoteReference w:id="12"/>
      </w:r>
      <w:r>
        <w:rPr>
          <w:rFonts w:ascii="Times New Roman" w:cs="David" w:eastAsia="David" w:hAnsi="Times New Roman"/>
          <w:i w:val="false"/>
          <w:iCs w:val="false"/>
          <w:noProof/>
          <w:sz w:val="24"/>
          <w:szCs w:val="24"/>
          <w:rtl/>
          <w:lang w:val="en-US" w:bidi="he-IL"/>
        </w:rPr>
        <w:t xml:space="preserve"> מקבילה ישירה למשל יד יש אצל מארי דה פראנס, בת דורו של ברכיה, במשל "על החמור שרצה לשחק עם אדוניו".</w:t>
      </w:r>
      <w:r>
        <w:rPr>
          <w:rStyle w:val="FootnoteReference"/>
        </w:rPr>
        <w:footnoteReference w:id="13"/>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1.4 החמור במקורות הנוצריים והמוסלמיים ובפולקלור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במסורת הנוצרית החמור נוכח בשלוש תמונות מרכזיות, ושלושתן נשענות על המקרא. הראשונה היא האבוס: הבשורות הקנוניות מספרות רק שישוע הושכב באבוס (לוקס ב, ז), אבל הבשורה החיצונית של פסאודו-מתי מוסיפה שור וחמור שכרעו לפניו, וקושרת זאת במפורש לישעיהו א, ג, "ידע שור קנהו וחמור אבוס בעליו".</w:t>
      </w:r>
      <w:r>
        <w:rPr>
          <w:rStyle w:val="FootnoteReference"/>
        </w:rPr>
        <w:footnoteReference w:id="14"/>
      </w:r>
      <w:r>
        <w:rPr>
          <w:rFonts w:ascii="Times New Roman" w:cs="David" w:eastAsia="David" w:hAnsi="Times New Roman"/>
          <w:i w:val="false"/>
          <w:iCs w:val="false"/>
          <w:noProof/>
          <w:sz w:val="24"/>
          <w:szCs w:val="24"/>
          <w:rtl/>
          <w:lang w:val="en-US" w:bidi="he-IL"/>
        </w:rPr>
        <w:t xml:space="preserve"> הפסוק שברכיה הופך במשל מז הוא אפוא גם הפסוק שעומד מאחורי כל תמונת מולד נוצרית בימי הביניים, וקוראיו של ברכיה בצרפת ובאנגליה ראו את השור והחמור האלה בכנסיות. השנייה היא הכניסה לירושלים על חמור (מתי כא, א-ז), המצוטטת מזכריה ט, ט. השלישית היא אתונו של בלעם, שאיגרת פטרוס השנייה (ב, טז) מביאה כדוגמה לבהמה אילמת שהוכיחה נביא. בספרות הטבע של ימי הביניים החמור מוגדר בעיקר כאיטי וכסיל: איזידורוס מסביליה גוזר את שמו הלטיני, </w:t>
      </w:r>
      <w:r>
        <w:rPr>
          <w:rFonts w:ascii="Times New Roman" w:cs="David" w:eastAsia="David" w:hAnsi="Times New Roman"/>
          <w:i w:val="false"/>
          <w:iCs w:val="false"/>
          <w:noProof/>
          <w:sz w:val="24"/>
          <w:szCs w:val="24"/>
          <w:rtl w:val="false"/>
          <w:lang w:val="en-US" w:bidi="he-IL"/>
        </w:rPr>
        <w:t xml:space="preserve">asinus, </w:t>
      </w:r>
      <w:r>
        <w:rPr>
          <w:rFonts w:ascii="Times New Roman" w:cs="David" w:eastAsia="David" w:hAnsi="Times New Roman"/>
          <w:i w:val="false"/>
          <w:iCs w:val="false"/>
          <w:noProof/>
          <w:sz w:val="24"/>
          <w:szCs w:val="24"/>
          <w:rtl/>
          <w:lang w:val="en-US" w:bidi="he-IL"/>
        </w:rPr>
        <w:t xml:space="preserve">מן הפועל "לשבת", מפני שהוא בהמה איטית שאין בה תבונה,</w:t>
      </w:r>
      <w:r>
        <w:rPr>
          <w:rStyle w:val="FootnoteReference"/>
        </w:rPr>
        <w:footnoteReference w:id="15"/>
      </w:r>
      <w:r>
        <w:rPr>
          <w:rFonts w:ascii="Times New Roman" w:cs="David" w:eastAsia="David" w:hAnsi="Times New Roman"/>
          <w:i w:val="false"/>
          <w:iCs w:val="false"/>
          <w:noProof/>
          <w:sz w:val="24"/>
          <w:szCs w:val="24"/>
          <w:rtl/>
          <w:lang w:val="en-US" w:bidi="he-IL"/>
        </w:rPr>
        <w:t xml:space="preserve"> והבסטיאריום, ספר החיות המוסרי שהיה נפוץ באנגליה במאה השתים עשרה, בדיוק בזמנו ובמקומו של ברכיה, מבחין בין החמור הביתי ובין הפרא ומייחס לשניהם כסילות ותאווה.</w:t>
      </w:r>
      <w:r>
        <w:rPr>
          <w:rStyle w:val="FootnoteReference"/>
        </w:rPr>
        <w:footnoteReference w:id="16"/>
      </w:r>
      <w:r>
        <w:rPr>
          <w:rFonts w:ascii="Times New Roman" w:cs="David" w:eastAsia="David" w:hAnsi="Times New Roman"/>
          <w:i w:val="false"/>
          <w:iCs w:val="false"/>
          <w:noProof/>
          <w:sz w:val="24"/>
          <w:szCs w:val="24"/>
          <w:rtl/>
          <w:lang w:val="en-US" w:bidi="he-IL"/>
        </w:rPr>
        <w:t xml:space="preserve"> ובכנסיות של צפון צרפת נחוג בימי הביניים "חג החמור", טקס עממי שבו הובל חמור אל הכנסייה ונשמעה נעירה במקום "אמן"; החמור היה גם בתרבות הסובבת חיה של צחוק והיפוך סדרים.</w:t>
      </w:r>
      <w:r>
        <w:rPr>
          <w:rStyle w:val="FootnoteReference"/>
        </w:rPr>
        <w:footnoteReference w:id="17"/>
      </w:r>
    </w:p>
    <w:p>
      <w:pPr>
        <w:bidi/>
        <w:spacing w:after="120" w:before="0" w:line="360"/>
        <w:jc w:val="both"/>
      </w:pPr>
      <w:r>
        <w:rPr>
          <w:rFonts w:ascii="Times New Roman" w:cs="David" w:eastAsia="David" w:hAnsi="Times New Roman"/>
          <w:i w:val="false"/>
          <w:iCs w:val="false"/>
          <w:noProof/>
          <w:sz w:val="24"/>
          <w:szCs w:val="24"/>
          <w:rtl/>
          <w:lang w:val="en-US" w:bidi="he-IL"/>
        </w:rPr>
        <w:t xml:space="preserve">בקוראן החמור מופיע בארבעה הקשרים, ושלושה מהם נוגעים ישירות לתכונות שברכיה מפעיל. בסורה 62, פסוק 5, מי שהופקדו על התורה ולא נשאו אותה נמשלים ל"חמור נושא ספרים": ידע שנישא על הגב ואינו נכנס לראש, ממש כמו "לא ידע" של ישעיהו. בסורה 31, פסוק 19, נאמר שהנתעב שבקולות הוא קול החמורים, וזה בדיוק הקול שהחמור במשל סה מתפאר בו. ובסורה 74, פסוקים 50-51, הכופרים הבורחים מן התוכחה נמשלים לחמורי בר נבהלים הנסים מפני אריה, תמונה שהיא כמעט הציד של משל סה.</w:t>
      </w:r>
      <w:r>
        <w:rPr>
          <w:rStyle w:val="FootnoteReference"/>
        </w:rPr>
        <w:footnoteReference w:id="18"/>
      </w:r>
      <w:r>
        <w:rPr>
          <w:rFonts w:ascii="Times New Roman" w:cs="David" w:eastAsia="David" w:hAnsi="Times New Roman"/>
          <w:i w:val="false"/>
          <w:iCs w:val="false"/>
          <w:noProof/>
          <w:sz w:val="24"/>
          <w:szCs w:val="24"/>
          <w:rtl/>
          <w:lang w:val="en-US" w:bidi="he-IL"/>
        </w:rPr>
        <w:t xml:space="preserve"> הדימוי "חמור נושא ספרים" עבר מן הערבית לעברית ורווח בספרות המוסר של ימי הביניים ככינוי למי שלמד ולא הבין.</w:t>
      </w:r>
      <w:r>
        <w:rPr>
          <w:rStyle w:val="FootnoteReference"/>
        </w:rPr>
        <w:footnoteReference w:id="19"/>
      </w:r>
      <w:r>
        <w:rPr>
          <w:rFonts w:ascii="Times New Roman" w:cs="David" w:eastAsia="David" w:hAnsi="Times New Roman"/>
          <w:i w:val="false"/>
          <w:iCs w:val="false"/>
          <w:noProof/>
          <w:sz w:val="24"/>
          <w:szCs w:val="24"/>
          <w:rtl/>
          <w:lang w:val="en-US" w:bidi="he-IL"/>
        </w:rPr>
        <w:t xml:space="preserve"> בספרות העממית הערבית החמור הוא בן לווייתו הקבוע של ג'וחא, הטיפש-חכם, ורבים מן הסיפורים על ג'וחא וחמורו הגיעו גם לפולקלור היהודי במזרח.</w:t>
      </w:r>
      <w:r>
        <w:rPr>
          <w:rStyle w:val="FootnoteReference"/>
        </w:rPr>
        <w:footnoteReference w:id="20"/>
      </w:r>
    </w:p>
    <w:p>
      <w:pPr>
        <w:bidi/>
        <w:spacing w:after="120" w:before="0" w:line="360"/>
        <w:jc w:val="both"/>
      </w:pPr>
      <w:r>
        <w:rPr>
          <w:rFonts w:ascii="Times New Roman" w:cs="David" w:eastAsia="David" w:hAnsi="Times New Roman"/>
          <w:i w:val="false"/>
          <w:iCs w:val="false"/>
          <w:noProof/>
          <w:sz w:val="24"/>
          <w:szCs w:val="24"/>
          <w:rtl/>
          <w:lang w:val="en-US" w:bidi="he-IL"/>
        </w:rPr>
        <w:t xml:space="preserve">בפולקלור האירופי המאוחר יותר החמור שומר על שתי פניו. הוא הכסיל שבפתגמים ובבדיחות, אבל הוא גם הפועל הזקן שנזרק אחרי שנות עבודה, כמו החמור של "נגני העיר ברמן" אצל האחים גרים (טיפוס </w:t>
      </w:r>
      <w:r>
        <w:rPr>
          <w:rFonts w:ascii="Times New Roman" w:cs="David" w:eastAsia="David" w:hAnsi="Times New Roman"/>
          <w:i w:val="false"/>
          <w:iCs w:val="false"/>
          <w:noProof/>
          <w:sz w:val="24"/>
          <w:szCs w:val="24"/>
          <w:rtl w:val="false"/>
          <w:lang w:val="en-US" w:bidi="he-IL"/>
        </w:rPr>
        <w:t xml:space="preserve">ATU 130), </w:t>
      </w:r>
      <w:r>
        <w:rPr>
          <w:rFonts w:ascii="Times New Roman" w:cs="David" w:eastAsia="David" w:hAnsi="Times New Roman"/>
          <w:i w:val="false"/>
          <w:iCs w:val="false"/>
          <w:noProof/>
          <w:sz w:val="24"/>
          <w:szCs w:val="24"/>
          <w:rtl/>
          <w:lang w:val="en-US" w:bidi="he-IL"/>
        </w:rPr>
        <w:t xml:space="preserve">שמנהיג את החיות המשוחררות.</w:t>
      </w:r>
      <w:r>
        <w:rPr>
          <w:rStyle w:val="FootnoteReference"/>
        </w:rPr>
        <w:footnoteReference w:id="21"/>
      </w:r>
      <w:r>
        <w:rPr>
          <w:rFonts w:ascii="Times New Roman" w:cs="David" w:eastAsia="David" w:hAnsi="Times New Roman"/>
          <w:i w:val="false"/>
          <w:iCs w:val="false"/>
          <w:noProof/>
          <w:sz w:val="24"/>
          <w:szCs w:val="24"/>
          <w:rtl/>
          <w:lang w:val="en-US" w:bidi="he-IL"/>
        </w:rPr>
        <w:t xml:space="preserve"> המסורת העממית משמרת אפוא את המתח שנמצא כבר במקרא: החמור הוא בעל החיים הנלעג ביותר ובעל החיים העמל ביותר. ברכיה בוחר בצד הלעג, אבל שלושת המשלים שמסתיימים בעבודה, בעבדות ובאבוס מזכירים גם את הצד השני.</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1.5 קורפוס משלי החמור: סיכום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הטבלה שלהלן מרכזת את משלי החמור שנסקרו, את תוכנם בקצרה ואת התכונה שהחמור מייצג בכל אחד מהם. השורות האחרונות הן ארבעת המשלים של ברכיה שינותחו בפרקים 3 עד 6.</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3472"/>
        <w:gridCol w:w="20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המשל</w:t>
            </w:r>
          </w:p>
        </w:tc>
        <w:tc>
          <w:tcPr>
            <w:tcW w:type="dxa" w:w="19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המקור</w:t>
            </w:r>
          </w:p>
        </w:tc>
        <w:tc>
          <w:tcPr>
            <w:tcW w:type="dxa" w:w="3472"/>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במה עוסק המשל</w:t>
            </w:r>
          </w:p>
        </w:tc>
        <w:tc>
          <w:tcPr>
            <w:tcW w:type="dxa" w:w="20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התכונה שהחמור מייצג</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והכלבלב</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91; </w:t>
            </w:r>
            <w:r>
              <w:rPr>
                <w:rFonts w:ascii="Times New Roman" w:cs="David" w:eastAsia="David" w:hAnsi="Times New Roman"/>
                <w:b w:val="false"/>
                <w:bCs w:val="false"/>
                <w:i w:val="false"/>
                <w:iCs w:val="false"/>
                <w:noProof/>
                <w:sz w:val="20"/>
                <w:szCs w:val="20"/>
                <w:rtl w:val="false"/>
                <w:lang w:val="en-US" w:bidi="he-IL"/>
              </w:rPr>
              <w:t xml:space="preserve">ATU 214</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מקנא בכלב המחמד ומנסה לקפוץ על אדוניו. מוכה.</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קנאה, אי־ידיעת מקומו</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בעור האריה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188; אביאנוס 5; </w:t>
            </w:r>
            <w:r>
              <w:rPr>
                <w:rFonts w:ascii="Times New Roman" w:cs="David" w:eastAsia="David" w:hAnsi="Times New Roman"/>
                <w:b w:val="false"/>
                <w:bCs w:val="false"/>
                <w:i w:val="false"/>
                <w:iCs w:val="false"/>
                <w:noProof/>
                <w:sz w:val="20"/>
                <w:szCs w:val="20"/>
                <w:rtl w:val="false"/>
                <w:lang w:val="en-US" w:bidi="he-IL"/>
              </w:rPr>
              <w:t xml:space="preserve">ATU 214B</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לובש עור אריה ומפחיד את הבריות עד שאוזניו או קולו מסגירים אותו.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התחזות, גאווה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האריה והחמור יוצאים לצוד</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151; פדרוס א, יא</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נוער והחיות נסות אל האריה. כששואל אם קולו יפה, האריה עונה שרק מי שאינו מכירו נבהל ממנו.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התפארות בקול ריק</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נושא פסל האל</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182</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סבור שההשתחוויות לפסל שעל גבו מכוונות אליו.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הערכה עצמית מוטעית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נושא המלח</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180</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לומד שהמלח נמס במים, מנסה זאת עם ספוגים וטובע.</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ערמה חסרת הבנה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האריה, השועל והחמור</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כלילה ודמנה</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מתפתה פעמיים ללכת אל האריה ונטרף. "לא היו לו לב ואוזניים".</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פתיות שאינה לומדת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השור והחמור</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אלף לילה ולילה, סיפור המסגרת</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מייעץ לשור להתחלות, והעבודה מוטלת על החמור.</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ערמומיות שמתהפכת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כלב ואדם (יד)</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מחקה את הכלב, מפיל את אדוניו מכיסאו ומוכה עד אבוסו.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קנאה, שאיפה למעמד שאינו שלו</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בעור ארי (מז)</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מולך על הארץ בעור אריה עד שאדוניו מזהה אותו ומפשיטו.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גאווה, התחזות, שכחת המוצא</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דבורים וצרעה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מזמין את הצרעה לקרב, סותם את נקביו בעצת האריה ונכנע.</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זלזול בקטן, כוח בלי תחבולה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אריה וחמור (סה)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האריה מקרב את החמור לציד. החמור סבור שהוא משנה למלך, מתפאר בקולו, והאריה משיב לו בבוז.</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גאוות הקול, שכחת השפלות</w:t>
            </w:r>
          </w:p>
        </w:tc>
      </w:tr>
    </w:tbl>
    <w:p>
      <w:pPr>
        <w:spacing w:after="120"/>
      </w:pP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2: היוצר, הספר וההקדמה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2.1 רבי ברכיה בן נטרונאי הנקדן</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ברכיה בן נטרונאי הנקדן חי, ככל הנראה, בסוף המאה השתים עשרה ובראשית המאה השלוש עשרה, בין נורמנדי לאנגליה. ג'וזף ג'ייקובס הציע לזהותו עם "בנדיקטוס לה פונקטור" (</w:t>
      </w:r>
      <w:r>
        <w:rPr>
          <w:rFonts w:ascii="Times New Roman" w:cs="David" w:eastAsia="David" w:hAnsi="Times New Roman"/>
          <w:i w:val="false"/>
          <w:iCs w:val="false"/>
          <w:noProof/>
          <w:sz w:val="24"/>
          <w:szCs w:val="24"/>
          <w:rtl w:val="false"/>
          <w:lang w:val="en-US" w:bidi="he-IL"/>
        </w:rPr>
        <w:t xml:space="preserve">Benedictus le Puncteur), </w:t>
      </w:r>
      <w:r>
        <w:rPr>
          <w:rFonts w:ascii="Times New Roman" w:cs="David" w:eastAsia="David" w:hAnsi="Times New Roman"/>
          <w:i w:val="false"/>
          <w:iCs w:val="false"/>
          <w:noProof/>
          <w:sz w:val="24"/>
          <w:szCs w:val="24"/>
          <w:rtl/>
          <w:lang w:val="en-US" w:bidi="he-IL"/>
        </w:rPr>
        <w:t xml:space="preserve">יהודי מאוקספורד הנזכר במסמך אנגלי משנת 1194, והזיהוי מקובל על רוב החוקרים אף שאינו ודאי.</w:t>
      </w:r>
      <w:r>
        <w:rPr>
          <w:rStyle w:val="FootnoteReference"/>
        </w:rPr>
        <w:footnoteReference w:id="22"/>
      </w:r>
      <w:r>
        <w:rPr>
          <w:rFonts w:ascii="Times New Roman" w:cs="David" w:eastAsia="David" w:hAnsi="Times New Roman"/>
          <w:i w:val="false"/>
          <w:iCs w:val="false"/>
          <w:noProof/>
          <w:sz w:val="24"/>
          <w:szCs w:val="24"/>
          <w:rtl/>
          <w:lang w:val="en-US" w:bidi="he-IL"/>
        </w:rPr>
        <w:t xml:space="preserve"> הכינוי "הנקדן" מעיד על עיסוקו בניקוד ובמסורה, כלומר במלאכת הדיוק בטקסט המקראי, וזו עובדה חשובה להבנת סגנונו: אדם שמקצועו הוא הפסוק ניגש אל המשל החייתי מתוך הפסוק. מלבד משלי שועלים חיבר ברכיה את ספר המוסר "ספר המצרף", עיבד לעברית את "שאלות הטבע" של אדלרד מבאת' בשם "דודי ונכדי", ותרגם ספר על סגולות האבנים.</w:t>
      </w:r>
      <w:r>
        <w:rPr>
          <w:rStyle w:val="FootnoteReference"/>
        </w:rPr>
        <w:footnoteReference w:id="23"/>
      </w:r>
      <w:r>
        <w:rPr>
          <w:rFonts w:ascii="Times New Roman" w:cs="David" w:eastAsia="David" w:hAnsi="Times New Roman"/>
          <w:i w:val="false"/>
          <w:iCs w:val="false"/>
          <w:noProof/>
          <w:sz w:val="24"/>
          <w:szCs w:val="24"/>
          <w:rtl/>
          <w:lang w:val="en-US" w:bidi="he-IL"/>
        </w:rPr>
        <w:t xml:space="preserve"> הוא אפוא איש ביניים: בין התרבות הלטינית והצרפתית שסביבו ובין הספרייה העברית שבתוכו. הספרות הלטינית של ימי הביניים הכירה היטב את שירת החיות המדברות, ובמאה השתים עשרה פרחו בצרפת ובאנגליה קובצי משלים בלטינית ובצרפתית עתיקה.</w:t>
      </w:r>
      <w:r>
        <w:rPr>
          <w:rStyle w:val="FootnoteReference"/>
        </w:rPr>
        <w:footnoteReference w:id="24"/>
      </w:r>
      <w:r>
        <w:rPr>
          <w:rFonts w:ascii="Times New Roman" w:cs="David" w:eastAsia="David" w:hAnsi="Times New Roman"/>
          <w:i w:val="false"/>
          <w:iCs w:val="false"/>
          <w:noProof/>
          <w:sz w:val="24"/>
          <w:szCs w:val="24"/>
          <w:rtl/>
          <w:lang w:val="en-US" w:bidi="he-IL"/>
        </w:rPr>
        <w:t xml:space="preserve"> ברכיה כתב בתוך הפריחה הזאת, אך בעברית.</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2.2 הספר: משלי שועלים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"משלי שועלים" הוא קובץ של כמאה ועשרים משלי חיות (119 במהדורת הברמן), שנדפס לראשונה במנטובה בשנת שי"ז (1557) ויצא במהדורה מדעית על ידי אברהם מאיר הברמן בשנת תש"ו. משה הדס תרגמו לאנגלית בשם "משלי איזופוס היהודי", וחיים שורצבוים הקדיש לו מחקר השוואתי מקיף שבו נבדקו המקבילות של כל משל ומשל בפולקלור העולמי.</w:t>
      </w:r>
      <w:r>
        <w:rPr>
          <w:rStyle w:val="FootnoteReference"/>
        </w:rPr>
        <w:footnoteReference w:id="25"/>
      </w:r>
      <w:r>
        <w:rPr>
          <w:rFonts w:ascii="Times New Roman" w:cs="David" w:eastAsia="David" w:hAnsi="Times New Roman"/>
          <w:i w:val="false"/>
          <w:iCs w:val="false"/>
          <w:noProof/>
          <w:sz w:val="24"/>
          <w:szCs w:val="24"/>
          <w:rtl/>
          <w:lang w:val="en-US" w:bidi="he-IL"/>
        </w:rPr>
        <w:t xml:space="preserve"> השם עצמו לקוח מן התלמוד: על רבי מאיר נאמר שהיו לו שלוש מאות משלי שועלים (בבלי סנהדרין לח ע"ב), ועל רבן יוחנן בן זכאי שידע "משלות שועלים" (בבלי סוכה כח ע"א). ברכיה מציב את עצמו במודע כממשיך המסורת הזאת, אף על פי שרוב משליו לקוחים ממקורות לטיניים וצרפתיים: קובצי "רומולוס", שהם העיבודים הלטיניים של פדרוס, משלי אביאנוס, וכנראה גם קובץ המשלים הצרפתי של מארי דה פראנס. שורצבוים הראה שברכיה לא תרגם אלא עיבד: הוא משנה סיומים, מוסיף נמשלים, ומחליף את הצבע האלילי בצבע מקראי.</w:t>
      </w:r>
      <w:r>
        <w:rPr>
          <w:rStyle w:val="FootnoteReference"/>
        </w:rPr>
        <w:footnoteReference w:id="26"/>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המבנה של כל משל קבוע ברובו. הוא נפתח בחרוז מוסרי קצר, שהוא מעין כותרת רעיונית. אחריו בא גוף הסיפור בפרוזה מחורזת. "והמשל" הוא הנמשל, שבו מפרש המחבר את הסיפור על בני אדם. במשלים רבים באה גם חתימה בשיר שקול קצר הפותח ב"ואשא משלי ואומר". שניים מארבעת המשלים הנדונים בעבודה מכילים את כל ארבעת החלקים; במשל הצרעה ובמשל סה אין שיר חותם. הסגנון הוא פרוזה מחורזת שכמעט כל צלע שלה נשענת על שיבוץ, כלומר על שילוב לשון המקרא בתוך משפט חדש, לעיתים תוך שינוי משמעות. דן פגיס תיאר את השיבוץ כאמצעי מרכזי בפואטיקה העברית של ימי הביניים, שבו הקורא המשכיל מזהה את הפסוק ונהנה מן הפער בין ההקשר המקורי ובין ההקשר החדש.</w:t>
      </w:r>
      <w:r>
        <w:rPr>
          <w:rStyle w:val="FootnoteReference"/>
        </w:rPr>
        <w:footnoteReference w:id="27"/>
      </w:r>
      <w:r>
        <w:rPr>
          <w:rFonts w:ascii="Times New Roman" w:cs="David" w:eastAsia="David" w:hAnsi="Times New Roman"/>
          <w:i w:val="false"/>
          <w:iCs w:val="false"/>
          <w:noProof/>
          <w:sz w:val="24"/>
          <w:szCs w:val="24"/>
          <w:rtl/>
          <w:lang w:val="en-US" w:bidi="he-IL"/>
        </w:rPr>
        <w:t xml:space="preserve"> במשלי שועלים הפער הזה הוא לב העניין. כשחמור מדבר בלשונו של רחבעם, הקורא יודע איך זה ייגמר.</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2.3 הקדמת המחבר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ברכיה פותח את ספרו בהקדמה מחורזת שבה הוא מסביר מדוע כתב. בלשון קודרת הוא מתאר דור שבו המשפט נהפך ואיש ישר אין, דור שגלגל המזל מרים בו שפלים ומשפיל גבוהים, ומצהיר שהמשלים נועדו להוכיח את בני דורו בדרך עקיפה, שכן תוכחה ישירה אינה נשמעת.</w:t>
      </w:r>
      <w:r>
        <w:rPr>
          <w:rStyle w:val="FootnoteReference"/>
        </w:rPr>
        <w:footnoteReference w:id="28"/>
      </w:r>
      <w:r>
        <w:rPr>
          <w:rFonts w:ascii="Times New Roman" w:cs="David" w:eastAsia="David" w:hAnsi="Times New Roman"/>
          <w:i w:val="false"/>
          <w:iCs w:val="false"/>
          <w:noProof/>
          <w:sz w:val="24"/>
          <w:szCs w:val="24"/>
          <w:rtl/>
          <w:lang w:val="en-US" w:bidi="he-IL"/>
        </w:rPr>
        <w:t xml:space="preserve"> הוא מודה שהמשלים מצויים בכל לשון, אך טוען שהוא הוסיף עליהם ותיקנם. שתי נקודות בהקדמה חשובות לענייננו. הראשונה היא ההצדקה הדתית של הז'אנר: ברכיה נשען על שלמה, שאף הוא "וידבר על הבהמה ועל העוף" (מלכים א ה, יג), ועל משלי החכמים. השנייה היא הנימה החברתית: הרעה שבדור היא בעיקר גאוותם של מי שעלו לגדולה שלא בזכות. ארבעת משלי החמור שנבחרו לעבודה עוסקים בדיוק בכך, ואפשר לקרוא אותם כיישום של ההקדמה.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2.4 ארבעת המשלים הנבחרים: סקירה ונמשל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"חמור, דבורים וצרעה". צרעה נכנסת לאוזנו של חמור. החמור, שאינו יכול לשאת את הזמזום, קורא לה לצאת ולהילחם בו פנים אל פנים, ונקבע מועד לקרב בין עדת הדבורים לחבורת החמורים. החמור נמלך באריה, והאריה מייעץ לו לסתום ברצועות את כל נקביו. במועד הקרב הצרעות מגלות שכל חור סתום, מתחבאות תחת הבטן ועוקצות שם. החמורים מתחככים בעצים עד שהרצועות ניתקות, הצרעות חודרות לחורים, והחמורים נכנעים: "הננו לכם לעבדים". הנמשל: המתגאה בגובהו ייכשל בידי הקטן בעל התחבולות, ואל יאמר אדם לקטן ממנו "קטני עבה ממתניך". החמור מייצג כאן את הכוח הגס שמזלזל בקטן ממנו.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"חמור בעור ארי" (משל מז). חמור מוצא עור אריה מופשט, לובש אותו ומטיל אימה על החיות, על הרועים ועל עובדי האדמה. הוא מסרב לחזור אל אדוניו ולשאת משא. אדוניו יוצא לחפשו, מזהה אותו על פי קומתו, זנבו ואוזניו, נוזף בו בנאום ארוך, מפשיט ממנו את העור ומעניש אותו במשא כפול. הנמשל: בן בליעל חסר שם שרוח גאווה נכנסה בו, שמכבדים אותו רק בגלל לבושו, ושכבודו יומר בקלון ברגע שיוכר מומו. החמור מייצג התחזות וגאווה של מי ששכח מאין בא.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"חמור, כלב ואדם" (משל יד). כלב קטן חי בבית פקיד, אוכל מפתו ושוכב בחיקו. החמור שבבית מקנא ומחליט לעשות כמוהו: הוא רץ אל אדוניו, מלקק אותו, מחבק אותו ברגליו ונוער עליו עד שהוא מפיל אותו מכיסאו. האדון זועק, וכל בני הבית מכים את החמור ורודפים אותו עד אבוסו. הנמשל: איש גבה לב שרוצה למשול ונופל פתאום. החמור מייצג קנאה ואי־ידיעת מקומו, וברכיה חותם בהזכרת שאול, שיצא לחפש אתונות ומצא מלוכה.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"אריה וחמור" (משל סה). האריה קורא לחמור להראות לו את יקר תפארת גדולתו ולוקח אותו לציד. החמור מתגאה בלבו שהמלך בחר בו וכבר רואה את עצמו משנה למלך. הוא מבטיח להפחיד את הבהמות בקולו, והאריה מחלק ביניהם את התפקידים: החמור ישאג והאריה יטרוף. הנעירה מבריחה את הצאן והבקר, האריה טורף ושובע, ומצווה על החמור להפסיק. ליד הנבלה החמור מתפאר בקולו וברעמתו ומבקש להתמנות לצייד קבוע. האריה משיב: מי שמכיר את מוצאו אינו נבהל מקולו, ובזוי וקשה עורף כמוהו לא יצוד טרף ללביא; עוד יאמרו גוריו איך טרף בצאן ולא שבר את החמור. הנמשל: איש נכבד שמקרב אליו בזוי ונקלה, והבזוי מתגאה ואינו מכיר את שפלותו, ולשונו מדברת גדולות. תשובת החכם לכסיל היא שתיקה. החמור מייצג התפארות בקול ריק ושכחת השפלות.</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3: "חמור, דבורים וצרעה":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המשל נפתח בחרוז המוסרי "אל תהי בז לכל דבר / כי לכל עת וזמן יגבר", ובנוי משלוש תנועות. הראשונה היא המצוקה: צרעה נחבאת באוזנו של החמור, והחמור רועש וגועש, מואס בחייו ונושא נאום. השנייה היא האתגר והעצה: החמור קורא לצרעה לצאת לקרב גלוי, הצרעה נענית בשמחה, נקבע מועד, והחמור הולך להימלך באריה שמייעץ לו לסתום את נקביו. השלישית היא הקרב והכניעה: הצרעות מוצאות את הפרצה, החמורים מנתקים בעצמם את הרצועות שהגנו עליהם, ונכנעים.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שני דברים בולטים במבנה. הראשון הוא ההתנפחות: מה שמתחיל כצרעה אחת באוזן של חמור אחד הופך למלחמה בין שני עמים, "עדת דבורים" מול "חבורת החמורים", עם מועד קבוע ומערכות ערוכות. החמור הוא שמנפח את העניין, וברכיה נותן לניפוח הזה צורה של דיפלומטיה מלחמתית. השני הוא מקומו של האריה. במשלי איזופוס האריה הוא לרוב הכוח הטורף; כאן הוא היועץ, מלך שמייעץ לנתינו. עצתו אינה טיפשית בפני עצמה, אך היא עצה של גדול שאינו מבין את דרכו של הקטן: לסתום את הגוף כולו. הכישלון אינו כישלון של האריה אלא של החמורים, שאינם מסוגלים לעמוד בעצה שקיבלו ומתחככים בעצים עד שהם מפרקים במו גופם את מגננתם.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מלחים שני מקורות. "אל תהי בז לכל דבר" הוא לשונו של בן עזאי במשנה: "אל תהי בז לכל אדם ואל תהי מפליג לכל דבר, שאין לך אדם שאין לו שעה ואין לך דבר שאין לו מקום" (משנה אבות ד, ג). "כי לכל עת וזמן" מהדהד את "לכל זמן ועת לכל חפץ" (קהלת ג, א). המשנה מספקת את המסר, שגם לקטן יש שעה, וקהלת מספק את הצליל. הצרעה היא "הדבר" שיש לו שעה ומקום, ומקומה הוא, כפשוטו, אוזנו של החמור.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נאומו של החמור מורכב מלשונות מלכים. "אין זה כי אם רוח רעה" מזכיר את הרוח הרעה שבעתה את שאול (שמואל א טז, יד-טו), והצרעה באוזן היא אכן מעין רוח רעה שאין להיפטר ממנה. אבל השיבוץ המרכזי הוא "צאי נא והלחם בי / ונתראה פנים אל פנים". זו לשונו של אמציה מלך יהודה, ששלח אל יהואש מלך ישראל: "לכה נתראה פנים" (מלכים ב יד, ח). יהואש השיב לו במשל, משל החוח והארז: החוח שבלבנון ביקש את בת הארז לבנו, ועברה חיית השדה ורמסה את החוח. והוסיף: "הכה הכית את אדום ונשאך לבך, הכבד ושב בביתך ולמה תתגרה ברעה ונפלת" (שם, ט-י). אמציה לא שמע, יצא לקרב והובס. ברכיה שם בפי החמור את מילותיו של המלך שסירב להקשיב למשל, ובכך מכניס לתוך המשל שלו משל מקראי על קטן שהתגרה בגדול ונרמס, אך הפוך: אצל ברכיה הקטן מנצח. הקורא שמזהה את הפסוק יודע שמי שאומר "נתראה פנים" יפסיד.</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"מערכה מול מערכה" לקוח ממלחמת דוד וגלית: "ויערכו ישראל ופלשתים מערכה לקראת מערכה" (שמואל א יז, כא). גם שם קטן ניצח גדול, וגם שם הגדול לעג לקטן. עצת האריה, "איעצך ושמע בקולי", היא עצת יתרו למשה: "עתה שמע בקלי איעצך" (שמות יח, יט). ההשוואה בין האריה ליתרו מגחיכה את האריה, שעצתו, שלא כעצת יתרו, מכשילה. "ואתה תאזר מתניך" הוא ציווי ה' לירמיהו (ירמיהו א, יז), ו"מחצצים" הוא מילה נדירה משירת דבורה (שופטים ה, יא). כל אלה בונים סביב הקרב הנלעג מסגרת של מלחמת קודש.</w:t>
      </w:r>
    </w:p>
    <w:p>
      <w:pPr>
        <w:bidi/>
        <w:spacing w:after="120" w:before="0" w:line="360"/>
        <w:jc w:val="both"/>
      </w:pPr>
      <w:r>
        <w:rPr>
          <w:rFonts w:ascii="Times New Roman" w:cs="David" w:eastAsia="David" w:hAnsi="Times New Roman"/>
          <w:i w:val="false"/>
          <w:iCs w:val="false"/>
          <w:noProof/>
          <w:sz w:val="24"/>
          <w:szCs w:val="24"/>
          <w:rtl/>
          <w:lang w:val="en-US" w:bidi="he-IL"/>
        </w:rPr>
        <w:t xml:space="preserve">שיא השיבוצים נמצא בסיום. "ומתנכלים עליהם להמיתם" הוא לשון אחי יוסף: "ויתנכלו אתו להמיתו" (בראשית לז, יח). "עד אשר נתקו מוסרותם" מהדהד את "ננתקה את מוסרותימו" (תהלים ב, ג), אך בהיפוך: בתהלים הגויים מורדים ומנתקים את מוסרות ה', ואילו כאן החמורים מנתקים את הרצועות שהגנו עליהם ומביאים על עצמם את מפלתם. "ויכנע בעמל לבם" הוא ציטוט מדויק מתהלים קז, יב. "לא נהיה עוד ממרים וסוררים" נשען על "בן סורר ומורה" (דברים כא, יח) ועל "דור סורר ומרה" (תהלים עח, ח). והכניעה עצמה, "הננו לכם לעבדים", היא לשון אחי יוסף כשנפלו לפניו: "הננו לך לעבדים" (בראשית נ, יח). ברכיה משתמש בשני קצותיו של סיפור יוסף: החמורים מתנכלים כמו האחים בראשיתו ונכנעים כמו האחים בסופו. הקורא שמכיר את הסיפור מבין שמי שמתנכל יגיע ל"הננו לעבדים".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שואב את דימוייו מיחזקאל לא, נבואת הארז על אשור: "יען אשר גבהת בקומה ויתן צמרתו אל בין עבותים ורם לבבו בגבהו" (יחזקאל לא, י). "המתגאה בגבהו וברב דליותיו" הוא ארז הלבנון של יחזקאל, וכאן נסגר מעגל עם משל החוח והארז של יהואש. "אל תחטיא בשרך בלשונך" הוא קהלת ה, ה: "אל תתן את פיך לחטיא את בשרך". ואילו "קטני עבה ממתניך" הוא המשפט שיעצו הילדים לרחבעם לומר לעם: "קטני עבה ממתני אבי" (מלכים א יב, י), המשפט שפילג את הממלכה. "כי הרבה נוקשו ונשברו" הוא ישעיהו ח, טו: "וכשלו בם רבים ונפלו ונשברו ונוקשו ונלכדו". הנמשל מציב אפוא את החמור בשורה אחת עם אמציה, עם רחבעם ועם אשור: שלושה שגאוותם הפילה אותם, ושניים מהם נפלו בגלל מילה שאמרו לקטן מהם.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המשל עוסק ברעש, והחרוז שלו מרעיש. "וירעש ויגעש ובקולו נועֵר / הנה והנה הולך וסֹעֵר": ארבעה פעלים של רעש בשתי צלעות, שכולם נשמעים כמו נעירה. הקורא שומע את ההמולה שהחמור שומע. החריזה על סיומות הרבים, "דבורים / חמורים / סודרים / נקיקים / מתחזקים / לוחצים / נפרצים", בונה את ההמון, את הריבוי של הצרעות שנכנסות בכל חור. הצלעות קצרות, ולעיתים קצרות מאוד, "כל חור וחור / פנים ואחור", וקצב הצלעות מחקה את העקיצות.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הדיאלוג מנוגד בכוונה. החמור נושא נאום מפואר ומלא שאלות רטוריות: "היש לך כח ואונים / לצאת ולאסף עדת דבורים". הצרעה עונה בקצרה ובשמחה: "מי יתן והיה ככה". הגדול מרבה מילים והקטן ממעט, והמיעוט מנצח. האריה פותח את עצתו במילה "האזן". זה משחק מילים שברכיה אינו מסביר: החמור, שצרתו כולה באוזן, נדרש להאזין, והוא מאזין דווקא לעצה שתכשילו. הצרעה שבאוזן והעצה שבאוזן הן שני פנים של אותו כישלון בשמיעה.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יש במשל גם קומדיה גופנית גסה. "סתם וסגר ברצועות כל נקביך", "תחת הבטן נתחבאו", "כל חור וחור פנים ואחור": הגוף של החמור מוצג כאוסף של פתחים, והצבא הגדול מובס דרך הפתחים הקטנים. ההגזמה של החמור, שהפך צרעה למלחמה, מקבלת גמול בהגזמה של המספר, שהופך את הגוף לשדה קרב. ומעל הכול שולטת האירוניה של ההבטחה: האריה מבטיח "ומשלת בם ובך לא ימשלו", והמשל מסתיים ב"הננו לכם לעבדים".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של ברכיה כללי: המתגאה בגובהו ייפול בידי הקטן בעל התחבולות, ואל יאמר אדם לקטן ממנו את דברי רחבעם. הסיפור אומר יותר מזה. הוא מוסיף את היועץ החזק שאינו מבין את הקטן; הוא מוסיף את העונש הקיבוצי, שכל החמורים נכנעים בגלל גאוותו של אחד; והוא מוסיף את המוטיב של האוזן ושל ההאזנה, שהנמשל אינו מזכיר כלל. אפשר לומר שהנמשל מתרגם את המשל ללשון החברה, לגדול ולקטן, ואילו המשל עצמו שומר על שכבה נוספת: השכבה של מי שאינו מסוגל להקשיב, ולכן מנפח את הקטן עד שהקטן מנצח אותו באמת.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התכונה שהחמור מייצג כאן אינה טיפשות. החמור אינו טיפש: הוא מארגן, קובע מועד, נמלך במלך, מתכונן. הוא מייצג את הכוח שאין לו תחבולה, את הגוף הגדול שאינו יכול לעמוד בגירוי קטן. הנמשל אומר זאת במפורש כשהוא נותן לקטן את "סבות תחבולותיו" ולגדול רק את "גבהו". גדול בגוף וקטן בתחבולה, זה החמור.</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4: "חמור בעור ארי" (משל מז):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"אם רוח גאוה נשבה בו / רוח חכמה אין בקרבו", מציב את שני המושגים שהמשל ינוע ביניהם: גאווה וחוכמה, כשתי רוחות שאינן שוכנות יחד בגוף אחד. העלילה בנויה בארבע תנועות. הראשונה היא המציאה וההתלבשות: החמור יוצא מבית אדוניו לרעות, מוצא עור אריה, פורש אותו על גופו, ולבו רם. השנייה היא האימה בארץ, וזו התנועה הארוכה ביותר: רועים עוזבים צאן, עובדי אדמה נסים, איש צועק לאחיו, וקול נשמע לאסוף חרב ורומח לצוד את האריה. השלישית היא החיפוש וההכרה: האדון יוצא, מכסה פניו באדרתו, רואה את "האריה" ומזהה בו את חמורו לפי קומתו, זנבו ואוזניו. הרביעית היא הנאום והעונש: האדון נושא נאום תוכחה ארוך, מצווה על החמור להוריד את עדיו, והחמור "לוקח כפליים במריו".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מה שמייחד את המשל של ברכיה לעומת איזופוס ואביאנוס הוא היחס בין הגילוי לעונש. אצל איזופוס החמור נחשף בגלל קולו או אוזניו, ובזה נגמר המשל. אצל ברכיה הגילוי הוא ראשיתו של נאום. יותר מרבע מן המשל הוא דברי האדון אל החמור, ונאום זה הוא הנושא העיקרי של הניתוח.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מיד עם ההתלבשות מופיע שיבוץ שמגדיר את החמור: "וירם לבבו ובגאוה ילך הלוך / מתנשא לאמר: אני אמלוך". זו לשון הכתוב על אדוניה בן חגית: "ואדניה בן חגית מתנשא לאמר אני אמלך" (מלכים א א, ה). אדוניה הוא הבן שלקח לעצמו מלכות שלא ניתנה לו, ואיבד בסוף את חייו. החמור מקבל אפוא, במילה הראשונה שהוא אומר, את זהותו של המתיימר למלכות. מיד אחר כך בא הפסוק שנותן לעבודה את שמה: "וחמור אבוס בעליו / לא ידע". ברכיה חוצה את הפסוק מישעיהו א, ג בשתי צלעות, כך שהחרוז מפריד בין "בעליו" ל"לא ידע", ובאותה חציה הופך את משמעותו: החמור של ישעיהו יודע את אבוס בעליו, והחמור של ברכיה אינו יודע. "עם אדניו הלך בקרי" הוא לשון התוכחה שבויקרא כו, כא, "ואם תלכו עמי קרי", והפסוק הזה מציב מאחורי האדון את הקדוש ברוך הוא. מרד החמור באדוניו נעשה, ברמז, מרד ישראל באלוהיו.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פחד הבריות מתואר במילותיה של מכת הברד. "שלח העז את מקנך / כי את אשר ימצא בשדה לא יחיה" הוא כמעט מילה במילה שמות ט, יט: "שלח העז את מקנך ואת כל אשר לך בשדה, כל האדם והבהמה אשר ימצא בשדה... ומתו". החמור המחופש הוא מכה ממכות מצרים. הקול הנשמע, "עלה אריה מסבכו", הוא ירמיהו ד, ז על נבוכדנאצר, ו"שימו איש חרבו על ירכו" הוא ציווי משה ללוויים אחרי חטא העגל (שמות לב, כז). זה השיבוץ הראשון מבין שלושה מפרשת העגל, והוא אינו מקרי: העם מתאזר נגד חיה כוזבת, כמו הלוויים שהתאזרו נגד עגל הזהב.</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האדון יוצא "וילט באדרתו פניו", כאליהו בחורב לפני ההתגלות (מלכים א יט, יג). ההתגלות שמצפה לו היא שהאריה הוא חמור. יש כאן גם התחפשות שכנגד: האדון מכסה את פניו כדי לחשוף את המחופש. ואז בא הנאום, ובו כמעט כל צלע היא נבואת תוכחה על גאוות מלכים ועמים. "יען גבה לבך" הוא הפתיחה לנבואה על נגיד צור שאמר "אל אני" (יחזקאל כח, ב). "ותתן חתיתך בארץ החיים" לקוח מקינת יחזקאל על הממלכות שירדו לשאול, אשור ועילם ומצרים, "אשר נתנו חתיתם בארץ חיים" (יחזקאל לב, כג-לב). "הלוך הלכת נטוי גרון" מעביר לחמור את גאוותן של בנות ציון, "ותלכנה נטויות גרון" (ישעיהו ג, טז). "זדון לבך השיאך" הוא עובדיה א, ג, על אדום היושב בחגווי הסלע ואומר "מי יורדני ארץ". החמור מוצג אפוא כצור, כאשור, כאדום וכבנות ציון בבת אחת, וההגזמה היא כמובן חלק מן הקומדיה: לשון שנועדה לאימפריות מופנית אל חמור.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הסיום של הנאום חוזר לפרשת העגל. "ועתה הורד את עדיך" הוא שמות לג, ה, "ועתה הורד עדיך מעליך", ו"ויתנצל החמור מעדיו" הוא שם, פסוק ו, "ויתנצלו בני ישראל את עדים מהר חורב". עור האריה הוא "עדי", תכשיט, וההפשטה שלו היא הפשטת ישראל אחרי העגל. "והצגתיך כיום הולדך" הוא הושע ב, ה, שם מאיים ה' על האישה הבוגדת "פן אפשיטנה ערמה והצגתיה כיום הולדה": שוב הפשטה. "ותדע מי אתה ומאין באת" הוא לשון עקביא בן מהללאל, "דע מאין באת ולאן אתה הולך" (משנה אבות ג, א), ובזה מתמצה חטאו של החמור: הוא לא קיים את מצוות עקביא. והעונש, "ויקח מאדניו כפלים במריו", הוא היפוך של פסוק הנחמה "כי לקחה מיד ה' כפלים בכל חטאתיה" (ישעיהו מ, ב). מה שבישעיהו הוא סוף העונש, אצל ברכיה הוא העונש עצמו, ושוב, "מיד ה'" הופך ל"מאדניו".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גם הנמשל בנוי משיבוצים. "בן נבל ובן בלי שם" הוא איוב ל, ח, "בני נבל גם בני בלי שם". "לא נכר בלכתו בחוצות" הוא איכה ד, ח. "ויתן צמרתו אל בין עבותים" ו"ויף בגבהו ואורך דליותיו" הם, פעם נוספת, ארז אשור מיחזקאל לא, ז-י, אותם פסוקים שברכיה השתמש בהם בנמשל של משל הצרעה. הופעת אותה נבואה בשני נמשלים על חמורים מלמדת שיחזקאל לא הוא אצל ברכיה הטקסט הקבוע לגאווה. "כבודו בקלון ימירו" הוא הושע ד, ז: "כבודם בקלון אמיר". בשיר החותם יש משחק מילים אחד: "בן בוז בלבשו בוץ", מי שראוי לבוז לובש בוץ, בד המלכים, ובין בוז לבוץ מפרידה אות אחת.</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האמצעי המרכזי במשל הוא המשלב הנבואי. ברכיה נותן לאדון את קולם של יחזקאל, ישעיהו, הושע ועובדיה, כך שהנאום הוא כמעט פסיפס של תוכחות. האפקט כפול. מצד אחד, החמור מקבל ממדים של אימפריה חוטאת, וזה מגוחך. מצד שני, הגיחוך אינו מבטל את הרצינות: כשהאדון מדבר בלשון הנביאים, המשל מקבל את הסמכות של הנבואה, והמסר על גאווה ונפילה מקבל תוקף שאין למשל איזופי. הפרוזה המחורזת מאפשרת את שני הדברים בבת אחת.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שני הוא הפוליפוניה של הפחד. במקום לומר "וייראו כולם", ברכיה מביא קולות: הרועים, עובדי האדמה, "איש לאחיו צועק", "הקול נשמע", "ואדוניו אומר אל שכניו". כל קול מוסיף עוד עדות לכוחו של העור, וכל קול מכין את הנפילה. האנטי־קליימקס ניתן בחרוז עצמו: "כי חשבוהו לאריה והנה הוא חמור". החרוז "לשמור / חמור" מוריד את האריה לחמור בתוך צלע אחת, וזה הרגע שבו המספר קורץ לקורא, שיודע את האמת מן ההתחלה.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שלישי הוא ההכרה, שהיא רגע דרמטי מובהק. ברכיה בוחר לה סימנים חזותיים, "בקומתו ובזנבו ובאזניו", ולא את הקול, שהוא סימן ההיכר במסורת האיזופית. הבחירה משמעותית: החמור של ברכיה אינו נכשל בגלל טעות רגעית, נעירה שפרצה, אלא בגלל מה שהוא, גופו. אי אפשר להסתיר קומה, זנב ואוזניים. "וכראותו אדוניו השפיל עיניו": החמור מוריד את עיניו, ומכאן ואילך הוא שותק. כל מילותיו של החמור במשל היו "אני אמלוך" ושבועתו, ומול נאום האדון אין לו תשובה.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מעביר את המשל מן היחס שבין חמור לאדונו אל היחס שבין אדם לחברה. הגיבור הוא "בן בלי שם", אדם ממוצא נמוך שאנשים שאינם מכירים אותו מכבדים אותו בגלל "לבוש ומחלצות". העור נעשה בגד, והאדון נעשה הציבור שיכיר בסוף את "מומו ומום אבותיו". הקשר בין השניים הדוק: בשני המקרים הזהות המזויפת נסמכת על כיסוי חיצוני, ובשני המקרים הגילוי הוא גילוי של גוף, של מוצא, של מה שאי אפשר לשנות. אבל המשל מוסיף מה שהנמשל משמיט: את האדון עצמו ואת המשא הכפול. בנמשל העונש הוא חברתי, "כבודו בקלון ימירו", ואילו במשל העונש הוא חזרה לעבודה, וקשה ממנה. הרובד התיאולוגי שיצרו השיבוצים, האדון כאלוהים והחמור כישראל החוטא, נעלם מן הנמשל לגמרי ונשאר רק למי שקרא את הפסוקים.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מתקשר ישירות להקדמת הספר: ברכיה התלונן שם על דור שבו עולים לגדולה מי שאינם ראויים. "בן בלי שם" הוא בדיוק האיש הזה. התכונה שהחמור מייצג במשל היא התחזות, אבל השורש שלה, לפי השיבוצים, הוא אי־ידיעה: "לא ידע" בישעיהו, "ותדע מי אתה ומאין באת" מאבות, ו"לא ידע נשא רגליו וראשו" בשיר החותם. החמור אינו יודע מי הוא, ולכן אינו יודע גם איך ללכת.</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5: "חמור, כלב ואדם" (משל יד):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"הקנאה תביא להתאוות / דבר בלתי יאות", מגדיר את המשל כמשל על קנאה, ומכאן שהתכונה שתידון היא הקנאה ולא הטיפשות. המשל בנוי מארבע תנועות. הראשונה היא האקספוזיציה של הכלב: כלב קטן בבית פקיד, שאוכל מפת אדוניו ושוכב בחיקו. השנייה, והארוכה ביותר, היא המונולוג הפנימי של החמור: "ויאמר החמור בלב". זה המשל היחיד מבין השלושה שבו הקורא נכנס לראשו של החמור ושומע את התכנון כולו, פועל אחר פועל, בלשון עתיד. השלישית היא הביצוע, בלשון עבר, פועל אחר פועל, ובסדר כמעט זהה. הרביעית היא התגובה: זעקת האדון, התקהלות בני הבית, המכות, והרדיפה עד האבוס.</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תיאור הכלב לקוח מן המשל המפורסם ביותר במקרא, משל כבשת הרש של נתן הנביא: "מפתו תאכל ומכסו תשתה ובחיקו תשכב" (שמואל ב יב, ג). ברכיה מקצר: "פתו יאכל חיקו ישכב". השיבוץ עושה שני דברים. הוא מציב את הכלב במקומה של הכבשה האהובה, שהיא כמו בת לבעליה, ובכך מסביר את הקנאה. והוא מזכיר לקורא שמשל נתן היה משל על מי שלקח לעצמו את מה שאינו שלו. החמור, שרוצה את מקום הכלב, הוא במובן זה העשיר שחמד את הכבשה.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המונולוג של החמור עשוי אף הוא מן הפסוקים. "לא נופל אנכי מכלב" הוא לשון איוב אל רעיו: "לא נפל אנכי מכם" (איוב יב, ג; יג, ב). "ואשים עיני אצל עיניו / ואת פני למול פניו" מהדהד את אלישע המחיה את בן השונמית: "וישם פיו על פיו ועיניו על עיניו" (מלכים ב ד, לד). התמונה שהחמור מדמיין, גופו הגדול פרוש על אדוניו, נעשית מגוחכת פי כמה על רקע הפסוק. "מחוט ועד השרוך" הוא שבועת אברהם למלך סדום, "אם מחוט ועד שרוך נעל" (בראשית יד, כג), ו"בזה הדבר אבחן" הוא לשון יוסף לאחיו: "בזאת תבחנו" (בראשית מב, טו). החמור מנסח את ניסויו במילים של הצדיקים הגדולים, וזה חלק מן ההגזמה העצמית שלו.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התגובה בנויה כסצנה של סקילה קהילתית. "ותקהל כל העדה" הוא לשון התקהלות העדה במדבר (במדבר טז, יט; כ, ב). "וזה באבנים יסקל" הוא לשון הסקילה. ובתוך המכות נשמעת הוראה שהיא ציטוט מדויק מדברי ה' לשטן על איוב: "הנו בידך אך את נפשו שמר" (איוב ב, ו). המכים מצווים "הך אך את נפשו שמור": להכות את החמור אבל לא להרגו. גם כאן, כמו במשל מז, השיבוץ מרים את הסצנה הביתית לגובה של דרמה קוסמית, ובו זמנית משפיל אותה: החמור הוא איוב, ובני הבית הם השטן, ברשות. "הלם כל גוו וכרסו" משתמש בפועל "הלם" משירת דבורה, "והלמה סיסרא מחקה ראשו" (שופטים ה, כו). המרדף מסתיים "עד אבוסו", ובמילה זו נזכר שוב ישעיהו א, ג: האבוס הוא מקומו של החמור, ואליו מחזירים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מצטט את תהלים קא, ה, "גבה עינים ורחב לבב אתו לא אוכל", בהיפוך סדר: "רחב עינים וגבה לבב". "איש הולך שובב" הוא ישעיהו נז, יז, ו"פתע פתאם יבא כשל" נשען על "פתע פתאם יבוא שברה" (ישעיהו ל, יג). ואז ברכיה עושה דבר שאינו עושה בשני המשלים האחרים: הוא קורא בשם למקור המוסרי שלו. "ומשל שלמה לא נגרע / כי לא תהיה אחרית לרע", ציטוט ממשלי כד, כ. המשל החייתי מוצג במפורש כאישור למשל שלמה, ובזה ברכיה מקיים את מה שהבטיח בהקדמה: משליו הם המשך למשלי המלך החכם.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השיר החותם עוסק בפסוק אחד ממשלי ובסיפור אחד משמואל. "לפני שבר איש דרכיו מעקש / לפני כבוד שפלות לו למוקש" קורא מחדש את משלי יח, יב: "לפני שבר יגבה לב איש ולפני כבוד ענוה". במקור הענווה קודמת לכבוד; אצל ברכיה "שפלות", כלומר מעמדו הנמוך של האיש, היא מוקש למי שרודף כבוד. השפלות אינה הענווה. החמור שפל במעמדו ואינו עניו ברוחו, וזה בדיוק המוקש. ואז: "נא זכר מי מצא מלוכה ונבא / כאשר שב מן האתונות לבקש". שאול יצא לחפש את אתונות אביו, מלאכה שפלה, ומצא מלוכה ונבואה (שמואל א ט-י). הוא היה "מקטני שבטי ישראל" (שם ט, כא) ולא ביקש דבר. הניגוד לחמור מלא: מי שביקש אתונות מצא מלוכה, ומי שביקש חיק מצא מקל. והאתונות עצמן, כמובן, הן קרובות משפחתו של הגיבור.</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האמצעי המרכזי הוא המונולוג הפנימי והאירוניה הדרמטית הנובעת ממנו. החמור מנמק את תוכניתו נימוק אחר נימוק, והנימוקים הגיוניים בתוך עולמו: אם הכלב זוכה לחיבה כשהוא מלקק ומחבק ונובח, גם החמור יזכה בה. הקורא יודע מה שהחמור אינו יודע, שהחיבה אינה תלויה במעשה אלא במי שעושה אותו, והפער הזה בין ידיעת הקורא לידיעת הגיבור הוא מקור הצחוק. ברכיה מחזק את הפער בטכניקה של הכפלה: התוכנית בלשון עתיד, "ואחבקהו ואנשקהו / ובלשוני אלחכהו", והביצוע בלשון עבר, "וילחכהו סביב אזניו / ויחבקהו בשתי רגליו". הקורא רואה את התוכנית מתגשמת בדיוק, וההצלחה של הביצוע היא הכישלון.</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שני הוא הקומדיה של הגודל. כל מה שהכלב הקטן עושה נהיה אלים כשהחמור עושה אותו. "ובצוארו חבקו כרביד / ומשאו עליו הכביד": החמור, בהמת המשא, נעשה בעצמו משא על אדוניו. זהו ההיפוך המרכזי של המשל, והוא מנוסח בחרוז אחד. גם "עולה ויורד", "מפה אל פה הקיפו", "מכסאו הדפו" מתארים אדם קבור תחת חיה. הכיסא, סמל מעמדו של הפקיד, מתהפך, ובני הבית באים עם רומח, מקל ואבנים כאילו מדובר בפלישה.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שלישי הוא הרקע החברתי המדויק. הכלב חי "בית הפקיד מן הקריה", כלומר בביתו של איש מנהל עירוני, ואינו כלב עבודה אלא כלב מחמד של בעלי אמצעים. החמור הוא הפועל של אותו בית. הקנאה של החמור היא קנאה של מעמד, לא רק של חיבה, וברכיה, שהתלונן בהקדמה על סדרי החברה שנהפכו, רואה בה סכנה.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כאן הפער בין המשל לנמשל גדול משבשני המשלים האחרים. המשל מספר על חמור שרוצה אהבה: לשכב בחיק, להיות מוחבק. הנמשל מדבר על "איש הולך שובב... וישתרר בגאותו... וברצותו להיות מושל". החמור רוצה חיבה, והנמשל מדבר על שלטון. ברכיה קורא את הרצון לחיק כרצון לשררה, מפני שבבית הפקיד מקום החיק הוא מקום של מעמד: מי ששוכב בחיק האדון הוא הקרוב אליו ביותר. ובכל זאת, הקורא מרגיש שהנמשל צר מן המשל. המשל מעורר גם רחמים על החמור, שרצה להיאהב ונרדף באבנים, והנמשל אינו משאיר לרחמים מקום.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הגשר בין השניים הוא הזיכרון של שאול בשיר החותם. שאול מסביר את הנמשל: מלוכה אמיתית באה למי שאינו מבקש אותה, ומי שמבקש אותה בכוח, נופל. וכאן חוזר "המקום" מן החרוז הפותח של משל הצרעה: "אין לך דבר שאין לו מקום". מקומו של החמור הוא האבוס, והמשל מסתיים במילה "אבוסו". התכונה שהחמור מייצג היא קנאה, כפי שהכריז החרוז הפותח, אבל ביסודה שוב עומדת אי־ידיעת המקום: החמור אינו יודע שמה שמותר לכלב אסור לו, לא בגלל מעשיו אלא בגלל מהותו.</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6: "אריה וחמור" (משל סה):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"איש אשר מכיר מקומו / תגלה ערותו ולבו בל עמו", מציב את "המקום" במרכז, ובכך מקשר את המשל למשל הצרעה ולמשל הכלב. בנוסח שנמסר בכיתה החרוז קשה: "מכיר מקומו" ואחריו "תגלה ערותו", ואילו ההיגיון והנמשל, "ולא יכיר את שפלותו", מחייבים שלילה. ייתכן שיש לקרוא "אשר אינו מכיר מקומו", וייתכן שהחרוז אירוני. יש לבדוק את הנוסח במהדורת הברמן.</w:t>
      </w:r>
      <w:r>
        <w:rPr>
          <w:rStyle w:val="FootnoteReference"/>
        </w:rPr>
        <w:footnoteReference w:id="29"/>
      </w:r>
      <w:r>
        <w:rPr>
          <w:rFonts w:ascii="Times New Roman" w:cs="David" w:eastAsia="David" w:hAnsi="Times New Roman"/>
          <w:i w:val="false"/>
          <w:iCs w:val="false"/>
          <w:noProof/>
          <w:sz w:val="24"/>
          <w:szCs w:val="24"/>
          <w:rtl/>
          <w:lang w:val="en-US" w:bidi="he-IL"/>
        </w:rPr>
        <w:t xml:space="preserve"> "ולבו בל עמו" לקוח ממשלי כג, ז, "ולבו בל עמך", על הצר עין שמארח ולבו אינו עם אורחו, ו"תגלה ערותו" מהדהד את ישעיהו מז, ג, "תגל ערותך", על בת בבל שירדה מכיסאה.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העלילה בנויה בחמש תנועות. הראשונה היא ההזמנה והגאווה: האריה קורא לחמור להראות לו את גדולתו, והחמור מפרש את ההזמנה כמינוי, "ועתה יקראו לי משנה למלך". השנייה היא חלוקת התפקידים: החמור מציע את קולו, והאריה מחלק, "אתה תשאג ואני אטרוף". השלישית היא הציד: הנעירה, המנוסה, הטריפה, והפקודה להשתיק. הרביעית היא הבקשה: ליד הנבלה החמור מתפאר בקולו וברעמתו ומבקש קביעות. החמישית היא התשובה: האריה מגדיר את החמור, "בזוי ושפל וקשה ערף", ומסיים באיום מרומז, שגוריו עוד ילעגו לו על שטרף בצאן ולא שבר את החמור. המשל נגמר בדברי האריה, ואין בו שיר חותם. גורל החמור אינו מסופר, אבל המשפט האחרון אומר אותו למי שמכיר את המקור.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לעומת המקור, פדרוס א, יא, ברכיה שינה שני דברים. הוא הוסיף את המונולוג הפנימי של החמור בראשית המשל, שהופך את הגאווה מתגובה רגעית לתכונה, והוא הוסיף לתשובת האריה את הסיום המאיים. אצל פדרוס האריה עונה בהומור, "אילולא ידעתי מי אתה הייתי בורח גם אני"; אצל ברכיה ההומור נשאר, "מקולך לא יענה ומהמונך לא יחת", אבל אחריו בא הבוז ואחריו האיום.</w:t>
      </w:r>
      <w:r>
        <w:rPr>
          <w:rStyle w:val="FootnoteReference"/>
        </w:rPr>
        <w:footnoteReference w:id="30"/>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הפתיחה כולה שאולה ממגילת אסתר. "יקר תפארת גדולתו" הוא מן המשתה של אחשורוש, "את עשר כבוד מלכותו ואת יקר תפארת גדלתו" (אסתר א, ד). ומחשבת החמור, "למי יחפץ המלך לעשות יקר יותר ממני", היא מילה במילה מחשבתו של המן: "ויאמר המן בלבו למי יחפץ המלך לעשות יקר יותר ממני" (אסתר ו, ו). גם "ויתגאה החמור בלבו לאמר" מקביל ל"ויאמר המן בלבו". המן חשב שהכבוד מיועד לו ונאלץ להוליך את מרדכי ברחוב, ומיד אחר כך נתלה. ואילו "משנה למלך" הוא תוארו של מרדכי בסוף המגילה (אסתר י, ג). החמור רואה את עצמו מרדכי, והפסוק שברכיה שם בלבו עושה אותו המן. הקורא יודע מן הרגע הראשון שהמינוי לא יבוא, ומה בא במקומו.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דברי ההתפארות של החמור עשויים מלשונות שנאמרו על האל. "מקולי יחפזון וינוסו מגערתי" הוא תהלים קד, ז, "מן גערתך ינוסון מן קול רעמך יחפזון", על המים שברחו מפני הבורא. "ואוריד לארץ נצחם" הוא ישעיהו סג, ו, מנאום הנקמה של ה' באדום. "ואלה המשפטים אשר תשים לפניהם" הוא שמות כא, א, פתיחת פרשת משפטים, ובפי החמור הפסוק שבו ה' נותן את החוקים למשה נעשה הצעה לאריה לקבוע חוקים לבהמות. "נגביר שפתנו אתנו מי אדון לנו" הוא תהלים יב, ה, מזמור על "לשון מדברת גדלות", ואותו מזמור חוזר בנמשל. "הלוא דברי ייטיבו עם הישר הולך" הוא מיכה ב, ז, מילה במילה. גם תשובת האריה הראשונה נעשית מלשון האל: "אתה תשגיא פעלך" הוא איוב לו, כד, ו"ובקול כמוני תרעם" הוא מן השאלה שה' שואל את איוב מן הסערה: "ואם זרוע כאל לך ובקול כמהו תרעם" (איוב מ, ט). האריה מציע לחמור לרעום בקול כמוהו, במילים שבהן האל לועג לאיוב שאין לו זרוע כאל. ההצעה היא לעג מן הרגע הראשון, והחמור אינו שומע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בשלב הציד מופיע שוב שמות ט. "ורב מהיות קולות" הוא בקשת פרעה ממשה בשעת הברד: "העתירו אל ה' ורב מהית קלת אלהים וברד" (שמות ט, כח). האריה מבקש מן החמור להפסיק את הנעירה במילים שבהן פרעה ביקש להפסיק את הרעמים. זה השימוש השני של ברכיה במכת הברד במשלי החמור, אחרי משל מז, וגם כאן היא משמשת לתאר קול חמור ככוח טבע. "ויהי לחרדת המחנה" הוא שמואל א יד, טו, על המהומה במחנה פלשתים, ו"מגמת פניהם" הוא חבקוק א, ט.</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ההתפארות ליד הנבלה עשויה מתיאור סוס המלחמה בנאום ה' לאיוב: "התלביש צוארו רעמה... הוד נחרו אימה" (איוב לט, יט-כ). החמור אומר "הלא שמעת הוד נחרי / וראית כי רעמה לבוש צוארי". הוא לוקח לעצמו את תיאור הסוס, בעל החיים היחיד שהאל עצמו מתפאר בו, ובאותה מילה, "רעמה", יש גם רעמת האריה וגם הרעם שהאריה הזמין אותו לרעום. "והיה כזה יום מחר" הוא ישעיהו נו, יב, מדברי הסובאים, ו"לא מהם ולא מהמהם" הוא יחזקאל ז, יא. ואילו האריה משיב בפסוק שנאמר על האריה עצמו: "כאשר יהגה האריה והכפיר על טרפו אשר יקרא עליו מלא רעים, מקולם לא יחת ומהמונם לא יענה" (ישעיהו לא, ד). האריה של ישעיהו אינו נבהל מהמון הרועים הצועקים עליו; האריה של ברכיה אינו נבהל מן החמור, ומודיע לו שכך גם כל מי שמכיר את מוצאו. "בזוי" הוא עובדיה א, ב, "בזוי אתה מאד", על אדום, שכבר שימש במשל מז. "קשה ערף" הוא כינויו של ישראל בחטא העגל (שמות לב, ט), ושוב מופיע העגל בשולי משל חמור. "התצוד ללביא טרף" הוא איוב לח, לט, מילה במילה, מן השאלות שה' שואל את איוב: האריה שואל את החמור את מה שהאל שאל את האדם. "בני שכולי" הוא ישעיהו מט, כ, "עוד יאמרו באזניך בני שכליך".</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הסיום כולו נשען על סיפור אחד: איש האלוהים מיהודה, שהאריה הרגו בדרך, "וחמור ואריה עמדים אצל הנבלה", ו"לא אכל האריה את הנבלה ולא שבר את החמור" (מלכים א יג, כד-כח). ברכיה מצטט את התמונה, "והחמור והאריה עומדים אצל הנבלה", ואת הפסוק, "ולא שברת את החמור". בסיפור המקראי הימנעות האריה מן החמור היא נס, אות לכך שהאריה שליח. אצל ברכיה גורי האריה ילעגו לאביהם על אותו נס בדיוק, "איך טרפת בצאן ולא שברת את החמור". הנס הפך לחרפה, ומכאן שהאריה יתקן אותה. סופו של החמור אינו כתוב, אבל הפסוק כותב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מצטט את תהלים יב, ד, "לשון מדברת גדלות", ואת ישעיהו י, יג, "בחכמתי כי נבנותי", מנאום הגאווה של מלך אשור. אשור, שהיה ארז הלבנון בנמשלים של משל הצרעה ומשל מז, הוא כאן הלשון המתפארת. המשפט החותם, "שתיקת הכסיל היא תשובתו", אינו פסוק אלא פתגם חכמה, קרוב למשלי יז, כח, "גם אויל מחריש חכם יחשב", ולפתגמים של ספרות המוסר בימי הביניים.</w:t>
      </w:r>
      <w:r>
        <w:rPr>
          <w:rStyle w:val="FootnoteReference"/>
        </w:rPr>
        <w:footnoteReference w:id="31"/>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המשל עוסק בקול, וכל מה שיש לחמור הוא קולו. האריה מגדיר זאת בחלוקת התפקידים, "אתה תשאג ואני אטרוף", והחלוקה עצמה היא החרוז: שאג מול טרף, אחז מול ערף. הקול נשאר קול, והטרף נשאר של הטורף. ברכיה בונה על כך רשת של מילים משורש שמ"ע: "שמני אל משמעתו", "להשמיע במרום קולך", "המון קולך השמיעם", "אל תשמיע עוד קולך", "הלא שמעת", "שמעני אדוני המלך". החמור רוצה להישמע, ובסוף האריה אומר לו שמי שמכיר אותו "מקולך לא יענה". השמיעה חוזרת כאן בהיפוך: במשל הצרעה החמור לא היה יכול לשמוע, וכאן איש אינו רוצה לשמוע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האמצעי המרכזי הוא הפער בין שני רבדים של דיבור. החמור מדבר בלשון האל, בפסוקים של הבריאה, של הנקמה ושל מתן החוקים, והאריה עונה לו בשאלות שהאל שאל את איוב. ההגזמה של החמור נמדדת בפסוקיו: הוא מייחס לעצמו את "מן גערתך ינוסון" ואת "ואלה המשפטים". תשובת האריה קצרה, ובה שתי הגדרות ושאלה אחת: "בזוי ושפל וקשה ערף / התצוד ללביא טרף". השאלה הרטורית של איוב לח, שבמקור מזכירה לאדם שאינו יכול לצוד לאריה, מזכירה לחמור אותו הדבר. גם כאן, כמו במשל מז, המשלב הנבואי נותן לתשובה תוקף שאין למשל האיזופי.</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שלישי הוא האירוניה של המונולוג הפנימי. החמור מפרש הזמנה כמינוי, "אותי בחר אין זר אתו", ואת ההזמנה לצעוק כהוכחה שהוא נחוץ. הקורא רואה את הפרשנות מתנפחת מן ההזמנה הראשונה ועד "משנה למלך", ורואה בו זמנית את הפסוק של המן שתלוי מעליה. ברכיה אינו מפרש. הוא מניח את "למי יחפץ המלך" ומשאיר לקורא לזכור מה קרה למי שחשב כך.</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שונה משלושת הנמשלים הקודמים בנקודה אחת חשובה: הוא פותח בנכבד ולא בבזוי. "והמשל באיש נכבד אשר יקרב בזוי ונקלה", ורק אחר כך בא הבזוי המתגאה. האחריות מונחת קודם על מי שקירב. במשל זה האריה, שקרא לחמור, שהזמין אותו לרעום, ושבסוף מתבייש בו. הקשר בין המשל לנמשל הדוק: כמו במשל, גם בנמשל הגאווה "תצמח ותגלה" מתוך הקרבה, וכמו במשל, סופה בלשון מדברת גדולות, "כזאת וכזאת עשיתי". החמור אכן אומר "כזאת וכזאת": "ואפחיד הבהמות ואוריד לארץ נצחם".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אבל יש פער אחד בין המשל לנמשל, והוא מעניין. הנמשל מסתיים בהמלצה על שתיקה: "שתיקת הכסיל היא תשובתו". האריה של המשל אינו שותק. הוא עונה, ותשובתו היא בוז ואיום. אפשר לומר שברכיה מציע בנמשל את מה שהאריה היה צריך לעשות, ואפשר לומר שבמשל האריה מגלם את הנכבד שטעה פעמיים: קירב את הבזוי ואחר כך ענה לו. כך או כך, הנמשל מוסיף על המשל שיפוט מוסרי גם על החזק, וזה חידוש לעומת המקור הלטיני, שבו האריה צודק בלבד. התכונה שהחמור מייצג היא גאוות הקול, ההתפארות במה שאינו כלום, ובעומקה שוב אי־ידיעת השפלות: "ולא יכיר את שפלותו", כלשון הנמשל, לעומת "מכיר מקומו" שבחרוז הפותח.</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7: סיכום ומסקנות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שאלה מהי התכונה שהחמור מייצג במשליו של ברכיה הנקדן, וכיצד נבנה הקשר בין המשל לנמשל. לארבעת המשלים ארבעה חרוזים פותחים שונים: זלזול בקטן, גאווה בלי חוכמה, קנאה, אי־הכרת המקום. אבל בארבעתם החמור עושה אותו הדבר: הוא מנסה להיות מה שאינו. שליט שאינו חושש מצרעה, אריה, כלב חיק, משנה למלך. בארבעתם הכישלון בא מן הגוף, מן האוזן שאי אפשר לסתום, מן האוזניים שמציצות מעור האריה, מן הגוף הכבד שנופל על האדון, מן הקול שאינו אלא נעירה. ובארבעתם הסוף הוא חזרה למקום: עבדות, משא כפול, אבוס, ובמשל סה, ברמז, שיני האריה. החמור של ברכיה אינו הכסיל של איזופוס. הוא מי שאינו יודע את מקומו, וברכיה מרחיק לכת ומסביר, דרך השיבוצים, שאי־ידיעת המקום היא חטא: "לא ידע" של ישעיהו, "דע מאין באת" של עקביא.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הקשר בין המשל לנמשל נבנה בשלוש דרכים. הראשונה גלויה: הנמשל מתרגם את סיפור החיות ללשון החברה, לגדול ולקטן, לבן בלי שם ולמכבדיו, לאיש שרוצה למשול. השנייה היא השיבוץ, וזו הדרך העיקרית. הפסוקים שברכיה שם בפי החמור ובפי סובביו מציבים מאחוריו דמויות מקראיות שסופן ידוע: אמציה שאמר "נתראה פנים", רחבעם שאמר "קטני עבה ממתני", אדוניה שאמר "אני אמלך", המן שאמר "למי יחפץ המלך", נגיד צור, אדום, ארז אשור, בנות ציון נטויות הגרון. הקורא המשכיל קורא את הסוף בפסוק לפני שהסיפור מגיע אליו, והנמשל רק מאשר. במובן זה השיבוץ אצל ברכיה הוא אמצעי של הטרמה, לא של קישוט. השלישית היא השיר החותם, שמוסיף על הנמשל דוגמה מקראית מפורשת, שאול ואתונותיו, ובכך קושר את משל החיות למשל שלמה ולסיפור המקראי.</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העלתה גם ממצא שלא צפיתי בתחילתה. במשלים מז, יד ו-סה מסתתר מתחת לנמשל החברתי רובד תיאולוגי: האדון מדבר בלשון הנביאים, החמור "הולך בקרי" ו"לוקח כפליים", בני הבית מכים אותו במילים שנאמרו לשטן על איוב, והאריה שואל אותו את שאלות ה' לאיוב מן הסערה. הנמשל אינו מזכיר דבר מכל זה. ברכיה כותב אפוא בשתי שכבות: שכבה לכל קורא, שבה גאווה נענשת, ושכבה למי שיודע את הפסוקים, שבה מרד באדון הוא מרד בסדר שקבע האדון העליון. אפשר לקשור זאת להקדמת הספר, שבה תלונתו של ברכיה על דורו היא בו זמנית חברתית ודתית.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ממצא נוסף נוגע לאוזן ולשמיעה. בשלושה מן המשלים האוזן של החמור היא מרכז: צרעה נכנסת בה, היא מציצה מעור האריה, והחמור מלקק את אדוניו "סביב אזניו". האריה אומר לחמור "האזן", ובמשל סה החמור רוצה רק "להשמיע" ומתבשר ש"מקולך לא יענה". החמור, שסימנו הגופני הוא האוזן הגדולה, הוא בעל החיים שאינו שומע ושאיש אינו רוצה לשמוע. ישעיהו אמר שהחמור יודע ועמי לא התבונן; ברכיה, שהיה נקדן ואיש של פסוקים, לוקח את החמור היודע של ישעיהו ועושה אותו לעם שאינו מתבונן.</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מבחינת ההשוואה למקורות, המסקנה היא שברכיה שינה את התכונה. החמור האיזופי טיפש; החמור של ברכיה גאה. זה עולה בקנה אחד עם מה שהראה שורצבוים על דרכו של ברכיה להוסיף לכל משל ממד מוסרי, ועם מה שיסיף מתאר כדרכו של המשל העברי לקבע לכל חיה תכונה אחת. אלא שאצל ברכיה התכונה אינה מקובעת אלא מנומקת: החמור גאה מפני שאינו יודע מי הוא. יש להוסיף שהאריה מופיע בשלושה מארבעת המשלים, כיועץ, כעור וכמלך, ובכולם הוא קנה המידה שהחמור נמדד בו ונכשל: הוא אינו יכול לעמוד בעצתו, ללבוש את עורו או לצוד בשבילו. הנמשל של משל סה אף מטיל חלק מן האחריות על האריה עצמו, ובכך ברכיה מרחיק לכת מעבר למקורו הלטיני.</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מוגבלת בכמה מובנים, וכל אחד מהם פותח כיוון להמשך. נותחו ארבעה משלים בלבד, ובמשלי שועלים יש חמורים נוספים. ההשוואה למארי דה פראנס נעשתה על פי תוכן ולא על פי הטקסט הצרפתי, ובדיקה צמודה של הנוסח יכולה להראות מה בדיוק שינה ברכיה. ולבסוף, השימוש החוזר ביחזקאל לא ובנאום אשור בישעיהו י בשלושה נמשלים מעלה שאלה רחבה יותר: האם יש לברכיה "פסוקי בית" קבועים לכל תכונה, שחוזרים לאורך הספר. בדיקה של כלל הנמשלים בספר לפי מקורותיהם המקראיים היא המחקר הבא שהעבודה הזאת מציעה.</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ביבליוגרפיה</w:t>
      </w:r>
    </w:p>
    <w:p>
      <w:pPr>
        <w:keepNext/>
        <w:bidi/>
        <w:spacing w:after="120" w:before="240" w:line="360"/>
        <w:jc w:val="start"/>
      </w:pPr>
      <w:r>
        <w:rPr>
          <w:rFonts w:ascii="Times New Roman" w:cs="David" w:eastAsia="David" w:hAnsi="Times New Roman"/>
          <w:b/>
          <w:bCs/>
          <w:i w:val="false"/>
          <w:iCs w:val="false"/>
          <w:noProof/>
          <w:sz w:val="26"/>
          <w:szCs w:val="26"/>
          <w:rtl/>
          <w:lang w:val="en-US" w:bidi="he-IL"/>
        </w:rPr>
        <w:t xml:space="preserve">מקורות ראשוניים</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איסופוס, </w:t>
      </w:r>
      <w:r>
        <w:rPr>
          <w:rFonts w:ascii="Times New Roman" w:cs="David" w:eastAsia="David" w:hAnsi="Times New Roman"/>
          <w:i/>
          <w:iCs/>
          <w:noProof/>
          <w:sz w:val="24"/>
          <w:szCs w:val="24"/>
          <w:rtl/>
          <w:lang w:val="en-US" w:bidi="he-IL"/>
        </w:rPr>
        <w:t xml:space="preserve">משלי איסופוס</w:t>
      </w:r>
      <w:r>
        <w:rPr>
          <w:rFonts w:ascii="Times New Roman" w:cs="David" w:eastAsia="David" w:hAnsi="Times New Roman"/>
          <w:i w:val="false"/>
          <w:iCs w:val="false"/>
          <w:noProof/>
          <w:sz w:val="24"/>
          <w:szCs w:val="24"/>
          <w:rtl/>
          <w:lang w:val="en-US" w:bidi="he-IL"/>
        </w:rPr>
        <w:t xml:space="preserve">, תרגם שלמה שפאן, ירושלים: מוסד ביאליק, תש"ך.</w:t>
      </w:r>
    </w:p>
    <w:p>
      <w:pPr>
        <w:bidi/>
        <w:spacing w:after="160" w:before="0" w:line="276"/>
        <w:ind w:start="709" w:hanging="709"/>
        <w:jc w:val="both"/>
      </w:pPr>
      <w:r>
        <w:rPr>
          <w:rFonts w:ascii="Times New Roman" w:cs="David" w:eastAsia="David" w:hAnsi="Times New Roman"/>
          <w:i/>
          <w:iCs/>
          <w:noProof/>
          <w:sz w:val="24"/>
          <w:szCs w:val="24"/>
          <w:rtl/>
          <w:lang w:val="en-US" w:bidi="he-IL"/>
        </w:rPr>
        <w:t xml:space="preserve">אלף לילה ולילה</w:t>
      </w:r>
      <w:r>
        <w:rPr>
          <w:rFonts w:ascii="Times New Roman" w:cs="David" w:eastAsia="David" w:hAnsi="Times New Roman"/>
          <w:i w:val="false"/>
          <w:iCs w:val="false"/>
          <w:noProof/>
          <w:sz w:val="24"/>
          <w:szCs w:val="24"/>
          <w:rtl/>
          <w:lang w:val="en-US" w:bidi="he-IL"/>
        </w:rPr>
        <w:t xml:space="preserve">, תרגם מערבית יוסף יואל ריבלין, כרך א, תל אביב: קרית ספר, תש"ז.</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גרים, יעקב ווילהלם, </w:t>
      </w:r>
      <w:r>
        <w:rPr>
          <w:rFonts w:ascii="Times New Roman" w:cs="David" w:eastAsia="David" w:hAnsi="Times New Roman"/>
          <w:i/>
          <w:iCs/>
          <w:noProof/>
          <w:sz w:val="24"/>
          <w:szCs w:val="24"/>
          <w:rtl/>
          <w:lang w:val="en-US" w:bidi="he-IL"/>
        </w:rPr>
        <w:t xml:space="preserve">מעשיות האחים גרים</w:t>
      </w:r>
      <w:r>
        <w:rPr>
          <w:rFonts w:ascii="Times New Roman" w:cs="David" w:eastAsia="David" w:hAnsi="Times New Roman"/>
          <w:i w:val="false"/>
          <w:iCs w:val="false"/>
          <w:noProof/>
          <w:sz w:val="24"/>
          <w:szCs w:val="24"/>
          <w:rtl/>
          <w:lang w:val="en-US" w:bidi="he-IL"/>
        </w:rPr>
        <w:t xml:space="preserve">, תרגם שמעון לוי, תל אביב: ספרית פועלים, 1994.</w:t>
      </w:r>
    </w:p>
    <w:p>
      <w:pPr>
        <w:bidi/>
        <w:spacing w:after="160" w:before="0" w:line="276"/>
        <w:ind w:start="709" w:hanging="709"/>
        <w:jc w:val="both"/>
      </w:pPr>
      <w:r>
        <w:rPr>
          <w:rFonts w:ascii="Times New Roman" w:cs="David" w:eastAsia="David" w:hAnsi="Times New Roman"/>
          <w:i/>
          <w:iCs/>
          <w:noProof/>
          <w:sz w:val="24"/>
          <w:szCs w:val="24"/>
          <w:rtl/>
          <w:lang w:val="en-US" w:bidi="he-IL"/>
        </w:rPr>
        <w:t xml:space="preserve">הקוראן</w:t>
      </w:r>
      <w:r>
        <w:rPr>
          <w:rFonts w:ascii="Times New Roman" w:cs="David" w:eastAsia="David" w:hAnsi="Times New Roman"/>
          <w:i w:val="false"/>
          <w:iCs w:val="false"/>
          <w:noProof/>
          <w:sz w:val="24"/>
          <w:szCs w:val="24"/>
          <w:rtl/>
          <w:lang w:val="en-US" w:bidi="he-IL"/>
        </w:rPr>
        <w:t xml:space="preserve">, תרגם מערבית אורי רובין, תל אביב: אוניברסיטת תל אביב, 2005.</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ברכיה הנקדן, </w:t>
      </w:r>
      <w:r>
        <w:rPr>
          <w:rFonts w:ascii="Times New Roman" w:cs="David" w:eastAsia="David" w:hAnsi="Times New Roman"/>
          <w:i/>
          <w:iCs/>
          <w:noProof/>
          <w:sz w:val="24"/>
          <w:szCs w:val="24"/>
          <w:rtl/>
          <w:lang w:val="en-US" w:bidi="he-IL"/>
        </w:rPr>
        <w:t xml:space="preserve">משלי שועלים</w:t>
      </w:r>
      <w:r>
        <w:rPr>
          <w:rFonts w:ascii="Times New Roman" w:cs="David" w:eastAsia="David" w:hAnsi="Times New Roman"/>
          <w:i w:val="false"/>
          <w:iCs w:val="false"/>
          <w:noProof/>
          <w:sz w:val="24"/>
          <w:szCs w:val="24"/>
          <w:rtl/>
          <w:lang w:val="en-US" w:bidi="he-IL"/>
        </w:rPr>
        <w:t xml:space="preserve">, מהדורת א"מ הברמן, ירושלים ותל אביב: שוקן, תש"ו.</w:t>
      </w:r>
    </w:p>
    <w:p>
      <w:pPr>
        <w:bidi/>
        <w:spacing w:after="160" w:before="0" w:line="276"/>
        <w:ind w:start="709" w:hanging="709"/>
        <w:jc w:val="both"/>
      </w:pPr>
      <w:r>
        <w:rPr>
          <w:rFonts w:ascii="Times New Roman" w:cs="David" w:eastAsia="David" w:hAnsi="Times New Roman"/>
          <w:i/>
          <w:iCs/>
          <w:noProof/>
          <w:sz w:val="24"/>
          <w:szCs w:val="24"/>
          <w:rtl/>
          <w:lang w:val="en-US" w:bidi="he-IL"/>
        </w:rPr>
        <w:t xml:space="preserve">משנה</w:t>
      </w:r>
      <w:r>
        <w:rPr>
          <w:rFonts w:ascii="Times New Roman" w:cs="David" w:eastAsia="David" w:hAnsi="Times New Roman"/>
          <w:i w:val="false"/>
          <w:iCs w:val="false"/>
          <w:noProof/>
          <w:sz w:val="24"/>
          <w:szCs w:val="24"/>
          <w:rtl/>
          <w:lang w:val="en-US" w:bidi="he-IL"/>
        </w:rPr>
        <w:t xml:space="preserve">, ששה סדרי משנה, מהדורת חנוך אלבק, ירושלים ותל אביב: מוסד ביאליק ודביר, תשי"ב-תשי"ט.</w:t>
      </w:r>
    </w:p>
    <w:p>
      <w:pPr>
        <w:bidi/>
        <w:spacing w:after="160" w:before="0" w:line="276"/>
        <w:ind w:start="709" w:hanging="709"/>
        <w:jc w:val="both"/>
      </w:pPr>
      <w:r>
        <w:rPr>
          <w:rFonts w:ascii="Times New Roman" w:cs="David" w:eastAsia="David" w:hAnsi="Times New Roman"/>
          <w:i/>
          <w:iCs/>
          <w:noProof/>
          <w:sz w:val="24"/>
          <w:szCs w:val="24"/>
          <w:rtl/>
          <w:lang w:val="en-US" w:bidi="he-IL"/>
        </w:rPr>
        <w:t xml:space="preserve">פרקי דרבי אליעזר</w:t>
      </w:r>
      <w:r>
        <w:rPr>
          <w:rFonts w:ascii="Times New Roman" w:cs="David" w:eastAsia="David" w:hAnsi="Times New Roman"/>
          <w:i w:val="false"/>
          <w:iCs w:val="false"/>
          <w:noProof/>
          <w:sz w:val="24"/>
          <w:szCs w:val="24"/>
          <w:rtl/>
          <w:lang w:val="en-US" w:bidi="he-IL"/>
        </w:rPr>
        <w:t xml:space="preserve">, ורשה: תרי"ב [דפוס צילום].</w:t>
      </w:r>
    </w:p>
    <w:p>
      <w:pPr>
        <w:bidi/>
        <w:spacing w:after="160" w:before="0" w:line="276"/>
        <w:ind w:start="709" w:hanging="709"/>
        <w:jc w:val="both"/>
      </w:pPr>
      <w:r>
        <w:rPr>
          <w:rFonts w:ascii="Times New Roman" w:cs="David" w:eastAsia="David" w:hAnsi="Times New Roman"/>
          <w:i/>
          <w:iCs/>
          <w:noProof/>
          <w:sz w:val="24"/>
          <w:szCs w:val="24"/>
          <w:rtl/>
          <w:lang w:val="en-US" w:bidi="he-IL"/>
        </w:rPr>
        <w:t xml:space="preserve">תלמוד בבלי</w:t>
      </w:r>
      <w:r>
        <w:rPr>
          <w:rFonts w:ascii="Times New Roman" w:cs="David" w:eastAsia="David" w:hAnsi="Times New Roman"/>
          <w:i w:val="false"/>
          <w:iCs w:val="false"/>
          <w:noProof/>
          <w:sz w:val="24"/>
          <w:szCs w:val="24"/>
          <w:rtl/>
          <w:lang w:val="en-US" w:bidi="he-IL"/>
        </w:rPr>
        <w:t xml:space="preserve">, דפוס וילנא.</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Berechiah ha-Nakdan, </w:t>
      </w:r>
      <w:r>
        <w:rPr>
          <w:rFonts w:ascii="Times New Roman" w:cs="David" w:eastAsia="David" w:hAnsi="Times New Roman"/>
          <w:i/>
          <w:iCs/>
          <w:noProof/>
          <w:sz w:val="24"/>
          <w:szCs w:val="24"/>
          <w:rtl w:val="false"/>
          <w:lang w:val="en-US" w:bidi="he-IL"/>
        </w:rPr>
        <w:t xml:space="preserve">Fables of a Jewish Aesop</w:t>
      </w:r>
      <w:r>
        <w:rPr>
          <w:rFonts w:ascii="Times New Roman" w:cs="David" w:eastAsia="David" w:hAnsi="Times New Roman"/>
          <w:i w:val="false"/>
          <w:iCs w:val="false"/>
          <w:noProof/>
          <w:sz w:val="24"/>
          <w:szCs w:val="24"/>
          <w:rtl w:val="false"/>
          <w:lang w:val="en-US" w:bidi="he-IL"/>
        </w:rPr>
        <w:t xml:space="preserve">, trans. Moses Hadas, New York: Columbia University Press, 1967.</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Barney, Stephen A., W. J. Lewis, J. A. Beach, and Oliver Berghof (trans.), </w:t>
      </w:r>
      <w:r>
        <w:rPr>
          <w:rFonts w:ascii="Times New Roman" w:cs="David" w:eastAsia="David" w:hAnsi="Times New Roman"/>
          <w:i/>
          <w:iCs/>
          <w:noProof/>
          <w:sz w:val="24"/>
          <w:szCs w:val="24"/>
          <w:rtl w:val="false"/>
          <w:lang w:val="en-US" w:bidi="he-IL"/>
        </w:rPr>
        <w:t xml:space="preserve">The Etymologies of Isidore of Seville</w:t>
      </w:r>
      <w:r>
        <w:rPr>
          <w:rFonts w:ascii="Times New Roman" w:cs="David" w:eastAsia="David" w:hAnsi="Times New Roman"/>
          <w:i w:val="false"/>
          <w:iCs w:val="false"/>
          <w:noProof/>
          <w:sz w:val="24"/>
          <w:szCs w:val="24"/>
          <w:rtl w:val="false"/>
          <w:lang w:val="en-US" w:bidi="he-IL"/>
        </w:rPr>
        <w:t xml:space="preserve">, Cambridge: Cambridge University Press, 2006.</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Derenbourg, Joseph (ed.), </w:t>
      </w:r>
      <w:r>
        <w:rPr>
          <w:rFonts w:ascii="Times New Roman" w:cs="David" w:eastAsia="David" w:hAnsi="Times New Roman"/>
          <w:i/>
          <w:iCs/>
          <w:noProof/>
          <w:sz w:val="24"/>
          <w:szCs w:val="24"/>
          <w:rtl w:val="false"/>
          <w:lang w:val="en-US" w:bidi="he-IL"/>
        </w:rPr>
        <w:t xml:space="preserve">Deux versions hébraïques du livre de Kalîlâh et Dimnâh</w:t>
      </w:r>
      <w:r>
        <w:rPr>
          <w:rFonts w:ascii="Times New Roman" w:cs="David" w:eastAsia="David" w:hAnsi="Times New Roman"/>
          <w:i w:val="false"/>
          <w:iCs w:val="false"/>
          <w:noProof/>
          <w:sz w:val="24"/>
          <w:szCs w:val="24"/>
          <w:rtl w:val="false"/>
          <w:lang w:val="en-US" w:bidi="he-IL"/>
        </w:rPr>
        <w:t xml:space="preserve">, Paris: F. Vieweg, 1881.</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Elliott, J. K., </w:t>
      </w:r>
      <w:r>
        <w:rPr>
          <w:rFonts w:ascii="Times New Roman" w:cs="David" w:eastAsia="David" w:hAnsi="Times New Roman"/>
          <w:i/>
          <w:iCs/>
          <w:noProof/>
          <w:sz w:val="24"/>
          <w:szCs w:val="24"/>
          <w:rtl w:val="false"/>
          <w:lang w:val="en-US" w:bidi="he-IL"/>
        </w:rPr>
        <w:t xml:space="preserve">The Apocryphal New Testament</w:t>
      </w:r>
      <w:r>
        <w:rPr>
          <w:rFonts w:ascii="Times New Roman" w:cs="David" w:eastAsia="David" w:hAnsi="Times New Roman"/>
          <w:i w:val="false"/>
          <w:iCs w:val="false"/>
          <w:noProof/>
          <w:sz w:val="24"/>
          <w:szCs w:val="24"/>
          <w:rtl w:val="false"/>
          <w:lang w:val="en-US" w:bidi="he-IL"/>
        </w:rPr>
        <w:t xml:space="preserve">, Oxford: Clarendon Press, 1993.</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Ibn Sahula, Isaac, </w:t>
      </w:r>
      <w:r>
        <w:rPr>
          <w:rFonts w:ascii="Times New Roman" w:cs="David" w:eastAsia="David" w:hAnsi="Times New Roman"/>
          <w:i/>
          <w:iCs/>
          <w:noProof/>
          <w:sz w:val="24"/>
          <w:szCs w:val="24"/>
          <w:rtl w:val="false"/>
          <w:lang w:val="en-US" w:bidi="he-IL"/>
        </w:rPr>
        <w:t xml:space="preserve">Meshal Haqadmoni: Fables from the Distant Past</w:t>
      </w:r>
      <w:r>
        <w:rPr>
          <w:rFonts w:ascii="Times New Roman" w:cs="David" w:eastAsia="David" w:hAnsi="Times New Roman"/>
          <w:i w:val="false"/>
          <w:iCs w:val="false"/>
          <w:noProof/>
          <w:sz w:val="24"/>
          <w:szCs w:val="24"/>
          <w:rtl w:val="false"/>
          <w:lang w:val="en-US" w:bidi="he-IL"/>
        </w:rPr>
        <w:t xml:space="preserve">, ed. and trans. Raphael Loewe, 2 vols., Oxford: Littman Library of Jewish Civilization, 2004.</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Marie de France, </w:t>
      </w:r>
      <w:r>
        <w:rPr>
          <w:rFonts w:ascii="Times New Roman" w:cs="David" w:eastAsia="David" w:hAnsi="Times New Roman"/>
          <w:i/>
          <w:iCs/>
          <w:noProof/>
          <w:sz w:val="24"/>
          <w:szCs w:val="24"/>
          <w:rtl w:val="false"/>
          <w:lang w:val="en-US" w:bidi="he-IL"/>
        </w:rPr>
        <w:t xml:space="preserve">Fables</w:t>
      </w:r>
      <w:r>
        <w:rPr>
          <w:rFonts w:ascii="Times New Roman" w:cs="David" w:eastAsia="David" w:hAnsi="Times New Roman"/>
          <w:i w:val="false"/>
          <w:iCs w:val="false"/>
          <w:noProof/>
          <w:sz w:val="24"/>
          <w:szCs w:val="24"/>
          <w:rtl w:val="false"/>
          <w:lang w:val="en-US" w:bidi="he-IL"/>
        </w:rPr>
        <w:t xml:space="preserve">, ed. and trans. Harriet Spiegel, Toronto: University of Toronto Press, 1987.</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Perry, Ben Edwin, </w:t>
      </w:r>
      <w:r>
        <w:rPr>
          <w:rFonts w:ascii="Times New Roman" w:cs="David" w:eastAsia="David" w:hAnsi="Times New Roman"/>
          <w:i/>
          <w:iCs/>
          <w:noProof/>
          <w:sz w:val="24"/>
          <w:szCs w:val="24"/>
          <w:rtl w:val="false"/>
          <w:lang w:val="en-US" w:bidi="he-IL"/>
        </w:rPr>
        <w:t xml:space="preserve">Aesopica</w:t>
      </w:r>
      <w:r>
        <w:rPr>
          <w:rFonts w:ascii="Times New Roman" w:cs="David" w:eastAsia="David" w:hAnsi="Times New Roman"/>
          <w:i w:val="false"/>
          <w:iCs w:val="false"/>
          <w:noProof/>
          <w:sz w:val="24"/>
          <w:szCs w:val="24"/>
          <w:rtl w:val="false"/>
          <w:lang w:val="en-US" w:bidi="he-IL"/>
        </w:rPr>
        <w:t xml:space="preserve">, vol. 1, Urbana: University of Illinois Press, 1952.</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Perry, Ben Edwin (ed. and trans.), </w:t>
      </w:r>
      <w:r>
        <w:rPr>
          <w:rFonts w:ascii="Times New Roman" w:cs="David" w:eastAsia="David" w:hAnsi="Times New Roman"/>
          <w:i/>
          <w:iCs/>
          <w:noProof/>
          <w:sz w:val="24"/>
          <w:szCs w:val="24"/>
          <w:rtl w:val="false"/>
          <w:lang w:val="en-US" w:bidi="he-IL"/>
        </w:rPr>
        <w:t xml:space="preserve">Babrius and Phaedrus</w:t>
      </w:r>
      <w:r>
        <w:rPr>
          <w:rFonts w:ascii="Times New Roman" w:cs="David" w:eastAsia="David" w:hAnsi="Times New Roman"/>
          <w:i w:val="false"/>
          <w:iCs w:val="false"/>
          <w:noProof/>
          <w:sz w:val="24"/>
          <w:szCs w:val="24"/>
          <w:rtl w:val="false"/>
          <w:lang w:val="en-US" w:bidi="he-IL"/>
        </w:rPr>
        <w:t xml:space="preserve">, Loeb Classical Library, Cambridge, MA: Harvard University Press, 1965.</w:t>
      </w:r>
    </w:p>
    <w:p>
      <w:pPr>
        <w:keepNext/>
        <w:bidi/>
        <w:spacing w:after="120" w:before="240" w:line="360"/>
        <w:jc w:val="start"/>
      </w:pPr>
      <w:r>
        <w:rPr>
          <w:rFonts w:ascii="Times New Roman" w:cs="David" w:eastAsia="David" w:hAnsi="Times New Roman"/>
          <w:b/>
          <w:bCs/>
          <w:i w:val="false"/>
          <w:iCs w:val="false"/>
          <w:noProof/>
          <w:sz w:val="26"/>
          <w:szCs w:val="26"/>
          <w:rtl/>
          <w:lang w:val="en-US" w:bidi="he-IL"/>
        </w:rPr>
        <w:t xml:space="preserve">מחקרים</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יסיף, עלי, </w:t>
      </w:r>
      <w:r>
        <w:rPr>
          <w:rFonts w:ascii="Times New Roman" w:cs="David" w:eastAsia="David" w:hAnsi="Times New Roman"/>
          <w:i/>
          <w:iCs/>
          <w:noProof/>
          <w:sz w:val="24"/>
          <w:szCs w:val="24"/>
          <w:rtl/>
          <w:lang w:val="en-US" w:bidi="he-IL"/>
        </w:rPr>
        <w:t xml:space="preserve">סיפור העם העברי: תולדותיו, סוגיו ומשמעותו</w:t>
      </w:r>
      <w:r>
        <w:rPr>
          <w:rFonts w:ascii="Times New Roman" w:cs="David" w:eastAsia="David" w:hAnsi="Times New Roman"/>
          <w:i w:val="false"/>
          <w:iCs w:val="false"/>
          <w:noProof/>
          <w:sz w:val="24"/>
          <w:szCs w:val="24"/>
          <w:rtl/>
          <w:lang w:val="en-US" w:bidi="he-IL"/>
        </w:rPr>
        <w:t xml:space="preserve">, ירושלים: מוסד ביאליק, תשנ"ד.</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פגיס, דן, </w:t>
      </w:r>
      <w:r>
        <w:rPr>
          <w:rFonts w:ascii="Times New Roman" w:cs="David" w:eastAsia="David" w:hAnsi="Times New Roman"/>
          <w:i/>
          <w:iCs/>
          <w:noProof/>
          <w:sz w:val="24"/>
          <w:szCs w:val="24"/>
          <w:rtl/>
          <w:lang w:val="en-US" w:bidi="he-IL"/>
        </w:rPr>
        <w:t xml:space="preserve">חידוש ומסורת בשירת החול העברית: ספרד ואיטליה</w:t>
      </w:r>
      <w:r>
        <w:rPr>
          <w:rFonts w:ascii="Times New Roman" w:cs="David" w:eastAsia="David" w:hAnsi="Times New Roman"/>
          <w:i w:val="false"/>
          <w:iCs w:val="false"/>
          <w:noProof/>
          <w:sz w:val="24"/>
          <w:szCs w:val="24"/>
          <w:rtl/>
          <w:lang w:val="en-US" w:bidi="he-IL"/>
        </w:rPr>
        <w:t xml:space="preserve">, ירושלים: כתר, 1976.</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פליקס, יהודה, </w:t>
      </w:r>
      <w:r>
        <w:rPr>
          <w:rFonts w:ascii="Times New Roman" w:cs="David" w:eastAsia="David" w:hAnsi="Times New Roman"/>
          <w:i/>
          <w:iCs/>
          <w:noProof/>
          <w:sz w:val="24"/>
          <w:szCs w:val="24"/>
          <w:rtl/>
          <w:lang w:val="en-US" w:bidi="he-IL"/>
        </w:rPr>
        <w:t xml:space="preserve">החי של התנ"ך</w:t>
      </w:r>
      <w:r>
        <w:rPr>
          <w:rFonts w:ascii="Times New Roman" w:cs="David" w:eastAsia="David" w:hAnsi="Times New Roman"/>
          <w:i w:val="false"/>
          <w:iCs w:val="false"/>
          <w:noProof/>
          <w:sz w:val="24"/>
          <w:szCs w:val="24"/>
          <w:rtl/>
          <w:lang w:val="en-US" w:bidi="he-IL"/>
        </w:rPr>
        <w:t xml:space="preserve">, תל אביב: סיני, תשי"ד.</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Chambers, E. K., </w:t>
      </w:r>
      <w:r>
        <w:rPr>
          <w:rFonts w:ascii="Times New Roman" w:cs="David" w:eastAsia="David" w:hAnsi="Times New Roman"/>
          <w:i/>
          <w:iCs/>
          <w:noProof/>
          <w:sz w:val="24"/>
          <w:szCs w:val="24"/>
          <w:rtl w:val="false"/>
          <w:lang w:val="en-US" w:bidi="he-IL"/>
        </w:rPr>
        <w:t xml:space="preserve">The Mediaeval Stage</w:t>
      </w:r>
      <w:r>
        <w:rPr>
          <w:rFonts w:ascii="Times New Roman" w:cs="David" w:eastAsia="David" w:hAnsi="Times New Roman"/>
          <w:i w:val="false"/>
          <w:iCs w:val="false"/>
          <w:noProof/>
          <w:sz w:val="24"/>
          <w:szCs w:val="24"/>
          <w:rtl w:val="false"/>
          <w:lang w:val="en-US" w:bidi="he-IL"/>
        </w:rPr>
        <w:t xml:space="preserve">, 2 vols., Oxford: Clarendon Press, 1903.</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Jacobs, Joseph, </w:t>
      </w:r>
      <w:r>
        <w:rPr>
          <w:rFonts w:ascii="Times New Roman" w:cs="David" w:eastAsia="David" w:hAnsi="Times New Roman"/>
          <w:i/>
          <w:iCs/>
          <w:noProof/>
          <w:sz w:val="24"/>
          <w:szCs w:val="24"/>
          <w:rtl w:val="false"/>
          <w:lang w:val="en-US" w:bidi="he-IL"/>
        </w:rPr>
        <w:t xml:space="preserve">The Fables of Aesop as First Printed by William Caxton in 1484</w:t>
      </w:r>
      <w:r>
        <w:rPr>
          <w:rFonts w:ascii="Times New Roman" w:cs="David" w:eastAsia="David" w:hAnsi="Times New Roman"/>
          <w:i w:val="false"/>
          <w:iCs w:val="false"/>
          <w:noProof/>
          <w:sz w:val="24"/>
          <w:szCs w:val="24"/>
          <w:rtl w:val="false"/>
          <w:lang w:val="en-US" w:bidi="he-IL"/>
        </w:rPr>
        <w:t xml:space="preserve">, vol. 1: </w:t>
      </w:r>
      <w:r>
        <w:rPr>
          <w:rFonts w:ascii="Times New Roman" w:cs="David" w:eastAsia="David" w:hAnsi="Times New Roman"/>
          <w:i/>
          <w:iCs/>
          <w:noProof/>
          <w:sz w:val="24"/>
          <w:szCs w:val="24"/>
          <w:rtl w:val="false"/>
          <w:lang w:val="en-US" w:bidi="he-IL"/>
        </w:rPr>
        <w:t xml:space="preserve">History of the Aesopic Fable</w:t>
      </w:r>
      <w:r>
        <w:rPr>
          <w:rFonts w:ascii="Times New Roman" w:cs="David" w:eastAsia="David" w:hAnsi="Times New Roman"/>
          <w:i w:val="false"/>
          <w:iCs w:val="false"/>
          <w:noProof/>
          <w:sz w:val="24"/>
          <w:szCs w:val="24"/>
          <w:rtl w:val="false"/>
          <w:lang w:val="en-US" w:bidi="he-IL"/>
        </w:rPr>
        <w:t xml:space="preserve">, London: David Nutt, 1889.</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Pellat, Charles, "Djuha," in </w:t>
      </w:r>
      <w:r>
        <w:rPr>
          <w:rFonts w:ascii="Times New Roman" w:cs="David" w:eastAsia="David" w:hAnsi="Times New Roman"/>
          <w:i/>
          <w:iCs/>
          <w:noProof/>
          <w:sz w:val="24"/>
          <w:szCs w:val="24"/>
          <w:rtl w:val="false"/>
          <w:lang w:val="en-US" w:bidi="he-IL"/>
        </w:rPr>
        <w:t xml:space="preserve">The Encyclopaedia of Islam</w:t>
      </w:r>
      <w:r>
        <w:rPr>
          <w:rFonts w:ascii="Times New Roman" w:cs="David" w:eastAsia="David" w:hAnsi="Times New Roman"/>
          <w:i w:val="false"/>
          <w:iCs w:val="false"/>
          <w:noProof/>
          <w:sz w:val="24"/>
          <w:szCs w:val="24"/>
          <w:rtl w:val="false"/>
          <w:lang w:val="en-US" w:bidi="he-IL"/>
        </w:rPr>
        <w:t xml:space="preserve">, 2nd ed., vol. 2, Leiden: Brill, 1965, pp. 590-592.</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Rossel, Stine, Fiona Marshall, Joris Peters, Tom Pilgram, Matthew D. Adams, and David O'Connor, "Domestication of the Donkey: Timing, Processes, and Indicators," </w:t>
      </w:r>
      <w:r>
        <w:rPr>
          <w:rFonts w:ascii="Times New Roman" w:cs="David" w:eastAsia="David" w:hAnsi="Times New Roman"/>
          <w:i/>
          <w:iCs/>
          <w:noProof/>
          <w:sz w:val="24"/>
          <w:szCs w:val="24"/>
          <w:rtl w:val="false"/>
          <w:lang w:val="en-US" w:bidi="he-IL"/>
        </w:rPr>
        <w:t xml:space="preserve">Proceedings of the National Academy of Sciences</w:t>
      </w:r>
      <w:r>
        <w:rPr>
          <w:rFonts w:ascii="Times New Roman" w:cs="David" w:eastAsia="David" w:hAnsi="Times New Roman"/>
          <w:i w:val="false"/>
          <w:iCs w:val="false"/>
          <w:noProof/>
          <w:sz w:val="24"/>
          <w:szCs w:val="24"/>
          <w:rtl w:val="false"/>
          <w:lang w:val="en-US" w:bidi="he-IL"/>
        </w:rPr>
        <w:t xml:space="preserve"> 105, no. 10 (2008): 3715-3720.</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Schwarzbaum, Haim, </w:t>
      </w:r>
      <w:r>
        <w:rPr>
          <w:rFonts w:ascii="Times New Roman" w:cs="David" w:eastAsia="David" w:hAnsi="Times New Roman"/>
          <w:i/>
          <w:iCs/>
          <w:noProof/>
          <w:sz w:val="24"/>
          <w:szCs w:val="24"/>
          <w:rtl w:val="false"/>
          <w:lang w:val="en-US" w:bidi="he-IL"/>
        </w:rPr>
        <w:t xml:space="preserve">The Mishle Shu'alim (Fox Fables) of Rabbi Berechiah ha-Nakdan: A Study in Comparative Folklore and Fable Lore</w:t>
      </w:r>
      <w:r>
        <w:rPr>
          <w:rFonts w:ascii="Times New Roman" w:cs="David" w:eastAsia="David" w:hAnsi="Times New Roman"/>
          <w:i w:val="false"/>
          <w:iCs w:val="false"/>
          <w:noProof/>
          <w:sz w:val="24"/>
          <w:szCs w:val="24"/>
          <w:rtl w:val="false"/>
          <w:lang w:val="en-US" w:bidi="he-IL"/>
        </w:rPr>
        <w:t xml:space="preserve">, Kiron: Institute for Jewish and Arab Folklore Research, 1979.</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Thompson, Stith, </w:t>
      </w:r>
      <w:r>
        <w:rPr>
          <w:rFonts w:ascii="Times New Roman" w:cs="David" w:eastAsia="David" w:hAnsi="Times New Roman"/>
          <w:i/>
          <w:iCs/>
          <w:noProof/>
          <w:sz w:val="24"/>
          <w:szCs w:val="24"/>
          <w:rtl w:val="false"/>
          <w:lang w:val="en-US" w:bidi="he-IL"/>
        </w:rPr>
        <w:t xml:space="preserve">Motif-Index of Folk-Literature</w:t>
      </w:r>
      <w:r>
        <w:rPr>
          <w:rFonts w:ascii="Times New Roman" w:cs="David" w:eastAsia="David" w:hAnsi="Times New Roman"/>
          <w:i w:val="false"/>
          <w:iCs w:val="false"/>
          <w:noProof/>
          <w:sz w:val="24"/>
          <w:szCs w:val="24"/>
          <w:rtl w:val="false"/>
          <w:lang w:val="en-US" w:bidi="he-IL"/>
        </w:rPr>
        <w:t xml:space="preserve">, 6 vols., Bloomington: Indiana University Press, 1955-1958.</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White, T. H. (trans.), </w:t>
      </w:r>
      <w:r>
        <w:rPr>
          <w:rFonts w:ascii="Times New Roman" w:cs="David" w:eastAsia="David" w:hAnsi="Times New Roman"/>
          <w:i/>
          <w:iCs/>
          <w:noProof/>
          <w:sz w:val="24"/>
          <w:szCs w:val="24"/>
          <w:rtl w:val="false"/>
          <w:lang w:val="en-US" w:bidi="he-IL"/>
        </w:rPr>
        <w:t xml:space="preserve">The Book of Beasts: Being a Translation from a Latin Bestiary of the Twelfth Century</w:t>
      </w:r>
      <w:r>
        <w:rPr>
          <w:rFonts w:ascii="Times New Roman" w:cs="David" w:eastAsia="David" w:hAnsi="Times New Roman"/>
          <w:i w:val="false"/>
          <w:iCs w:val="false"/>
          <w:noProof/>
          <w:sz w:val="24"/>
          <w:szCs w:val="24"/>
          <w:rtl w:val="false"/>
          <w:lang w:val="en-US" w:bidi="he-IL"/>
        </w:rPr>
        <w:t xml:space="preserve">, London: Jonathan Cape, 1954.</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Uther, Hans-Jörg, </w:t>
      </w:r>
      <w:r>
        <w:rPr>
          <w:rFonts w:ascii="Times New Roman" w:cs="David" w:eastAsia="David" w:hAnsi="Times New Roman"/>
          <w:i/>
          <w:iCs/>
          <w:noProof/>
          <w:sz w:val="24"/>
          <w:szCs w:val="24"/>
          <w:rtl w:val="false"/>
          <w:lang w:val="en-US" w:bidi="he-IL"/>
        </w:rPr>
        <w:t xml:space="preserve">The Types of International Folktales: A Classification and Bibliography</w:t>
      </w:r>
      <w:r>
        <w:rPr>
          <w:rFonts w:ascii="Times New Roman" w:cs="David" w:eastAsia="David" w:hAnsi="Times New Roman"/>
          <w:i w:val="false"/>
          <w:iCs w:val="false"/>
          <w:noProof/>
          <w:sz w:val="24"/>
          <w:szCs w:val="24"/>
          <w:rtl w:val="false"/>
          <w:lang w:val="en-US" w:bidi="he-IL"/>
        </w:rPr>
        <w:t xml:space="preserve">, FF Communications 284-286, 3 vols., Helsinki: Academia Scientiarum Fennica, 2004.</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Way, Kenneth C., </w:t>
      </w:r>
      <w:r>
        <w:rPr>
          <w:rFonts w:ascii="Times New Roman" w:cs="David" w:eastAsia="David" w:hAnsi="Times New Roman"/>
          <w:i/>
          <w:iCs/>
          <w:noProof/>
          <w:sz w:val="24"/>
          <w:szCs w:val="24"/>
          <w:rtl w:val="false"/>
          <w:lang w:val="en-US" w:bidi="he-IL"/>
        </w:rPr>
        <w:t xml:space="preserve">Donkeys in the Biblical World: Ceremony and Symbol</w:t>
      </w:r>
      <w:r>
        <w:rPr>
          <w:rFonts w:ascii="Times New Roman" w:cs="David" w:eastAsia="David" w:hAnsi="Times New Roman"/>
          <w:i w:val="false"/>
          <w:iCs w:val="false"/>
          <w:noProof/>
          <w:sz w:val="24"/>
          <w:szCs w:val="24"/>
          <w:rtl w:val="false"/>
          <w:lang w:val="en-US" w:bidi="he-IL"/>
        </w:rPr>
        <w:t xml:space="preserve">, Winona Lake: Eisenbrauns, 2011.</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Ziolkowski, Jan M., </w:t>
      </w:r>
      <w:r>
        <w:rPr>
          <w:rFonts w:ascii="Times New Roman" w:cs="David" w:eastAsia="David" w:hAnsi="Times New Roman"/>
          <w:i/>
          <w:iCs/>
          <w:noProof/>
          <w:sz w:val="24"/>
          <w:szCs w:val="24"/>
          <w:rtl w:val="false"/>
          <w:lang w:val="en-US" w:bidi="he-IL"/>
        </w:rPr>
        <w:t xml:space="preserve">Talking Animals: Medieval Latin Beast Poetry, 750-1150</w:t>
      </w:r>
      <w:r>
        <w:rPr>
          <w:rFonts w:ascii="Times New Roman" w:cs="David" w:eastAsia="David" w:hAnsi="Times New Roman"/>
          <w:i w:val="false"/>
          <w:iCs w:val="false"/>
          <w:noProof/>
          <w:sz w:val="24"/>
          <w:szCs w:val="24"/>
          <w:rtl w:val="false"/>
          <w:lang w:val="en-US" w:bidi="he-IL"/>
        </w:rPr>
        <w:t xml:space="preserve">, Philadelphia: University of Pennsylvania Press, 1993.</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נספחים: המשלים הנדונים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א: חמור, דבורים וצרעה</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אַל תְּהִי בָז לְכָל דָּבָר / כִּי לַכֹּל עֵת וּזְמָן יִגְבָּר</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חֲמוֹר רֹעֶה בְאַחַד הֶהָרִים / וְהִנֵּה סְבִיבָיו עֲדַת דְּבוֹרִים / וְהַצִּרְעָה מְרַחֶפֶת לְפָנָיו / עַד אֲשֶׁר נֶחְבֵּאת בְּאַחַת מֵאָזְנָיו / וַיִּרְעַשׁ וַיִּגְעַשׁ וּבְקוֹלוֹ נוֹעֵר / הֵנָּה וָהֵנָּה הוֹלֵךְ וְסֹעֵר / וַיִּמְאַס בְּחַיָּיו וַיָּקָץ / כִּי הָיָה נָשׁוּךְ וְנֶעֱקָץ / וַיֵּצֶר לוֹ וְלִמְאֹד חָלָה / לְקוֹל הַהֲמוּלָה הַגְּדוֹלָה / וַיֹּאמַר: הַיּוֹם רַבּוּ עֹיְנַי / וּמַה הַקּוֹל אֲשֶׁר בְּאָזְנַי / אֵין זֶה כִּי אִם רוּחַ רָעָה / וְאִם אַתְּ בִּגְבוּלִי הַצִּרְעָה / מַה לָּךְ לִטְמֹן בְּחֻבִּי / צְאִי נָא וְהִלָּחֵם בִּי / וְנִתְרָאֶה פָּנִים אֶל פָּנִים / הֲיֵשׁ לָךְ כֹּחַ וְאוֹנִים / לָצֵאת וְלֶאֱסֹף עֲדַת דְּבוֹרִים / לְהִלָּחֵם בַּחֲבוּרַת הַחֲמוֹרִים / וַתַּעַן הַצִּרְעָה / מִי יִתֵּן וְהָיָה כָכָה / מַעֲרָכָה מוּל מַעֲרָכָה / וְנִלָּחֲמָה יַחַד בַּבִּקְעָה / צִרְעָה לַחֲמוֹר וַחֲמוֹר לְצִרְעָה / וְהַנָּצוּח יִבָּדֵל מִן הָעֵדָה / וַיַּעַן הַחֲמוֹר: יוֹם הַמּוֹעֵד נַגִּידָה / אֲשֶׁר נֵצֵא לַמִּלְחָמָה / וַיֻּגַּד הַמּוֹעֵד שָׁמָּה / וַיֵּלֶךְ הַחֲמוֹר לְהִמָּלֵךְ / בָּאֲרִי אֲשֶׁר עַל כֻּלָּם מוֹלֵךְ / וַיַּגֶּד לוֹ אֶת כָּל אֲשֶׁר קָרָהוּ / מִן הַצִּרְעָה אֲשֶׁר בָּאֹזֶן הֱצִיקַתְהוּ / וְהַמּוֹעֵד אֲשֶׁר לוֹ יָעָדָה / וְאֵיךְ לִבּוֹ חוֹנֶה בַחֲרָדָה / פֶּן תִּכָּנֵס שֵׁנִית בָּאֹזֶן / וַיֹּאמֶר לוֹ הָאֲרִי: הַאֲזֵן / אִיעָצְךָ וּשְׁמַע בְּקוֹלִי / וְלֹא יִקְרְךָ פֶּגַע וָחֹלִי / סְתֹם וּסְגֹר בִּרְצוּעוֹת כָּל נְקָבֶיךָ / אָז לֹא יוּכְלוּ לְךָ אֹיְבֶיךָ / וְכִרְאוֹתָם זֶה מִפָּנֶיךָ יִבָּהֲלוּ / וּמָשַׁלְתָּ בָּם וּבְךָ לֹא יִמְשֹׁלוּ / וְשִׁית אֶל הַמִּלְחָמָה פָנֶיךָ / וְאַתָּה תֶּאֱזֹר מָתְנֶיךָ / וַיַּעֲשׂוּ כֵן כָּל הַחֲמוֹרִים / וְלַמּוֹעֵד בָּאוּ מְחַצְצִים וְסֹדְרִים / וְהַצְּרָעִים נִלְחָמִים אִתָּם / וּבִרְאוֹתָם כִּי נִסְתַּם / כָּל חוֹר וָחוֹר / פָּנִים וְאָחוֹר / תַּחַת הַבֶּטֶן נִתְחַבְּאוּ / שָׁם גְּבוּרָתָם הֶרְאוּ / לְהַמְצִיא לַחֲמוֹרִים כִּפְלַיִם צָרוֹת / וְהַחֲמוֹרִים מִתְחַכְּכִים וְחוֹפְפִים עַל הָעֵצִים וְעַל הַצְּרוֹרוֹת / וּמִתְנַכְּלִים עֲלֵיהֶם לַהֲמִיתָם / עַד אֲשֶׁר נִתְּקוּ מוֹסְרוֹתָם / וַיֵּרָאוּ הַחוֹרִים וְהַנְּקִיקִים / וְהַצְּרָעִים לִכָּנֵס בָּם מִתְחַזְּקִים / וְנֹשְׁכִים וְעוֹקְצִים וְלוֹחֲצִים / מִפֶּה אֶל פֶּה נִפְרָצִים / וַיְהִי אָרְבָּם בְּקִרְבָּם / וַיַּכְנַע בֶּעָמָל לִבָּם / וַיֹּאמְרוּ לָהֶם הַחֲמוֹרִים / לֹא נִהְיֶה עוֹד מַמְרִים וְסוֹרֲרִים / הִנְנוּ לָכֶם לַעֲבָדִים / רַק תִּהְיוּ מֵעָלֵינוּ נִפְרָדִים.</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בְּמִתְגָּאֶה בְגָבְהוֹ וּבְרֹב דָּלִיּוֹתָיו / וְהַקָּטָן יִמְשֹׁל בּוֹ בְּסִבּוֹת תַּחְבֻּלוֹתָיו / עַל כֵּן אַל תַּחְטִיא בְשָׂרְךָ בִלְשׁוֹנֶךָ / לֵאמֹר לַקָּטָן: קָטָנִי עָבָה מִמָּתְנֶיךָ / כִּי הַרְבֵּה נוֹקְשׁוּ וְנִשְׁבְּרוּ בְּרֹב גַּאֲוָה / אֵין מִלְחָמָה טוֹבָה רַק מִלְחֶמֶת הַתַּאֲוָה.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ב: משל מז: חמור בעור ארי</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אִם רוּחַ גַּאֲוָה נָשְׁבָה בוֹ / רוּחַ חָכְמָה אֵין בְּקִרְבּוֹ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חֲמוֹר מִבֵּית אֲדֹנָיו הָלַךְ לִרְעוֹת / עַל הֶהָרִים וְעַל הַגְּבָעוֹת / וַיִּמְצָא שָׁם עוֹר אֲרִי מָפְשָׁט / וַיֹּאבֶה לְלָבְשׁוֹ וְיָדָיו פָּשַׁט / לְהַשְׁלִיכוֹ לְפָנָיו וּלְאַחֲרָיו / עַל יָדָיו וְעַל חֶלְקַת צַוָּארָיו / וַיָּרָם לְבָבוֹ וּבְגַאֲוָה יֵלֵךְ הָלֹךְ / מִתְנַשֵּׂא לֵאמֹר: אֲנִי אֶמְלֹךְ / וַיֵּלֶךְ לְהַפְחִיד הַחַיּוֹת / עַל הֶהָרִים וְעַל הַגֵּאָיוֹת / וְכַאֲרִי יִטְרֹף לָהֶם אֹרֵב וְצֹדֶה / הָאָדָם וְהַבְּהֵמָה אֲשֶׁר יִמְצָא בַשָּׂדֶה / מִפַּחְדּוֹ הָרֹעִים צֹאנָם עָזְבוּ לִשְׁמוֹר / כִּי חֲשָׁבוּהוּ לְאַרְיֵה וְהִנֵּה הוּא חֲמוֹר / וְעֹבְדֵי הָאֲדָמָה מִפָּנָיו נָסְעוּ / גַּם הַצֹּאן וְהַבָּקָר אַל יִרְעוּ / וְאִישׁ לְאָחִיו צֹעֵק: שֹׁמֵעַ לִי הִנְּךָ / שְׁלַח הָעֵז אֶת מִקְנְךָ / כִּי אֶת אֲשֶׁר יִמָּצֵא בַשָּׂדֶה לֹא יִחְיֶה / וַיְהִי הַחֲמוֹר לָהֶם לְאַרְיֵה / וּמֵרֹב חֶדְוַת לִבּוֹ אֲשֶׁר חֲשָׁבוּהוּ לַאֲרִי / עִם אֲדֹנָיו הָלַךְ בְּקֶרִי / וַיֹּאמֶר כִּי מַשָּׂא לֹא יַשְׁלִיךְ עוֹד עָלָיו / וַחֲמוֹר אֵבוּס בְּעָלָיו / לֹא יָדַע, וְלֹא יָשׁוּב אֶל בֵּיתוֹ / אָכֵן יִתֵּן פַּחְדָּתוֹ / עַל כָּל הוֹלֵךְ אַרְבַּע / כִּי כֵן בִּגְאוֹנוֹ קָפַץ וְנִשְׁבַּע / וְהַקּוֹל נִשְׁמַע: עָלָה אַרְיֵה מִסֻּבְּכוֹ / שִׂימוּ אִישׁ חַרְבּוֹ עַל יְרֵכוֹ / בִּרְמָחִים וּבַחֲרָמִים לְסָבְבוֹ / אוּלַי נוּכַל נַכֶּה בוֹ / נְצוּדֵהוּ בַיַּעַר אוֹ בַשָּׁרוֹן / לַמֶּלֶךְ נִשְׁלְחֵהוּ דּוֹרוֹן / וַאֲדֹנָיו אוֹמֵר אֶל שְׁכֵנָיו: אָבַדְתִּי חֲמוֹרִי / וְאֵיכָכָה אֲבַקְשֶׁנּוּ פֶּן יִטְרְפֵנִי הָאֲרִי / וַיְהִי הַיּוֹם וַיֵּלֶךְ אֲדֹנָיו / וַיָּלֶט בְּאַדַּרְתּוֹ פָּנָיו / וַיָּבֹא בְּאַחַד הֶהָרִים / וַיַּרְא חֲמוֹרוֹ כַּאֲרִי בְּמִסְתָּרִים / לְהַפְחִיד כָּל רֹאֵי תָאֳרוֹ / וַיִּתְבּוֹנֵן כִּי הוּא חֲמוֹרוֹ / בְּקוֹמָתוֹ וּבִזְנָבוֹ וּבְאָזְנָיו / וְכִרְאוֹתוֹ אֲדֹנָיו הִשְׁפִּיל עֵינָיו / וַיֹּאמֶר לוֹ: יַעַן גָּבַהּ לִבְּךָ / יְהִי אָרְבְּךָ בְּקִרְבְּךָ / כַּאֲשֶׁר גָּבַרְתָּ לִשְׁפֹּךְ דַּם נְקִיִּים / וַתִּתֵּן חִתִּיתְךָ בְּאֶרֶץ הַחַיִּים / הָלֹךְ הָלַכְתָּ נְטוּי גָּרוֹן / חָלַמְתָּ וְתָבִין הַפִּתְרוֹן / זְדוֹן לִבְּךָ הִשִּׂיאֲךָ / לְהִתְנַכֵּר מֵאֲדֹנְךָ וּמִמַּשָּׂאֶךָ / תִּכְבַּד הָעֲבוֹדָה וְעֻלָּךְ / עַל עָפָר תְּהִי מֻשְׁלָךְ / וְלֹא תִרְדֹּף הַצֹּאן כַּאֲשֶׁר הוּא שִׁבְיְךָ / וְעַתָּה הוֹרֵד אֶת עֶדְיְךָ / וְהִצַּגְתִּיךָ כְּיוֹם הִוָּלְדְךָ / וְיַהֲפֹךְ הוֹדְךָ לְאֵידְךָ / וְתֵדַע מִי אַתָּה וּמֵאַיִן בָּאתָ / וְאִם אָבִיךָ מֶלֶךְ עַל הַחַיּוֹת רָאִיתָ / וַיִּתְנַצֵּל הַחֲמוֹר מֵעֶדְיוֹ / וַיִּקַּח מֵאֲדֹנָיו כִּפְלַיִם בְּמֶרְיוֹ.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בְּבֶן־נָבָל וּבֶן־בְּלִי־שֵׁם / אֲשֶׁר יַעֲבֹר עָלָיו רוּחַ וְאָשֵׁם / וְרוּחַ גַּאֲוָה נָשְׁבָה בוֹ / וְכָל רוּחַ חָכְמָה אֵין בְּקִרְבּוֹ / וְעַם אֲשֶׁר לֹא יְדָעוּהוּ יַעַבְדוּהוּ / וּבְלֶכְתּוֹ וּבְשִׁבְתּוֹ יְכַבְּדוּהוּ / כִּי לֹא נִכָּר בְּלֶכְתּוֹ בַּחוּצוֹת / כִּי אִם בִּלְבוּשׁ וּמַחֲלָצוֹת / וְיִתְגָּאֶה עֲלֵיהֶם וְיֹאמַר: לַעֲבָדִים מְצָאתִים / וְיִתֵּן צַמַּרְתּוֹ אֶל בֵּין עֲבוֹתִים / וְיֵלֶךְ נְטוּי גָּרוֹן וְלֹא יִזְכֹּר מִי אֲבוֹתָיו / וַיִּיף בְּגָבְהוֹ וְאֹרֶךְ דָּלִיּוֹתָיו / וְאַחֲרֵי אֲשֶׁר מוּמוֹ וּמוּם אֲבוֹתָיו יַכִּירוּ / כְּבוֹדוֹ בְּקָלוֹן יָמִירוּ.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וָאֶשָּׂא מְשָׁלִי וָאֹמַר: חֲמוֹר עוֹר הָאֲרִי מָצָא, לְבָשׁוֹ / וְהִפְחִיד דֹּב וְנָמֵר עֵת פְּגָשׁוֹ / וְכֵן בֶּן־בּוּז בְּלָבְשׁוֹ בּוּץ וְגָאָה / וְלֹא יָדַע נְשֹׂא רַגְלָיו וְרֹאשׁוֹ.</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ג: משל יד: חמור, כלב ואדם</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הַקִּנְאָה תָבִיא לְהִתְאַוּוֹת / דָּבָר בִּלְתִּי יֵאוֹת</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כֶּלֶב קָטָן הָיָה / בֵּית הַפָּקִיד מִן הַקִּרְיָה / פִּתּוֹ יֹאכַל חֵיקוֹ יִשְׁכַּב / עִמּוֹ יֵלֵךְ הָעֵת יִרְכָּב / וּבַבַּיִת חֲמוֹר אֹרֵב / כִּי הָאָדוֹן הַכֶּלֶב יְקָרֵב / וְכִי יְשַׂחֵק בּוֹ לִרְגָעִים / כַּאֲשֶׁר הָיוּ שְׁנֵי רֵעִים / וַיֹּאמֶר הַחֲמוֹר בַּלֵּב / לֹא נוֹפֵל אָנֹכִי מִכֶּלֶב / אֵלֵךְ גַּם אֲנִי אֶל אֲדֹנִי / אוּלַי כַּכֶּלֶב יְקָרְבֵנִי / וַאֲחַבְּקֵהוּ וַאֲנַשְׁקֵהוּ / וּבִלְשׁוֹנִי אֲלַחֲכֵהוּ / וְאָשִׂים עֵינַי אֵצֶל עֵינָיו / וְאֶת פָּנַי לְמוּל פָּנָיו / וְאֶתְחַבֵּר אִתּוֹ / לְעֻמַּת מַחְבַּרְתּוֹ / וְכָל מַלְבּוּשָׁיו אֶגְאַל וְאֶדְרֹךְ / מֵחוּט וְעַד הַשְּׂרוֹךְ / וְלִמְצֹא חֵן עָלָיו אֶזְעַק / כַּאֲשֶׁר הַכֶּלֶב חָרַץ וְצָעַק / בְּזֶה הַדָּבָר אֶבָּחֵן / אִם אֲנִי כַכֶּלֶב אֶמְצָא חֵן / וְכַאֲשֶׁר בָּא אֲדֹנָיו הַבַּיְתָה / הַחֲמוֹר הִשְׁלִים לִבּוֹ עָלְתָה / וַיָרָץ מַהֵר אֵצֶל אֲדֹנָיו / וַיְלַחֲכֵהוּ סְבִיב אָזְנָיו / וַיְחַבְּקֵהוּ בִּשְׁתֵּי רַגְלָיו / וַיָּרֶם קוֹלוֹ עָלָיו / וְרֹאשׁוֹ אֶל רֹאשׁוֹ נִצְמָד / כַּאֲשֶׁר מִן הַכֶּלֶב לָמָד / הָאָדוֹן יָרֵא וְחָרֵד / כִּי הַחֲמוֹר בּוֹ עוֹלֶה וְיוֹרֵד / וּמִפֶּה אֶל פֶּה הִקִּיפוֹ / עַד כִּי מִכִּסְאוֹ הֲדָפוֹ / וּבְצַוָּארוֹ חִבְּקוֹ כִּרְבִיד / וּמַשָּׂאוֹ עָלָיו הִכְבִּיד / וַיֹּאמֶר הָאָדוֹן: מִי אִתִּי אֵלַי / הוֹצִיאוּ אֶת הַחֲמוֹר מֵעָלָי / כִּי גָדְלָה לוֹ הַחֲרָדָה / וַתִּקָּהֵל כָּל הָעֵדָה / זֶה בְּרֹמַח וְזֶה בְמַקֵּל / וְזֶה בַאֲבָנִים יְסַקֵּל / זֶה בְּשֵׁבֶט מַכֶּה הַחֲמוֹר / זֶה אוֹמֵר הַךְ אַךְ אֶת נַפְשׁוֹ שְׁמֹר / וַיִּרְדְּפוּ הַחֲמוֹר עַד אֲבוּסוֹ / הָלֹם כָּל גֵּווֹ וּכְרֵסוֹ.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לְאִישׁ הוֹלֵךְ שׁוֹבָב / רְחַב עֵינַיִם וּגְבַהּ לֵבָב / וְיִשְׂתָּרֵר בְּגַאֲוָתוֹ / כִּי לֹא יִתָּכֵן לְאִישׁ כְּמוֹתוֹ / וּבִרְצוֹתוֹ לִהְיוֹת מוֹשֵׁל / פֶּתַע פִּתְאֹם יָבֹא כֹּשֶׁל / וְיֶהֶדֳפֶנּוּ מִמַּצָּבוֹ / וְאֵין אִישׁ מַאֲזִין אֶל נִיבוֹ / וּמְשַׁל שְׁלֹמֹה לֹא נִגְרָע / כִּי לֹא תִהְיֶה אַחֲרִית לָרָע.</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וָאֶשָּׂא מְשָׁלִי וָאֹמַר: לִפְנֵי שֵׁבֶר אִישׁ דְּרָכָיו מְעַקֵּשׁ / לִפְנֵי כָבוֹד שִׁפְלוּת לוֹ לְמוֹקֵשׁ / נָא זְכֹר מִי מָצָא מְלוּכָה וְנִבָּא / כַּאֲשֶׁר שָׁב מִן הָאֲתוֹנוֹת לְבַקֵּשׁ.</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ד: משל סה: אריה וחמור</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אִישׁ אֲשֶׁר מַכִּיר מְקוֹמוֹ / תִּגָּלֶה עֶרְוָתוֹ וְלִבּוֹ בַּל עִמּוֹ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אַרְיֵה קָרָא לַחֲמוֹר לְהַרְאוֹתוֹ / אֶת יְקָר תִּפְאֶרֶת גְּדֻלָּתוֹ / וַיִּתְגָּאֶה הַחֲמוֹר בְּלִבּוֹ לֵאמֹר: מִי כָמוֹנִי / לְמִי יַחְפֹּץ הַמֶּלֶךְ לַעֲשׂוֹת יְקָר יוֹתֵר מִמֶּנִּי / בַּאֲשֶׁר אֲנִי לַחֲבוּרָתוֹ הוֹלֵךְ / וְעַתָּה יִקְרְאוּ לִי מִשְׁנֶה לַמֶּלֶךְ / כִּי שָׂמָנִי אֶל מִשְׁמַעְתּוֹ / אֹתִי בָחַר אֵין זָר אִתּוֹ / וַיֹּאמֶר לָאַרְיֵה: הִנֵּה עַל הַבְּהֵמוֹת אֶתֵּן חִתִּיתִי / מִקּוֹלִי יֵחָפְזוּן וְיָנוּסוּ מִגַּעֲרָתִי / וַיַּעַן הָאֲרִי: אַתָּה תַשְׂגִּיא פָעֳלֶךָ / לְהַשְׁמִיעַ בַּמָּרוֹם קוֹלֶךָ / וְנֵצֵא לִשְׁלֹל שָׁלָל רָב / וּפָנֶיךָ הֹלְכִים בַּקְּרָב / אַתָּה תִשְׁאַג וַאֲנִי אֶטְרֹף / תֹּאחֵז טֶרֶף וַאֲנִי אֶעֱרֹף / וַיֵּצְאוּ הַשָּׂדֶה וַיִּמְצְאוּ צֹאן וּבָקָר זְכָרִים / וַיָּשִׂימוּ מְגַמַּת פְּנֵיהֶם לִטְרֹף וּלְהַחֲרִים / וַיֹּאמֶר הָאֲרִי: הֲמוֹן קוֹלְךָ הַשְׁמִיעֵם / וּבְקוֹל כָּמוֹנִי תַּרְעֵם / וְהִנֵּה בְּקוֹלוֹ הַחֲמוֹר נֹעֵר / וְהַקּוֹל בְּמַחֲנֵיהֶם הֹלֵךְ וְסֹעֵר / וַתְּפוּצֶינָה בְקוֹלוֹ הָרְחֵלִים / מִשֵּׂתוֹ יָגוּרוּ אֵילִים / וַיְהִי לְחֶרְדַּת הַמַּחֲנֶה אֲשֶׁר הֹלֵךְ עַל אַרְבַּע / וּבְהַפְנוֹתָם לָנוּס וַיִּטְרֹף בָּם הָאֲרִי וַיֹּאכַל וַיִּשְׂבַּע / וַיָּנוּסוּ אָנֶה וְאָנָה לְקוֹל הֲמֻלּוֹת גְּדוֹלוֹת / וַיֹּאמֶר הָאֲרִי: אַל תַּשְׁמִיעַ עוֹד קוֹלְךָ וְרַב מִהְיֹת קוֹלוֹת / וַיְהִי כַאֲשֶׁר לִטְרֹף כִּלָּה / וְהַחֲמוֹר וְהָאַרְיֵה עֹמְדִים אֵצֶל הַנְּבֵלָה / וַיֹּאמֶר הַחֲמוֹר: הֲלֹא שָׁמַעְתָּ הוֹד נַחֲרִי / וְרָאִיתָ כִּי רַעְמָה לָבוּשׁ צַוָּארִי / בְּחָכְמָתְךָ אֹתִי תִבְחַר / וְהָיָה כָזֶה יוֹם מָחָר / וְאַפְחִיד הַבְּהֵמוֹת וְאוֹרִיד לָאָרֶץ נִצְחָם / וְלַמֶּלֶךְ אֵין שֹׁוֶה לְהַנִּיחָם / לֹא מֵהֶם וְלֹא מֶהֱמֵהֶם / וְאֵלֶּה הַמִּשְׁפָּטִים אֲשֶׁר תָּשִׂים לִפְנֵיהֶם / מִגַּעֲרָתִי יְנוּסוּן וְיֵחַתּוּ מִמֶּנּוּ / נַגְבִּיר שְׂפָתֵנוּ אִתָּנוּ מִי אָדוֹן לָנוּ / שְׁמָעֵנִי אֲדֹנִי הַמֶּלֶךְ / הֲלוֹא דְבָרַי יֵיטִיבוּ עִם הַיָּשָׁר הֹלֵךְ / וַיַּעַן לוֹ הָאֲרִי: הַמַּכִּיר תּוֹלַדְתְּךָ מִמַּעַל וּמִתָּחַת / מִקּוֹלְךָ לֹא יַעֲנֶה וּמֵהֲמוֹנְךָ לֹא יֵחָת / בָּזוּי וְשָׁפָל וּקְשֵׁה עֹרֶף / הֲתָצוּד לַלָּבִיא טֶרֶף / עוֹד יֹאמְרוּ בְאָזְנַי בְּנֵי שִׁכֻּלַי לֵאמֹר / אֵיךְ טָרַפְתָּ בַּצֹּאן וְלֹא שִׁבַּרְתָּ אֶת הַחֲמוֹר.</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בְּאִישׁ נִכְבָּד אֲשֶׁר יְקָרֵב בָּזוּי וְנִקְלֶה / וְרוּחַ גְּאוֹנוֹ תִּצְמַח וְתִגָּלֶה / לְהִתְגָּאוֹת עַל חֶבְרָתוֹ / וְלֹא יַכִּיר אֶת שִׁפְלוּתוֹ / וּזְדוֹן לִבּוֹ בְהִתְגַּלּוֹת / לָשׁוֹן מְדַבֶּרֶת גְּדוֹלוֹת / בְּחָכְמָתִי כִּי נְבוּנוֹתִי / כָּזֹאת וְכָזֹאת עָשִׂיתִי / וְאָמַר הֶחָכָם בְּחָכְמָתוֹ / שְׁתִיקַת הַכְּסִיל הִיא תְשׁוּבָתוֹ.</w:t>
      </w:r>
    </w:p>
    <w:sectPr>
      <w:footerReference w:type="default" r:id="rId7"/>
      <w:pgSz w:w="11906" w:h="16838" w:orient="portrait"/>
      <w:pgMar w:top="1417" w:right="1417" w:bottom="1417"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noProof/>
        <w:sz w:val="22"/>
        <w:szCs w:val="22"/>
        <w:lang w:val="en-US" w:bidi="he-I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ברכיה הנקדן, </w:t>
      </w:r>
      <w:r>
        <w:rPr>
          <w:rFonts w:ascii="Times New Roman" w:cs="David" w:eastAsia="David" w:hAnsi="Times New Roman"/>
          <w:i/>
          <w:iCs/>
          <w:noProof/>
          <w:sz w:val="20"/>
          <w:szCs w:val="20"/>
          <w:rtl/>
          <w:lang w:val="en-US" w:bidi="he-IL"/>
        </w:rPr>
        <w:t xml:space="preserve">משלי שועלים</w:t>
      </w:r>
      <w:r>
        <w:rPr>
          <w:rFonts w:ascii="Times New Roman" w:cs="David" w:eastAsia="David" w:hAnsi="Times New Roman"/>
          <w:i w:val="false"/>
          <w:iCs w:val="false"/>
          <w:noProof/>
          <w:sz w:val="20"/>
          <w:szCs w:val="20"/>
          <w:rtl/>
          <w:lang w:val="en-US" w:bidi="he-IL"/>
        </w:rPr>
        <w:t xml:space="preserve">, מהדורת א"מ הברמן, ירושלים ותל אביב: שוקן, תש"ו. מספרי המשלים לאורך העבודה הם לפי מהדורה זו. מספרו של המשל "חמור, דבורים וצרעה" במהדורת הברמן יושלם [לוודא].</w:t>
      </w:r>
    </w:p>
  </w:footnote>
  <w:footnote w:id="2">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Stine Rossel et al., "Domestication of the Donkey: Timing, Processes, and Indicators," </w:t>
      </w:r>
      <w:r>
        <w:rPr>
          <w:rFonts w:ascii="Times New Roman" w:cs="David" w:eastAsia="David" w:hAnsi="Times New Roman"/>
          <w:i/>
          <w:iCs/>
          <w:noProof/>
          <w:sz w:val="20"/>
          <w:szCs w:val="20"/>
          <w:rtl w:val="false"/>
          <w:lang w:val="en-US" w:bidi="he-IL"/>
        </w:rPr>
        <w:t xml:space="preserve">Proceedings of the National Academy of Sciences</w:t>
      </w:r>
      <w:r>
        <w:rPr>
          <w:rFonts w:ascii="Times New Roman" w:cs="David" w:eastAsia="David" w:hAnsi="Times New Roman"/>
          <w:i w:val="false"/>
          <w:iCs w:val="false"/>
          <w:noProof/>
          <w:sz w:val="20"/>
          <w:szCs w:val="20"/>
          <w:rtl w:val="false"/>
          <w:lang w:val="en-US" w:bidi="he-IL"/>
        </w:rPr>
        <w:t xml:space="preserve"> 105, no. 10 (2008): 3715-3720.</w:t>
      </w:r>
    </w:p>
  </w:footnote>
  <w:footnote w:id="3">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Kenneth C. Way, </w:t>
      </w:r>
      <w:r>
        <w:rPr>
          <w:rFonts w:ascii="Times New Roman" w:cs="David" w:eastAsia="David" w:hAnsi="Times New Roman"/>
          <w:i/>
          <w:iCs/>
          <w:noProof/>
          <w:sz w:val="20"/>
          <w:szCs w:val="20"/>
          <w:rtl w:val="false"/>
          <w:lang w:val="en-US" w:bidi="he-IL"/>
        </w:rPr>
        <w:t xml:space="preserve">Donkeys in the Biblical World: Ceremony and Symbol</w:t>
      </w:r>
      <w:r>
        <w:rPr>
          <w:rFonts w:ascii="Times New Roman" w:cs="David" w:eastAsia="David" w:hAnsi="Times New Roman"/>
          <w:i w:val="false"/>
          <w:iCs w:val="false"/>
          <w:noProof/>
          <w:sz w:val="20"/>
          <w:szCs w:val="20"/>
          <w:rtl w:val="false"/>
          <w:lang w:val="en-US" w:bidi="he-IL"/>
        </w:rPr>
        <w:t xml:space="preserve">, Winona Lake: Eisenbrauns, 2011, pp. 1-6 [</w:t>
      </w:r>
      <w:r>
        <w:rPr>
          <w:rFonts w:ascii="Times New Roman" w:cs="David" w:eastAsia="David" w:hAnsi="Times New Roman"/>
          <w:i w:val="false"/>
          <w:iCs w:val="false"/>
          <w:noProof/>
          <w:sz w:val="20"/>
          <w:szCs w:val="20"/>
          <w:rtl/>
          <w:lang w:val="en-US" w:bidi="he-IL"/>
        </w:rPr>
        <w:t xml:space="preserve">לוודא עמודים].</w:t>
      </w:r>
    </w:p>
  </w:footnote>
  <w:footnote w:id="4">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יהודה פליקס, </w:t>
      </w:r>
      <w:r>
        <w:rPr>
          <w:rFonts w:ascii="Times New Roman" w:cs="David" w:eastAsia="David" w:hAnsi="Times New Roman"/>
          <w:i/>
          <w:iCs/>
          <w:noProof/>
          <w:sz w:val="20"/>
          <w:szCs w:val="20"/>
          <w:rtl/>
          <w:lang w:val="en-US" w:bidi="he-IL"/>
        </w:rPr>
        <w:t xml:space="preserve">החי של התנ"ך</w:t>
      </w:r>
      <w:r>
        <w:rPr>
          <w:rFonts w:ascii="Times New Roman" w:cs="David" w:eastAsia="David" w:hAnsi="Times New Roman"/>
          <w:i w:val="false"/>
          <w:iCs w:val="false"/>
          <w:noProof/>
          <w:sz w:val="20"/>
          <w:szCs w:val="20"/>
          <w:rtl/>
          <w:lang w:val="en-US" w:bidi="he-IL"/>
        </w:rPr>
        <w:t xml:space="preserve">, תל אביב: סיני, תשי"ד, בערכים "חמור" ו"פרא" [לוודא עמודים].</w:t>
      </w:r>
    </w:p>
  </w:footnote>
  <w:footnote w:id="5">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עלי יסיף, </w:t>
      </w:r>
      <w:r>
        <w:rPr>
          <w:rFonts w:ascii="Times New Roman" w:cs="David" w:eastAsia="David" w:hAnsi="Times New Roman"/>
          <w:i/>
          <w:iCs/>
          <w:noProof/>
          <w:sz w:val="20"/>
          <w:szCs w:val="20"/>
          <w:rtl/>
          <w:lang w:val="en-US" w:bidi="he-IL"/>
        </w:rPr>
        <w:t xml:space="preserve">סיפור העם העברי: תולדותיו, סוגיו ומשמעותו</w:t>
      </w:r>
      <w:r>
        <w:rPr>
          <w:rFonts w:ascii="Times New Roman" w:cs="David" w:eastAsia="David" w:hAnsi="Times New Roman"/>
          <w:i w:val="false"/>
          <w:iCs w:val="false"/>
          <w:noProof/>
          <w:sz w:val="20"/>
          <w:szCs w:val="20"/>
          <w:rtl/>
          <w:lang w:val="en-US" w:bidi="he-IL"/>
        </w:rPr>
        <w:t xml:space="preserve">, ירושלים: מוסד ביאליק, תשנ"ד, בפרק על ספרות חז"ל [לוודא עמודים].</w:t>
      </w:r>
    </w:p>
  </w:footnote>
  <w:footnote w:id="6">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Ben Edwin Perry, </w:t>
      </w:r>
      <w:r>
        <w:rPr>
          <w:rFonts w:ascii="Times New Roman" w:cs="David" w:eastAsia="David" w:hAnsi="Times New Roman"/>
          <w:i/>
          <w:iCs/>
          <w:noProof/>
          <w:sz w:val="20"/>
          <w:szCs w:val="20"/>
          <w:rtl w:val="false"/>
          <w:lang w:val="en-US" w:bidi="he-IL"/>
        </w:rPr>
        <w:t xml:space="preserve">Aesopica</w:t>
      </w:r>
      <w:r>
        <w:rPr>
          <w:rFonts w:ascii="Times New Roman" w:cs="David" w:eastAsia="David" w:hAnsi="Times New Roman"/>
          <w:i w:val="false"/>
          <w:iCs w:val="false"/>
          <w:noProof/>
          <w:sz w:val="20"/>
          <w:szCs w:val="20"/>
          <w:rtl w:val="false"/>
          <w:lang w:val="en-US" w:bidi="he-IL"/>
        </w:rPr>
        <w:t xml:space="preserve">, vol. 1, Urbana: University of Illinois Press, 1952; Ben Edwin Perry (ed. and trans.), </w:t>
      </w:r>
      <w:r>
        <w:rPr>
          <w:rFonts w:ascii="Times New Roman" w:cs="David" w:eastAsia="David" w:hAnsi="Times New Roman"/>
          <w:i/>
          <w:iCs/>
          <w:noProof/>
          <w:sz w:val="20"/>
          <w:szCs w:val="20"/>
          <w:rtl w:val="false"/>
          <w:lang w:val="en-US" w:bidi="he-IL"/>
        </w:rPr>
        <w:t xml:space="preserve">Babrius and Phaedrus</w:t>
      </w:r>
      <w:r>
        <w:rPr>
          <w:rFonts w:ascii="Times New Roman" w:cs="David" w:eastAsia="David" w:hAnsi="Times New Roman"/>
          <w:i w:val="false"/>
          <w:iCs w:val="false"/>
          <w:noProof/>
          <w:sz w:val="20"/>
          <w:szCs w:val="20"/>
          <w:rtl w:val="false"/>
          <w:lang w:val="en-US" w:bidi="he-IL"/>
        </w:rPr>
        <w:t xml:space="preserve">, Loeb Classical Library, Cambridge, MA: Harvard University Press, 1965. </w:t>
      </w:r>
      <w:r>
        <w:rPr>
          <w:rFonts w:ascii="Times New Roman" w:cs="David" w:eastAsia="David" w:hAnsi="Times New Roman"/>
          <w:i w:val="false"/>
          <w:iCs w:val="false"/>
          <w:noProof/>
          <w:sz w:val="20"/>
          <w:szCs w:val="20"/>
          <w:rtl/>
          <w:lang w:val="en-US" w:bidi="he-IL"/>
        </w:rPr>
        <w:t xml:space="preserve">תרגום עברי: איסופוס, </w:t>
      </w:r>
      <w:r>
        <w:rPr>
          <w:rFonts w:ascii="Times New Roman" w:cs="David" w:eastAsia="David" w:hAnsi="Times New Roman"/>
          <w:i/>
          <w:iCs/>
          <w:noProof/>
          <w:sz w:val="20"/>
          <w:szCs w:val="20"/>
          <w:rtl/>
          <w:lang w:val="en-US" w:bidi="he-IL"/>
        </w:rPr>
        <w:t xml:space="preserve">משלי איסופוס</w:t>
      </w:r>
      <w:r>
        <w:rPr>
          <w:rFonts w:ascii="Times New Roman" w:cs="David" w:eastAsia="David" w:hAnsi="Times New Roman"/>
          <w:i w:val="false"/>
          <w:iCs w:val="false"/>
          <w:noProof/>
          <w:sz w:val="20"/>
          <w:szCs w:val="20"/>
          <w:rtl/>
          <w:lang w:val="en-US" w:bidi="he-IL"/>
        </w:rPr>
        <w:t xml:space="preserve">, תרגם שלמה שפאן, ירושלים: מוסד ביאליק, תש"ך.</w:t>
      </w:r>
    </w:p>
  </w:footnote>
  <w:footnote w:id="7">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Joseph Jacobs, </w:t>
      </w:r>
      <w:r>
        <w:rPr>
          <w:rFonts w:ascii="Times New Roman" w:cs="David" w:eastAsia="David" w:hAnsi="Times New Roman"/>
          <w:i/>
          <w:iCs/>
          <w:noProof/>
          <w:sz w:val="20"/>
          <w:szCs w:val="20"/>
          <w:rtl w:val="false"/>
          <w:lang w:val="en-US" w:bidi="he-IL"/>
        </w:rPr>
        <w:t xml:space="preserve">The Fables of Aesop as First Printed by William Caxton in 1484</w:t>
      </w:r>
      <w:r>
        <w:rPr>
          <w:rFonts w:ascii="Times New Roman" w:cs="David" w:eastAsia="David" w:hAnsi="Times New Roman"/>
          <w:i w:val="false"/>
          <w:iCs w:val="false"/>
          <w:noProof/>
          <w:sz w:val="20"/>
          <w:szCs w:val="20"/>
          <w:rtl w:val="false"/>
          <w:lang w:val="en-US" w:bidi="he-IL"/>
        </w:rPr>
        <w:t xml:space="preserve">, vol. 1: </w:t>
      </w:r>
      <w:r>
        <w:rPr>
          <w:rFonts w:ascii="Times New Roman" w:cs="David" w:eastAsia="David" w:hAnsi="Times New Roman"/>
          <w:i/>
          <w:iCs/>
          <w:noProof/>
          <w:sz w:val="20"/>
          <w:szCs w:val="20"/>
          <w:rtl w:val="false"/>
          <w:lang w:val="en-US" w:bidi="he-IL"/>
        </w:rPr>
        <w:t xml:space="preserve">History of the Aesopic Fable</w:t>
      </w:r>
      <w:r>
        <w:rPr>
          <w:rFonts w:ascii="Times New Roman" w:cs="David" w:eastAsia="David" w:hAnsi="Times New Roman"/>
          <w:i w:val="false"/>
          <w:iCs w:val="false"/>
          <w:noProof/>
          <w:sz w:val="20"/>
          <w:szCs w:val="20"/>
          <w:rtl w:val="false"/>
          <w:lang w:val="en-US" w:bidi="he-IL"/>
        </w:rPr>
        <w:t xml:space="preserve">, London: David Nutt, 1889, pp. 168-178; Haim Schwarzbaum, </w:t>
      </w:r>
      <w:r>
        <w:rPr>
          <w:rFonts w:ascii="Times New Roman" w:cs="David" w:eastAsia="David" w:hAnsi="Times New Roman"/>
          <w:i/>
          <w:iCs/>
          <w:noProof/>
          <w:sz w:val="20"/>
          <w:szCs w:val="20"/>
          <w:rtl w:val="false"/>
          <w:lang w:val="en-US" w:bidi="he-IL"/>
        </w:rPr>
        <w:t xml:space="preserve">The Mishle Shu'alim (Fox Fables) of Rabbi Berechiah ha-Nakdan: A Study in Comparative Folklore and Fable Lore</w:t>
      </w:r>
      <w:r>
        <w:rPr>
          <w:rFonts w:ascii="Times New Roman" w:cs="David" w:eastAsia="David" w:hAnsi="Times New Roman"/>
          <w:i w:val="false"/>
          <w:iCs w:val="false"/>
          <w:noProof/>
          <w:sz w:val="20"/>
          <w:szCs w:val="20"/>
          <w:rtl w:val="false"/>
          <w:lang w:val="en-US" w:bidi="he-IL"/>
        </w:rPr>
        <w:t xml:space="preserve">, Kiron: Institute for Jewish and Arab Folklore Research, 1979, </w:t>
      </w:r>
      <w:r>
        <w:rPr>
          <w:rFonts w:ascii="Times New Roman" w:cs="David" w:eastAsia="David" w:hAnsi="Times New Roman"/>
          <w:i w:val="false"/>
          <w:iCs w:val="false"/>
          <w:noProof/>
          <w:sz w:val="20"/>
          <w:szCs w:val="20"/>
          <w:rtl/>
          <w:lang w:val="en-US" w:bidi="he-IL"/>
        </w:rPr>
        <w:t xml:space="preserve">בדיון על משלים יד ו-מז [לוודא עמודים].</w:t>
      </w:r>
    </w:p>
  </w:footnote>
  <w:footnote w:id="8">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Hans-Jörg Uther, </w:t>
      </w:r>
      <w:r>
        <w:rPr>
          <w:rFonts w:ascii="Times New Roman" w:cs="David" w:eastAsia="David" w:hAnsi="Times New Roman"/>
          <w:i/>
          <w:iCs/>
          <w:noProof/>
          <w:sz w:val="20"/>
          <w:szCs w:val="20"/>
          <w:rtl w:val="false"/>
          <w:lang w:val="en-US" w:bidi="he-IL"/>
        </w:rPr>
        <w:t xml:space="preserve">The Types of International Folktales: A Classification and Bibliography</w:t>
      </w:r>
      <w:r>
        <w:rPr>
          <w:rFonts w:ascii="Times New Roman" w:cs="David" w:eastAsia="David" w:hAnsi="Times New Roman"/>
          <w:i w:val="false"/>
          <w:iCs w:val="false"/>
          <w:noProof/>
          <w:sz w:val="20"/>
          <w:szCs w:val="20"/>
          <w:rtl w:val="false"/>
          <w:lang w:val="en-US" w:bidi="he-IL"/>
        </w:rPr>
        <w:t xml:space="preserve">, FF Communications 284-286, Helsinki: Academia Scientiarum Fennica, 2004, vol. 1, nos. 214, 214B.</w:t>
      </w:r>
    </w:p>
  </w:footnote>
  <w:footnote w:id="9">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Stith Thompson, </w:t>
      </w:r>
      <w:r>
        <w:rPr>
          <w:rFonts w:ascii="Times New Roman" w:cs="David" w:eastAsia="David" w:hAnsi="Times New Roman"/>
          <w:i/>
          <w:iCs/>
          <w:noProof/>
          <w:sz w:val="20"/>
          <w:szCs w:val="20"/>
          <w:rtl w:val="false"/>
          <w:lang w:val="en-US" w:bidi="he-IL"/>
        </w:rPr>
        <w:t xml:space="preserve">Motif-Index of Folk-Literature</w:t>
      </w:r>
      <w:r>
        <w:rPr>
          <w:rFonts w:ascii="Times New Roman" w:cs="David" w:eastAsia="David" w:hAnsi="Times New Roman"/>
          <w:i w:val="false"/>
          <w:iCs w:val="false"/>
          <w:noProof/>
          <w:sz w:val="20"/>
          <w:szCs w:val="20"/>
          <w:rtl w:val="false"/>
          <w:lang w:val="en-US" w:bidi="he-IL"/>
        </w:rPr>
        <w:t xml:space="preserve">, 6 vols., Bloomington: Indiana University Press, 1955-1958, motifs J951.1, J2413.1, L315 [</w:t>
      </w:r>
      <w:r>
        <w:rPr>
          <w:rFonts w:ascii="Times New Roman" w:cs="David" w:eastAsia="David" w:hAnsi="Times New Roman"/>
          <w:i w:val="false"/>
          <w:iCs w:val="false"/>
          <w:noProof/>
          <w:sz w:val="20"/>
          <w:szCs w:val="20"/>
          <w:rtl/>
          <w:lang w:val="en-US" w:bidi="he-IL"/>
        </w:rPr>
        <w:t xml:space="preserve">לוודא מספרים].</w:t>
      </w:r>
    </w:p>
  </w:footnote>
  <w:footnote w:id="10">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Joseph Derenbourg (ed.), </w:t>
      </w:r>
      <w:r>
        <w:rPr>
          <w:rFonts w:ascii="Times New Roman" w:cs="David" w:eastAsia="David" w:hAnsi="Times New Roman"/>
          <w:i/>
          <w:iCs/>
          <w:noProof/>
          <w:sz w:val="20"/>
          <w:szCs w:val="20"/>
          <w:rtl w:val="false"/>
          <w:lang w:val="en-US" w:bidi="he-IL"/>
        </w:rPr>
        <w:t xml:space="preserve">Deux versions hébraïques du livre de Kalîlâh et Dimnâh</w:t>
      </w:r>
      <w:r>
        <w:rPr>
          <w:rFonts w:ascii="Times New Roman" w:cs="David" w:eastAsia="David" w:hAnsi="Times New Roman"/>
          <w:i w:val="false"/>
          <w:iCs w:val="false"/>
          <w:noProof/>
          <w:sz w:val="20"/>
          <w:szCs w:val="20"/>
          <w:rtl w:val="false"/>
          <w:lang w:val="en-US" w:bidi="he-IL"/>
        </w:rPr>
        <w:t xml:space="preserve">, Paris: F. Vieweg, 1881, </w:t>
      </w:r>
      <w:r>
        <w:rPr>
          <w:rFonts w:ascii="Times New Roman" w:cs="David" w:eastAsia="David" w:hAnsi="Times New Roman"/>
          <w:i w:val="false"/>
          <w:iCs w:val="false"/>
          <w:noProof/>
          <w:sz w:val="20"/>
          <w:szCs w:val="20"/>
          <w:rtl/>
          <w:lang w:val="en-US" w:bidi="he-IL"/>
        </w:rPr>
        <w:t xml:space="preserve">בפרק "הקוף והצב" [לוודא מיקום].</w:t>
      </w:r>
    </w:p>
  </w:footnote>
  <w:footnote w:id="11">
    <w:p>
      <w:pPr>
        <w:bidi/>
        <w:spacing w:after="60" w:line="240"/>
        <w:jc w:val="both"/>
      </w:pPr>
      <w:r>
        <w:rPr>
          <w:rStyle w:val="FootnoteReference"/>
        </w:rPr>
        <w:footnoteRef/>
      </w:r>
      <w:r>
        <w:rPr>
          <w:rFonts w:ascii="Times New Roman" w:cs="David" w:eastAsia="David" w:hAnsi="Times New Roman"/>
          <w:i/>
          <w:iCs/>
          <w:noProof/>
          <w:sz w:val="20"/>
          <w:szCs w:val="20"/>
          <w:rtl/>
          <w:lang w:val="en-US" w:bidi="he-IL"/>
        </w:rPr>
        <w:t xml:space="preserve">אלף לילה ולילה</w:t>
      </w:r>
      <w:r>
        <w:rPr>
          <w:rFonts w:ascii="Times New Roman" w:cs="David" w:eastAsia="David" w:hAnsi="Times New Roman"/>
          <w:i w:val="false"/>
          <w:iCs w:val="false"/>
          <w:noProof/>
          <w:sz w:val="20"/>
          <w:szCs w:val="20"/>
          <w:rtl/>
          <w:lang w:val="en-US" w:bidi="he-IL"/>
        </w:rPr>
        <w:t xml:space="preserve">, תרגם מערבית יוסף יואל ריבלין, כרך א, תל אביב: קרית ספר, תש"ז, סיפור המסגרת.</w:t>
      </w:r>
    </w:p>
  </w:footnote>
  <w:footnote w:id="12">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Isaac Ibn Sahula, </w:t>
      </w:r>
      <w:r>
        <w:rPr>
          <w:rFonts w:ascii="Times New Roman" w:cs="David" w:eastAsia="David" w:hAnsi="Times New Roman"/>
          <w:i/>
          <w:iCs/>
          <w:noProof/>
          <w:sz w:val="20"/>
          <w:szCs w:val="20"/>
          <w:rtl w:val="false"/>
          <w:lang w:val="en-US" w:bidi="he-IL"/>
        </w:rPr>
        <w:t xml:space="preserve">Meshal Haqadmoni: Fables from the Distant Past</w:t>
      </w:r>
      <w:r>
        <w:rPr>
          <w:rFonts w:ascii="Times New Roman" w:cs="David" w:eastAsia="David" w:hAnsi="Times New Roman"/>
          <w:i w:val="false"/>
          <w:iCs w:val="false"/>
          <w:noProof/>
          <w:sz w:val="20"/>
          <w:szCs w:val="20"/>
          <w:rtl w:val="false"/>
          <w:lang w:val="en-US" w:bidi="he-IL"/>
        </w:rPr>
        <w:t xml:space="preserve">, ed. and trans. Raphael Loewe, 2 vols., Oxford: Littman Library, 2004 [</w:t>
      </w:r>
      <w:r>
        <w:rPr>
          <w:rFonts w:ascii="Times New Roman" w:cs="David" w:eastAsia="David" w:hAnsi="Times New Roman"/>
          <w:i w:val="false"/>
          <w:iCs w:val="false"/>
          <w:noProof/>
          <w:sz w:val="20"/>
          <w:szCs w:val="20"/>
          <w:rtl/>
          <w:lang w:val="en-US" w:bidi="he-IL"/>
        </w:rPr>
        <w:t xml:space="preserve">לוודא במפתח המהדורה].</w:t>
      </w:r>
    </w:p>
  </w:footnote>
  <w:footnote w:id="13">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Marie de France, </w:t>
      </w:r>
      <w:r>
        <w:rPr>
          <w:rFonts w:ascii="Times New Roman" w:cs="David" w:eastAsia="David" w:hAnsi="Times New Roman"/>
          <w:i/>
          <w:iCs/>
          <w:noProof/>
          <w:sz w:val="20"/>
          <w:szCs w:val="20"/>
          <w:rtl w:val="false"/>
          <w:lang w:val="en-US" w:bidi="he-IL"/>
        </w:rPr>
        <w:t xml:space="preserve">Fables</w:t>
      </w:r>
      <w:r>
        <w:rPr>
          <w:rFonts w:ascii="Times New Roman" w:cs="David" w:eastAsia="David" w:hAnsi="Times New Roman"/>
          <w:i w:val="false"/>
          <w:iCs w:val="false"/>
          <w:noProof/>
          <w:sz w:val="20"/>
          <w:szCs w:val="20"/>
          <w:rtl w:val="false"/>
          <w:lang w:val="en-US" w:bidi="he-IL"/>
        </w:rPr>
        <w:t xml:space="preserve">, ed. and trans. Harriet Spiegel, Toronto: University of Toronto Press, 1987, no. 15 [</w:t>
      </w:r>
      <w:r>
        <w:rPr>
          <w:rFonts w:ascii="Times New Roman" w:cs="David" w:eastAsia="David" w:hAnsi="Times New Roman"/>
          <w:i w:val="false"/>
          <w:iCs w:val="false"/>
          <w:noProof/>
          <w:sz w:val="20"/>
          <w:szCs w:val="20"/>
          <w:rtl/>
          <w:lang w:val="en-US" w:bidi="he-IL"/>
        </w:rPr>
        <w:t xml:space="preserve">לוודא].</w:t>
      </w:r>
    </w:p>
  </w:footnote>
  <w:footnote w:id="14">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J. K. Elliott, </w:t>
      </w:r>
      <w:r>
        <w:rPr>
          <w:rFonts w:ascii="Times New Roman" w:cs="David" w:eastAsia="David" w:hAnsi="Times New Roman"/>
          <w:i/>
          <w:iCs/>
          <w:noProof/>
          <w:sz w:val="20"/>
          <w:szCs w:val="20"/>
          <w:rtl w:val="false"/>
          <w:lang w:val="en-US" w:bidi="he-IL"/>
        </w:rPr>
        <w:t xml:space="preserve">The Apocryphal New Testament</w:t>
      </w:r>
      <w:r>
        <w:rPr>
          <w:rFonts w:ascii="Times New Roman" w:cs="David" w:eastAsia="David" w:hAnsi="Times New Roman"/>
          <w:i w:val="false"/>
          <w:iCs w:val="false"/>
          <w:noProof/>
          <w:sz w:val="20"/>
          <w:szCs w:val="20"/>
          <w:rtl w:val="false"/>
          <w:lang w:val="en-US" w:bidi="he-IL"/>
        </w:rPr>
        <w:t xml:space="preserve">, Oxford: Clarendon Press, 1993, Gospel of Pseudo-Matthew, ch. 14.</w:t>
      </w:r>
    </w:p>
  </w:footnote>
  <w:footnote w:id="15">
    <w:p>
      <w:pPr>
        <w:bidi/>
        <w:spacing w:after="60" w:line="240"/>
        <w:jc w:val="both"/>
      </w:pPr>
      <w:r>
        <w:rPr>
          <w:rStyle w:val="FootnoteReference"/>
        </w:rPr>
        <w:footnoteRef/>
      </w:r>
      <w:r>
        <w:rPr>
          <w:rFonts w:ascii="Times New Roman" w:cs="David" w:eastAsia="David" w:hAnsi="Times New Roman"/>
          <w:i/>
          <w:iCs/>
          <w:noProof/>
          <w:sz w:val="20"/>
          <w:szCs w:val="20"/>
          <w:rtl w:val="false"/>
          <w:lang w:val="en-US" w:bidi="he-IL"/>
        </w:rPr>
        <w:t xml:space="preserve">The Etymologies of Isidore of Seville</w:t>
      </w:r>
      <w:r>
        <w:rPr>
          <w:rFonts w:ascii="Times New Roman" w:cs="David" w:eastAsia="David" w:hAnsi="Times New Roman"/>
          <w:i w:val="false"/>
          <w:iCs w:val="false"/>
          <w:noProof/>
          <w:sz w:val="20"/>
          <w:szCs w:val="20"/>
          <w:rtl w:val="false"/>
          <w:lang w:val="en-US" w:bidi="he-IL"/>
        </w:rPr>
        <w:t xml:space="preserve">, trans. Stephen A. Barney et al., Cambridge: Cambridge University Press, 2006, XII.1.38-39.</w:t>
      </w:r>
    </w:p>
  </w:footnote>
  <w:footnote w:id="16">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T. H. White, </w:t>
      </w:r>
      <w:r>
        <w:rPr>
          <w:rFonts w:ascii="Times New Roman" w:cs="David" w:eastAsia="David" w:hAnsi="Times New Roman"/>
          <w:i/>
          <w:iCs/>
          <w:noProof/>
          <w:sz w:val="20"/>
          <w:szCs w:val="20"/>
          <w:rtl w:val="false"/>
          <w:lang w:val="en-US" w:bidi="he-IL"/>
        </w:rPr>
        <w:t xml:space="preserve">The Book of Beasts: Being a Translation from a Latin Bestiary of the Twelfth Century</w:t>
      </w:r>
      <w:r>
        <w:rPr>
          <w:rFonts w:ascii="Times New Roman" w:cs="David" w:eastAsia="David" w:hAnsi="Times New Roman"/>
          <w:i w:val="false"/>
          <w:iCs w:val="false"/>
          <w:noProof/>
          <w:sz w:val="20"/>
          <w:szCs w:val="20"/>
          <w:rtl w:val="false"/>
          <w:lang w:val="en-US" w:bidi="he-IL"/>
        </w:rPr>
        <w:t xml:space="preserve">, London: Jonathan Cape, 1954, </w:t>
      </w:r>
      <w:r>
        <w:rPr>
          <w:rFonts w:ascii="Times New Roman" w:cs="David" w:eastAsia="David" w:hAnsi="Times New Roman"/>
          <w:i w:val="false"/>
          <w:iCs w:val="false"/>
          <w:noProof/>
          <w:sz w:val="20"/>
          <w:szCs w:val="20"/>
          <w:rtl/>
          <w:lang w:val="en-US" w:bidi="he-IL"/>
        </w:rPr>
        <w:t xml:space="preserve">בערכים </w:t>
      </w:r>
      <w:r>
        <w:rPr>
          <w:rFonts w:ascii="Times New Roman" w:cs="David" w:eastAsia="David" w:hAnsi="Times New Roman"/>
          <w:i w:val="false"/>
          <w:iCs w:val="false"/>
          <w:noProof/>
          <w:sz w:val="20"/>
          <w:szCs w:val="20"/>
          <w:rtl w:val="false"/>
          <w:lang w:val="en-US" w:bidi="he-IL"/>
        </w:rPr>
        <w:t xml:space="preserve">ass </w:t>
      </w:r>
      <w:r>
        <w:rPr>
          <w:rFonts w:ascii="Times New Roman" w:cs="David" w:eastAsia="David" w:hAnsi="Times New Roman"/>
          <w:i w:val="false"/>
          <w:iCs w:val="false"/>
          <w:noProof/>
          <w:sz w:val="20"/>
          <w:szCs w:val="20"/>
          <w:rtl/>
          <w:lang w:val="en-US" w:bidi="he-IL"/>
        </w:rPr>
        <w:t xml:space="preserve">ו-</w:t>
      </w:r>
      <w:r>
        <w:rPr>
          <w:rFonts w:ascii="Times New Roman" w:cs="David" w:eastAsia="David" w:hAnsi="Times New Roman"/>
          <w:i w:val="false"/>
          <w:iCs w:val="false"/>
          <w:noProof/>
          <w:sz w:val="20"/>
          <w:szCs w:val="20"/>
          <w:rtl w:val="false"/>
          <w:lang w:val="en-US" w:bidi="he-IL"/>
        </w:rPr>
        <w:t xml:space="preserve">onager [</w:t>
      </w:r>
      <w:r>
        <w:rPr>
          <w:rFonts w:ascii="Times New Roman" w:cs="David" w:eastAsia="David" w:hAnsi="Times New Roman"/>
          <w:i w:val="false"/>
          <w:iCs w:val="false"/>
          <w:noProof/>
          <w:sz w:val="20"/>
          <w:szCs w:val="20"/>
          <w:rtl/>
          <w:lang w:val="en-US" w:bidi="he-IL"/>
        </w:rPr>
        <w:t xml:space="preserve">לוודא עמודים].</w:t>
      </w:r>
    </w:p>
  </w:footnote>
  <w:footnote w:id="17">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E. K. Chambers, </w:t>
      </w:r>
      <w:r>
        <w:rPr>
          <w:rFonts w:ascii="Times New Roman" w:cs="David" w:eastAsia="David" w:hAnsi="Times New Roman"/>
          <w:i/>
          <w:iCs/>
          <w:noProof/>
          <w:sz w:val="20"/>
          <w:szCs w:val="20"/>
          <w:rtl w:val="false"/>
          <w:lang w:val="en-US" w:bidi="he-IL"/>
        </w:rPr>
        <w:t xml:space="preserve">The Mediaeval Stage</w:t>
      </w:r>
      <w:r>
        <w:rPr>
          <w:rFonts w:ascii="Times New Roman" w:cs="David" w:eastAsia="David" w:hAnsi="Times New Roman"/>
          <w:i w:val="false"/>
          <w:iCs w:val="false"/>
          <w:noProof/>
          <w:sz w:val="20"/>
          <w:szCs w:val="20"/>
          <w:rtl w:val="false"/>
          <w:lang w:val="en-US" w:bidi="he-IL"/>
        </w:rPr>
        <w:t xml:space="preserve">, vol. 1, Oxford: Clarendon Press, 1903, ch. 14 [</w:t>
      </w:r>
      <w:r>
        <w:rPr>
          <w:rFonts w:ascii="Times New Roman" w:cs="David" w:eastAsia="David" w:hAnsi="Times New Roman"/>
          <w:i w:val="false"/>
          <w:iCs w:val="false"/>
          <w:noProof/>
          <w:sz w:val="20"/>
          <w:szCs w:val="20"/>
          <w:rtl/>
          <w:lang w:val="en-US" w:bidi="he-IL"/>
        </w:rPr>
        <w:t xml:space="preserve">לוודא עמודים].</w:t>
      </w:r>
    </w:p>
  </w:footnote>
  <w:footnote w:id="18">
    <w:p>
      <w:pPr>
        <w:bidi/>
        <w:spacing w:after="60" w:line="240"/>
        <w:jc w:val="both"/>
      </w:pPr>
      <w:r>
        <w:rPr>
          <w:rStyle w:val="FootnoteReference"/>
        </w:rPr>
        <w:footnoteRef/>
      </w:r>
      <w:r>
        <w:rPr>
          <w:rFonts w:ascii="Times New Roman" w:cs="David" w:eastAsia="David" w:hAnsi="Times New Roman"/>
          <w:i/>
          <w:iCs/>
          <w:noProof/>
          <w:sz w:val="20"/>
          <w:szCs w:val="20"/>
          <w:rtl/>
          <w:lang w:val="en-US" w:bidi="he-IL"/>
        </w:rPr>
        <w:t xml:space="preserve">הקוראן</w:t>
      </w:r>
      <w:r>
        <w:rPr>
          <w:rFonts w:ascii="Times New Roman" w:cs="David" w:eastAsia="David" w:hAnsi="Times New Roman"/>
          <w:i w:val="false"/>
          <w:iCs w:val="false"/>
          <w:noProof/>
          <w:sz w:val="20"/>
          <w:szCs w:val="20"/>
          <w:rtl/>
          <w:lang w:val="en-US" w:bidi="he-IL"/>
        </w:rPr>
        <w:t xml:space="preserve">, תרגם מערבית אורי רובין, תל אביב: אוניברסיטת תל אביב, 2005, סורות 31, 62, 74. ההקשר הרביעי הוא סורה 2, פסוק 259, על האיש שחמורו הוחיה לאחר מאה שנה.</w:t>
      </w:r>
    </w:p>
  </w:footnote>
  <w:footnote w:id="19">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את גלגולו של הביטוי בספרות העברית של ימי הביניים יש לבדוק; ראו לפי שעה יסיף, </w:t>
      </w:r>
      <w:r>
        <w:rPr>
          <w:rFonts w:ascii="Times New Roman" w:cs="David" w:eastAsia="David" w:hAnsi="Times New Roman"/>
          <w:i/>
          <w:iCs/>
          <w:noProof/>
          <w:sz w:val="20"/>
          <w:szCs w:val="20"/>
          <w:rtl/>
          <w:lang w:val="en-US" w:bidi="he-IL"/>
        </w:rPr>
        <w:t xml:space="preserve">סיפור העם העברי</w:t>
      </w:r>
      <w:r>
        <w:rPr>
          <w:rFonts w:ascii="Times New Roman" w:cs="David" w:eastAsia="David" w:hAnsi="Times New Roman"/>
          <w:i w:val="false"/>
          <w:iCs w:val="false"/>
          <w:noProof/>
          <w:sz w:val="20"/>
          <w:szCs w:val="20"/>
          <w:rtl/>
          <w:lang w:val="en-US" w:bidi="he-IL"/>
        </w:rPr>
        <w:t xml:space="preserve">, במפתח בערך "חמור" [לוודא].</w:t>
      </w:r>
    </w:p>
  </w:footnote>
  <w:footnote w:id="20">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Charles Pellat, "Djuha," in </w:t>
      </w:r>
      <w:r>
        <w:rPr>
          <w:rFonts w:ascii="Times New Roman" w:cs="David" w:eastAsia="David" w:hAnsi="Times New Roman"/>
          <w:i/>
          <w:iCs/>
          <w:noProof/>
          <w:sz w:val="20"/>
          <w:szCs w:val="20"/>
          <w:rtl w:val="false"/>
          <w:lang w:val="en-US" w:bidi="he-IL"/>
        </w:rPr>
        <w:t xml:space="preserve">The Encyclopaedia of Islam</w:t>
      </w:r>
      <w:r>
        <w:rPr>
          <w:rFonts w:ascii="Times New Roman" w:cs="David" w:eastAsia="David" w:hAnsi="Times New Roman"/>
          <w:i w:val="false"/>
          <w:iCs w:val="false"/>
          <w:noProof/>
          <w:sz w:val="20"/>
          <w:szCs w:val="20"/>
          <w:rtl w:val="false"/>
          <w:lang w:val="en-US" w:bidi="he-IL"/>
        </w:rPr>
        <w:t xml:space="preserve">, 2nd ed., vol. 2, Leiden: Brill, 1965, pp. 590-592 [</w:t>
      </w:r>
      <w:r>
        <w:rPr>
          <w:rFonts w:ascii="Times New Roman" w:cs="David" w:eastAsia="David" w:hAnsi="Times New Roman"/>
          <w:i w:val="false"/>
          <w:iCs w:val="false"/>
          <w:noProof/>
          <w:sz w:val="20"/>
          <w:szCs w:val="20"/>
          <w:rtl/>
          <w:lang w:val="en-US" w:bidi="he-IL"/>
        </w:rPr>
        <w:t xml:space="preserve">לוודא עמודים].</w:t>
      </w:r>
    </w:p>
  </w:footnote>
  <w:footnote w:id="21">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האחים גרים, </w:t>
      </w:r>
      <w:r>
        <w:rPr>
          <w:rFonts w:ascii="Times New Roman" w:cs="David" w:eastAsia="David" w:hAnsi="Times New Roman"/>
          <w:i/>
          <w:iCs/>
          <w:noProof/>
          <w:sz w:val="20"/>
          <w:szCs w:val="20"/>
          <w:rtl/>
          <w:lang w:val="en-US" w:bidi="he-IL"/>
        </w:rPr>
        <w:t xml:space="preserve">מעשיות האחים גרים</w:t>
      </w:r>
      <w:r>
        <w:rPr>
          <w:rFonts w:ascii="Times New Roman" w:cs="David" w:eastAsia="David" w:hAnsi="Times New Roman"/>
          <w:i w:val="false"/>
          <w:iCs w:val="false"/>
          <w:noProof/>
          <w:sz w:val="20"/>
          <w:szCs w:val="20"/>
          <w:rtl/>
          <w:lang w:val="en-US" w:bidi="he-IL"/>
        </w:rPr>
        <w:t xml:space="preserve">, תרגם שמעון לוי, תל אביב: ספרית פועלים, 1994, מעשייה 27; </w:t>
      </w:r>
      <w:r>
        <w:rPr>
          <w:rFonts w:ascii="Times New Roman" w:cs="David" w:eastAsia="David" w:hAnsi="Times New Roman"/>
          <w:i w:val="false"/>
          <w:iCs w:val="false"/>
          <w:noProof/>
          <w:sz w:val="20"/>
          <w:szCs w:val="20"/>
          <w:rtl w:val="false"/>
          <w:lang w:val="en-US" w:bidi="he-IL"/>
        </w:rPr>
        <w:t xml:space="preserve">Uther, </w:t>
      </w:r>
      <w:r>
        <w:rPr>
          <w:rFonts w:ascii="Times New Roman" w:cs="David" w:eastAsia="David" w:hAnsi="Times New Roman"/>
          <w:i/>
          <w:iCs/>
          <w:noProof/>
          <w:sz w:val="20"/>
          <w:szCs w:val="20"/>
          <w:rtl w:val="false"/>
          <w:lang w:val="en-US" w:bidi="he-IL"/>
        </w:rPr>
        <w:t xml:space="preserve">Types of International Folktales</w:t>
      </w:r>
      <w:r>
        <w:rPr>
          <w:rFonts w:ascii="Times New Roman" w:cs="David" w:eastAsia="David" w:hAnsi="Times New Roman"/>
          <w:i w:val="false"/>
          <w:iCs w:val="false"/>
          <w:noProof/>
          <w:sz w:val="20"/>
          <w:szCs w:val="20"/>
          <w:rtl w:val="false"/>
          <w:lang w:val="en-US" w:bidi="he-IL"/>
        </w:rPr>
        <w:t xml:space="preserve">, no. 130.</w:t>
      </w:r>
    </w:p>
  </w:footnote>
  <w:footnote w:id="22">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Jacobs, </w:t>
      </w:r>
      <w:r>
        <w:rPr>
          <w:rFonts w:ascii="Times New Roman" w:cs="David" w:eastAsia="David" w:hAnsi="Times New Roman"/>
          <w:i/>
          <w:iCs/>
          <w:noProof/>
          <w:sz w:val="20"/>
          <w:szCs w:val="20"/>
          <w:rtl w:val="false"/>
          <w:lang w:val="en-US" w:bidi="he-IL"/>
        </w:rPr>
        <w:t xml:space="preserve">Fables of Aesop</w:t>
      </w:r>
      <w:r>
        <w:rPr>
          <w:rFonts w:ascii="Times New Roman" w:cs="David" w:eastAsia="David" w:hAnsi="Times New Roman"/>
          <w:i w:val="false"/>
          <w:iCs w:val="false"/>
          <w:noProof/>
          <w:sz w:val="20"/>
          <w:szCs w:val="20"/>
          <w:rtl w:val="false"/>
          <w:lang w:val="en-US" w:bidi="he-IL"/>
        </w:rPr>
        <w:t xml:space="preserve">, vol. 1, pp. 168-178; 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val="false"/>
          <w:lang w:val="en-US" w:bidi="he-IL"/>
        </w:rPr>
        <w:t xml:space="preserve">, Introduction.</w:t>
      </w:r>
    </w:p>
  </w:footnote>
  <w:footnote w:id="23">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Hadas, </w:t>
      </w:r>
      <w:r>
        <w:rPr>
          <w:rFonts w:ascii="Times New Roman" w:cs="David" w:eastAsia="David" w:hAnsi="Times New Roman"/>
          <w:i/>
          <w:iCs/>
          <w:noProof/>
          <w:sz w:val="20"/>
          <w:szCs w:val="20"/>
          <w:rtl w:val="false"/>
          <w:lang w:val="en-US" w:bidi="he-IL"/>
        </w:rPr>
        <w:t xml:space="preserve">Fables of a Jewish Aesop</w:t>
      </w:r>
      <w:r>
        <w:rPr>
          <w:rFonts w:ascii="Times New Roman" w:cs="David" w:eastAsia="David" w:hAnsi="Times New Roman"/>
          <w:i w:val="false"/>
          <w:iCs w:val="false"/>
          <w:noProof/>
          <w:sz w:val="20"/>
          <w:szCs w:val="20"/>
          <w:rtl w:val="false"/>
          <w:lang w:val="en-US" w:bidi="he-IL"/>
        </w:rPr>
        <w:t xml:space="preserve">, Introduction, pp. vii-xiv [</w:t>
      </w:r>
      <w:r>
        <w:rPr>
          <w:rFonts w:ascii="Times New Roman" w:cs="David" w:eastAsia="David" w:hAnsi="Times New Roman"/>
          <w:i w:val="false"/>
          <w:iCs w:val="false"/>
          <w:noProof/>
          <w:sz w:val="20"/>
          <w:szCs w:val="20"/>
          <w:rtl/>
          <w:lang w:val="en-US" w:bidi="he-IL"/>
        </w:rPr>
        <w:t xml:space="preserve">לוודא עמודים].</w:t>
      </w:r>
    </w:p>
  </w:footnote>
  <w:footnote w:id="24">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Jan M. Ziolkowski, </w:t>
      </w:r>
      <w:r>
        <w:rPr>
          <w:rFonts w:ascii="Times New Roman" w:cs="David" w:eastAsia="David" w:hAnsi="Times New Roman"/>
          <w:i/>
          <w:iCs/>
          <w:noProof/>
          <w:sz w:val="20"/>
          <w:szCs w:val="20"/>
          <w:rtl w:val="false"/>
          <w:lang w:val="en-US" w:bidi="he-IL"/>
        </w:rPr>
        <w:t xml:space="preserve">Talking Animals: Medieval Latin Beast Poetry, 750-1150</w:t>
      </w:r>
      <w:r>
        <w:rPr>
          <w:rFonts w:ascii="Times New Roman" w:cs="David" w:eastAsia="David" w:hAnsi="Times New Roman"/>
          <w:i w:val="false"/>
          <w:iCs w:val="false"/>
          <w:noProof/>
          <w:sz w:val="20"/>
          <w:szCs w:val="20"/>
          <w:rtl w:val="false"/>
          <w:lang w:val="en-US" w:bidi="he-IL"/>
        </w:rPr>
        <w:t xml:space="preserve">, Philadelphia: University of Pennsylvania Press, 1993, pp. 1-14.</w:t>
      </w:r>
    </w:p>
  </w:footnote>
  <w:footnote w:id="25">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Berechiah ha-Nakdan, </w:t>
      </w:r>
      <w:r>
        <w:rPr>
          <w:rFonts w:ascii="Times New Roman" w:cs="David" w:eastAsia="David" w:hAnsi="Times New Roman"/>
          <w:i/>
          <w:iCs/>
          <w:noProof/>
          <w:sz w:val="20"/>
          <w:szCs w:val="20"/>
          <w:rtl w:val="false"/>
          <w:lang w:val="en-US" w:bidi="he-IL"/>
        </w:rPr>
        <w:t xml:space="preserve">Fables of a Jewish Aesop</w:t>
      </w:r>
      <w:r>
        <w:rPr>
          <w:rFonts w:ascii="Times New Roman" w:cs="David" w:eastAsia="David" w:hAnsi="Times New Roman"/>
          <w:i w:val="false"/>
          <w:iCs w:val="false"/>
          <w:noProof/>
          <w:sz w:val="20"/>
          <w:szCs w:val="20"/>
          <w:rtl w:val="false"/>
          <w:lang w:val="en-US" w:bidi="he-IL"/>
        </w:rPr>
        <w:t xml:space="preserve">, trans. Moses Hadas, New York: Columbia University Press, 1967; 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lang w:val="en-US" w:bidi="he-IL"/>
        </w:rPr>
        <w:t xml:space="preserve">.</w:t>
      </w:r>
    </w:p>
  </w:footnote>
  <w:footnote w:id="26">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val="false"/>
          <w:lang w:val="en-US" w:bidi="he-IL"/>
        </w:rPr>
        <w:t xml:space="preserve">, Introduction.</w:t>
      </w:r>
    </w:p>
  </w:footnote>
  <w:footnote w:id="27">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דן פגיס, </w:t>
      </w:r>
      <w:r>
        <w:rPr>
          <w:rFonts w:ascii="Times New Roman" w:cs="David" w:eastAsia="David" w:hAnsi="Times New Roman"/>
          <w:i/>
          <w:iCs/>
          <w:noProof/>
          <w:sz w:val="20"/>
          <w:szCs w:val="20"/>
          <w:rtl/>
          <w:lang w:val="en-US" w:bidi="he-IL"/>
        </w:rPr>
        <w:t xml:space="preserve">חידוש ומסורת בשירת החול העברית: ספרד ואיטליה</w:t>
      </w:r>
      <w:r>
        <w:rPr>
          <w:rFonts w:ascii="Times New Roman" w:cs="David" w:eastAsia="David" w:hAnsi="Times New Roman"/>
          <w:i w:val="false"/>
          <w:iCs w:val="false"/>
          <w:noProof/>
          <w:sz w:val="20"/>
          <w:szCs w:val="20"/>
          <w:rtl/>
          <w:lang w:val="en-US" w:bidi="he-IL"/>
        </w:rPr>
        <w:t xml:space="preserve">, ירושלים: כתר, 1976, עמ' 70-77 [לוודא עמודים].</w:t>
      </w:r>
    </w:p>
  </w:footnote>
  <w:footnote w:id="28">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ברכיה הנקדן, </w:t>
      </w:r>
      <w:r>
        <w:rPr>
          <w:rFonts w:ascii="Times New Roman" w:cs="David" w:eastAsia="David" w:hAnsi="Times New Roman"/>
          <w:i/>
          <w:iCs/>
          <w:noProof/>
          <w:sz w:val="20"/>
          <w:szCs w:val="20"/>
          <w:rtl/>
          <w:lang w:val="en-US" w:bidi="he-IL"/>
        </w:rPr>
        <w:t xml:space="preserve">משלי שועלים</w:t>
      </w:r>
      <w:r>
        <w:rPr>
          <w:rFonts w:ascii="Times New Roman" w:cs="David" w:eastAsia="David" w:hAnsi="Times New Roman"/>
          <w:i w:val="false"/>
          <w:iCs w:val="false"/>
          <w:noProof/>
          <w:sz w:val="20"/>
          <w:szCs w:val="20"/>
          <w:rtl/>
          <w:lang w:val="en-US" w:bidi="he-IL"/>
        </w:rPr>
        <w:t xml:space="preserve">, הקדמת המחבר, מהדורת הברמן [לוודא עמודים וציטוט מדויק].</w:t>
      </w:r>
    </w:p>
  </w:footnote>
  <w:footnote w:id="29">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ברכיה הנקדן, </w:t>
      </w:r>
      <w:r>
        <w:rPr>
          <w:rFonts w:ascii="Times New Roman" w:cs="David" w:eastAsia="David" w:hAnsi="Times New Roman"/>
          <w:i/>
          <w:iCs/>
          <w:noProof/>
          <w:sz w:val="20"/>
          <w:szCs w:val="20"/>
          <w:rtl/>
          <w:lang w:val="en-US" w:bidi="he-IL"/>
        </w:rPr>
        <w:t xml:space="preserve">משלי שועלים</w:t>
      </w:r>
      <w:r>
        <w:rPr>
          <w:rFonts w:ascii="Times New Roman" w:cs="David" w:eastAsia="David" w:hAnsi="Times New Roman"/>
          <w:i w:val="false"/>
          <w:iCs w:val="false"/>
          <w:noProof/>
          <w:sz w:val="20"/>
          <w:szCs w:val="20"/>
          <w:rtl/>
          <w:lang w:val="en-US" w:bidi="he-IL"/>
        </w:rPr>
        <w:t xml:space="preserve">, משל סה, מהדורת הברמן [לוודא נוסח החרוז הפותח].</w:t>
      </w:r>
    </w:p>
  </w:footnote>
  <w:footnote w:id="30">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Perry, </w:t>
      </w:r>
      <w:r>
        <w:rPr>
          <w:rFonts w:ascii="Times New Roman" w:cs="David" w:eastAsia="David" w:hAnsi="Times New Roman"/>
          <w:i/>
          <w:iCs/>
          <w:noProof/>
          <w:sz w:val="20"/>
          <w:szCs w:val="20"/>
          <w:rtl w:val="false"/>
          <w:lang w:val="en-US" w:bidi="he-IL"/>
        </w:rPr>
        <w:t xml:space="preserve">Babrius and Phaedrus</w:t>
      </w:r>
      <w:r>
        <w:rPr>
          <w:rFonts w:ascii="Times New Roman" w:cs="David" w:eastAsia="David" w:hAnsi="Times New Roman"/>
          <w:i w:val="false"/>
          <w:iCs w:val="false"/>
          <w:noProof/>
          <w:sz w:val="20"/>
          <w:szCs w:val="20"/>
          <w:rtl w:val="false"/>
          <w:lang w:val="en-US" w:bidi="he-IL"/>
        </w:rPr>
        <w:t xml:space="preserve">, Phaedrus 1.11; 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lang w:val="en-US" w:bidi="he-IL"/>
        </w:rPr>
        <w:t xml:space="preserve">, בדיון על משל סה [לוודא עמודים].</w:t>
      </w:r>
    </w:p>
  </w:footnote>
  <w:footnote w:id="31">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השווה משלי יז, כח. את מקור הפתגם המדויק יש לבדוק בספרות המוסר של ימי הביניים, כגון "מבחר הפנינים" [לוודא].</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noProof/>
        <w:sz w:val="24"/>
        <w:szCs w:val="24"/>
        <w:lang w:val="en-US"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eastAsia="David" w:hAnsi="Times New Roman"/>
      <w:b/>
      <w:bCs/>
      <w:sz w:val="32"/>
      <w:szCs w:val="32"/>
    </w:rPr>
  </w:style>
  <w:style w:type="paragraph" w:styleId="Heading2">
    <w:name w:val="Heading 2"/>
    <w:basedOn w:val="Normal"/>
    <w:next w:val="Normal"/>
    <w:qFormat/>
    <w:pPr>
      <w:outlineLvl w:val="1"/>
    </w:pPr>
    <w:rPr>
      <w:rFonts w:ascii="Times New Roman" w:cs="David" w:eastAsia="David"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דמות החמור במשלי שועלים לרבי ברכיה הנקדן</dc:title>
  <dc:creator>Seminar</dc:creator>
  <cp:lastModifiedBy>Un-named</cp:lastModifiedBy>
  <cp:revision>1</cp:revision>
  <dcterms:created xsi:type="dcterms:W3CDTF">2026-09-20T21:06:19.412Z</dcterms:created>
  <dcterms:modified xsi:type="dcterms:W3CDTF">2026-09-20T21:06:19.412Z</dcterms:modified>
</cp:coreProperties>
</file>

<file path=docProps/custom.xml><?xml version="1.0" encoding="utf-8"?>
<Properties xmlns="http://schemas.openxmlformats.org/officeDocument/2006/custom-properties" xmlns:vt="http://schemas.openxmlformats.org/officeDocument/2006/docPropsVTypes"/>
</file>