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(15 دراسة)، ثم الدراسات باللغات الأجنبيّة (10 دراسات)، فالمجموع 25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(15 دراسة):</w:t>
      </w:r>
    </w:p>
    <w:p>
      <w:pPr>
        <w:bidi/>
        <w:spacing w:after="1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360"/>
        <w:jc w:val="both"/>
      </w:pPr>
      <w:r>
        <w:rPr>
          <w:rFonts w:ascii="Simplified Arabic" w:cs="Simplified Arabic" w:eastAsia="Simplified Arabic" w:hAnsi="Simplified Arabic"/>
          <w:b/>
          <w:bCs/>
          <w:sz w:val="28"/>
          <w:szCs w:val="28"/>
          <w:rtl/>
        </w:rPr>
        <w:t xml:space="preserve">7. أحكام الموت الدماغيّ للإنسان والتصرّف في أعضائه</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360"/>
        <w:jc w:val="both"/>
      </w:pPr>
      <w:r>
        <w:rPr>
          <w:rFonts w:ascii="Simplified Arabic" w:cs="Simplified Arabic" w:eastAsia="Simplified Arabic" w:hAnsi="Simplified Arabic"/>
          <w:b/>
          <w:bCs/>
          <w:sz w:val="28"/>
          <w:szCs w:val="28"/>
          <w:rtl/>
        </w:rPr>
        <w:t xml:space="preserve">8. الأحكام المتعلّقة برفع أجهزة الإنعاش عن المريض</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360"/>
        <w:jc w:val="both"/>
      </w:pPr>
      <w:r>
        <w:rPr>
          <w:rFonts w:ascii="Simplified Arabic" w:cs="Simplified Arabic" w:eastAsia="Simplified Arabic" w:hAnsi="Simplified Arabic"/>
          <w:b/>
          <w:bCs/>
          <w:sz w:val="28"/>
          <w:szCs w:val="28"/>
          <w:rtl/>
        </w:rPr>
        <w:t xml:space="preserve">9. موت الرحمة والأحكام الشرعيّة المتعلقة بإبقاء أجهزة الإنعاش الصناعيّ ونزعها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360"/>
        <w:jc w:val="both"/>
      </w:pPr>
      <w:r>
        <w:rPr>
          <w:rFonts w:ascii="Simplified Arabic" w:cs="Simplified Arabic" w:eastAsia="Simplified Arabic" w:hAnsi="Simplified Arabic"/>
          <w:b/>
          <w:bCs/>
          <w:sz w:val="28"/>
          <w:szCs w:val="28"/>
          <w:rtl/>
        </w:rPr>
        <w:t xml:space="preserve">10. نقل أعضاء الميت موتًا سريريًّا في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360"/>
        <w:jc w:val="both"/>
      </w:pPr>
      <w:r>
        <w:rPr>
          <w:rFonts w:ascii="Simplified Arabic" w:cs="Simplified Arabic" w:eastAsia="Simplified Arabic" w:hAnsi="Simplified Arabic"/>
          <w:b/>
          <w:bCs/>
          <w:sz w:val="28"/>
          <w:szCs w:val="28"/>
          <w:rtl/>
        </w:rPr>
        <w:t xml:space="preserve">11. الموت السريريّ والموت الدماغيّ وأثرهما في الأحكام الشرعيّة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360"/>
        <w:jc w:val="both"/>
      </w:pPr>
      <w:r>
        <w:rPr>
          <w:rFonts w:ascii="Simplified Arabic" w:cs="Simplified Arabic" w:eastAsia="Simplified Arabic" w:hAnsi="Simplified Arabic"/>
          <w:b/>
          <w:bCs/>
          <w:sz w:val="28"/>
          <w:szCs w:val="28"/>
          <w:rtl/>
        </w:rPr>
        <w:t xml:space="preserve">12. إشكاليّة الموت السريريّ الإكلينيكيّ بين الفقه والطبّ وأثره على نقل وزرع الأعضاء البشريّة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360"/>
        <w:jc w:val="both"/>
      </w:pPr>
      <w:r>
        <w:rPr>
          <w:rFonts w:ascii="Simplified Arabic" w:cs="Simplified Arabic" w:eastAsia="Simplified Arabic" w:hAnsi="Simplified Arabic"/>
          <w:b/>
          <w:bCs/>
          <w:sz w:val="28"/>
          <w:szCs w:val="28"/>
          <w:rtl/>
        </w:rPr>
        <w:t xml:space="preserve">13. الموت الدماغيّ بين الطبّ والدين</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360"/>
        <w:jc w:val="both"/>
      </w:pPr>
      <w:r>
        <w:rPr>
          <w:rFonts w:ascii="Simplified Arabic" w:cs="Simplified Arabic" w:eastAsia="Simplified Arabic" w:hAnsi="Simplified Arabic"/>
          <w:b/>
          <w:bCs/>
          <w:sz w:val="28"/>
          <w:szCs w:val="28"/>
          <w:rtl/>
        </w:rPr>
        <w:t xml:space="preserve">14. حكم رفع أجهزة الإنعاش عن المتوفى دماغيًّا: دراسة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15. التعريف الطبيّ للموت</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1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1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1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1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1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1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1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الأوّل: الفتاوى المؤيّدة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1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1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160" w:line="360"/>
        <w:jc w:val="both"/>
      </w:pPr>
      <w:r>
        <w:rPr>
          <w:rFonts w:ascii="Simplified Arabic" w:cs="Simplified Arabic" w:eastAsia="Simplified Arabic" w:hAnsi="Simplified Arabic"/>
          <w:b/>
          <w:bCs/>
          <w:sz w:val="28"/>
          <w:szCs w:val="28"/>
          <w:rtl/>
        </w:rPr>
        <w:t xml:space="preserve">المذهب الحنفيّ: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360"/>
        <w:jc w:val="both"/>
      </w:pPr>
      <w:r>
        <w:rPr>
          <w:rFonts w:ascii="Simplified Arabic" w:cs="Simplified Arabic" w:eastAsia="Simplified Arabic" w:hAnsi="Simplified Arabic"/>
          <w:b/>
          <w:bCs/>
          <w:sz w:val="28"/>
          <w:szCs w:val="28"/>
          <w:rtl/>
        </w:rPr>
        <w:t xml:space="preserve">المذهب المالكيّ: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360"/>
        <w:jc w:val="both"/>
      </w:pPr>
      <w:r>
        <w:rPr>
          <w:rFonts w:ascii="Simplified Arabic" w:cs="Simplified Arabic" w:eastAsia="Simplified Arabic" w:hAnsi="Simplified Arabic"/>
          <w:b/>
          <w:bCs/>
          <w:sz w:val="28"/>
          <w:szCs w:val="28"/>
          <w:rtl/>
        </w:rPr>
        <w:t xml:space="preserve">المذهب الشافعيّ: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360"/>
        <w:jc w:val="both"/>
      </w:pPr>
      <w:r>
        <w:rPr>
          <w:rFonts w:ascii="Simplified Arabic" w:cs="Simplified Arabic" w:eastAsia="Simplified Arabic" w:hAnsi="Simplified Arabic"/>
          <w:b/>
          <w:bCs/>
          <w:sz w:val="28"/>
          <w:szCs w:val="28"/>
          <w:rtl/>
        </w:rPr>
        <w:t xml:space="preserve">المذهب الحنبليّ: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1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15 دراسة عربيّة و7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2026-08-14T19:06:36.833Z</dcterms:created>
  <dcterms:modified xsi:type="dcterms:W3CDTF">2026-08-14T19:06:36.833Z</dcterms:modified>
</cp:coreProperties>
</file>

<file path=docProps/custom.xml><?xml version="1.0" encoding="utf-8"?>
<Properties xmlns="http://schemas.openxmlformats.org/officeDocument/2006/custom-properties" xmlns:vt="http://schemas.openxmlformats.org/officeDocument/2006/docPropsVTypes"/>
</file>