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(עלוש-גלם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(עלוש-גלם ואחרים, 2025).</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שמחקר עדכני מזהה כליבה של תקשורת משבר אפקטיבית. סקירה מקיפה של המחקר בתחום מצאה שהאמון בתקשורת בזמן משבר תלוי בעיקר בארבעה מאפיינים, שקיפות, מהירות תגובה, אמפתיה ובהירות, ושהרשתות החברתיות הפכו לזירה המרכזית שבה משבר מתפוצץ ומנוהל (Upadhyay &amp; Upadhyay, 2023).</w:t>
      </w:r>
    </w:p>
    <w:p>
      <w:pPr>
        <w:bidi w:val="1"/>
        <w:spacing w:line="360" w:lineRule="auto" w:after="160"/>
        <w:jc w:val="both"/>
      </w:pPr>
      <w:r>
        <w:rPr>
          <w:rFonts w:ascii="David" w:hAnsi="David" w:cs="David"/>
          <w:b w:val="0"/>
          <w:i w:val="0"/>
          <w:sz w:val="24"/>
          <w:szCs w:val="24"/>
          <w:rtl w:val="1"/>
        </w:rPr>
        <w:t>לכן התגובה של מרחב תהיה מהירה, כנה, ומנוסחת בשפה אנושית, ולא בהתגוננות משפטית קרה. הדובר יאמר את מה שידוע, יכיר ברגש, ויתחייב לבדוק, במקום לחכות שהתמונה תתבהר בזמן שהרשתות כבר רותחות.</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 (Upadhyay &amp; Upadhyay, 2023).</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עלוש-גלם, א', אבידר, ר', ומגן, י'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