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1000" w:line="360"/>
        <w:jc w:val="center"/>
      </w:pPr>
      <w:r>
        <w:rPr>
          <w:rFonts w:ascii="David" w:cs="David" w:eastAsia="David" w:hAnsi="David" w:hint="cs"/>
          <w:sz w:val="28"/>
          <w:szCs w:val="28"/>
          <w:highlight w:val="yellow"/>
          <w:highlightCs w:val="yellow"/>
          <w:rtl/>
        </w:rPr>
        <w:t xml:space="preserve">[כותרת העבודה]</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rtl/>
        </w:rPr>
        <w:t xml:space="preserve">יסמין טהא,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highlight w:val="yellow"/>
          <w:highlightCs w:val="yellow"/>
          <w:rtl/>
        </w:rPr>
        <w:t xml:space="preserve">[תאריך עברי]</w:t>
      </w:r>
      <w:r>
        <w:rPr>
          <w:rFonts w:ascii="David" w:cs="David" w:eastAsia="David" w:hAnsi="David" w:hint="cs"/>
          <w:sz w:val="24"/>
          <w:szCs w:val="24"/>
          <w:rtl/>
        </w:rPr>
        <w:t xml:space="preserve"> | </w:t>
      </w:r>
      <w:r>
        <w:rPr>
          <w:rFonts w:ascii="David" w:cs="David" w:eastAsia="David" w:hAnsi="David" w:hint="cs"/>
          <w:sz w:val="24"/>
          <w:szCs w:val="24"/>
          <w:highlight w:val="yellow"/>
          <w:highlightCs w:val="yellow"/>
          <w:rtl/>
        </w:rPr>
        <w:t xml:space="preserve">[תאריך לועזי]</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highlight w:val="yellow"/>
          <w:highlightCs w:val="yellow"/>
          <w:rtl/>
        </w:rPr>
        <w:t xml:space="preserve">[פסקה אחת עד שתיים: מה אירע, באיזה הקשר, מי הדמויות המעורבות (בלי פרטים מזהים) ומדוע החוויה משמעותית. באופציה 2 יש לצרף כאן קישור לכתבה או צילום מסך. לכתוב בגוף שלישי, למשל "המקרה עוסק באישה בשנות הארבעים לחייה" ולא "אמא שלי".]</w:t>
      </w:r>
    </w:p>
    <w:p>
      <w:pPr>
        <w:pStyle w:val="Heading1"/>
        <w:bidi/>
        <w:spacing w:after="120" w:before="240" w:line="360"/>
        <w:jc w:val="right"/>
      </w:pPr>
      <w:r>
        <w:rPr>
          <w:rFonts w:ascii="David" w:cs="David" w:eastAsia="David" w:hAnsi="David" w:hint="cs"/>
          <w:b/>
          <w:bCs/>
          <w:sz w:val="28"/>
          <w:szCs w:val="28"/>
          <w:rtl/>
        </w:rPr>
        <w:t xml:space="preserve">ב. ניתוח המקרה</w:t>
      </w:r>
    </w:p>
    <w:p>
      <w:pPr>
        <w:bidi/>
        <w:spacing w:after="120" w:line="360"/>
        <w:ind w:firstLine="0"/>
        <w:jc w:val="both"/>
      </w:pPr>
      <w:r>
        <w:rPr>
          <w:rFonts w:ascii="David" w:cs="David" w:eastAsia="David" w:hAnsi="David" w:hint="cs"/>
          <w:sz w:val="24"/>
          <w:szCs w:val="24"/>
          <w:rtl/>
        </w:rPr>
        <w:t xml:space="preserve">הניתוח נשען על שלוש מסגרות שנלמדו בקורס: מודל ההחלמה של הרמן, ההיבט הגופני של הטראומה כפי שתיאר אותו ואן דר קולק, ושלבי האבל של קובלר-רוס.</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 ומודל ההחלמה</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הטראומטי עלול לנפץ את תחושת הביטחון, האמון והאוטונומיה, ולהשאיר את האדם עם חוסר אונים ואובדן שליטה. תגובות כמו קהות רגשית, ערנות יתר ודיסוציאציה אינן סימן לחולשה. אלו תגובות נורמליות לנסיבות חריגות. כשהסביבה אינה מכירה בפגיעה, מפקפקת בנפגע או מאשימה אותו, נוצרת פגיעה נוספת שחוסמת את הדרך להחלמה.</w:t>
      </w:r>
    </w:p>
    <w:p>
      <w:pPr>
        <w:bidi/>
        <w:spacing w:after="120" w:line="360"/>
        <w:ind w:firstLine="0"/>
        <w:jc w:val="both"/>
      </w:pPr>
      <w:r>
        <w:rPr>
          <w:rFonts w:ascii="David" w:cs="David" w:eastAsia="David" w:hAnsi="David" w:hint="cs"/>
          <w:sz w:val="24"/>
          <w:szCs w:val="24"/>
          <w:rtl/>
        </w:rPr>
        <w:t xml:space="preserve">מודל ההחלמה, כפי שהוצג בקורס, מתקדם בארבעה שלבים: יצירת ביטחון ושליטה, זכירה ואבלות, ביסוס קשר מחודש עם אחרים, ולבסוף צדק, שעניינו תיקון הנזק ולא ענישת הפוגע. המדד הטוב ביותר להחלמה הוא היכולת לחזור וליהנות מהחיים ולהיות מעורב באופן מלא ביחסים עם אחרים (זמיר נצראל, 2026ג).</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באיזה שלב נמצאת הדמות? האם הסביבה הכירה בפגיעה או התעלמה ממנה? דוגמה קונקרטית אחת מהמקרה.]</w:t>
      </w:r>
    </w:p>
    <w:p>
      <w:pPr>
        <w:pStyle w:val="Heading2"/>
        <w:bidi/>
        <w:spacing w:after="120" w:before="240" w:line="360"/>
        <w:jc w:val="right"/>
      </w:pPr>
      <w:r>
        <w:rPr>
          <w:rFonts w:ascii="David" w:cs="David" w:eastAsia="David" w:hAnsi="David" w:hint="cs"/>
          <w:b/>
          <w:bCs/>
          <w:sz w:val="24"/>
          <w:szCs w:val="24"/>
          <w:rtl/>
        </w:rPr>
        <w:t xml:space="preserve">2. ואן דר קולק: הגוף זוכר</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לכן אותו אירוע יכול להשאיר אדם אחד פגוע ואדם אחר כמעט בלי פגע, בהתאם לאישיות, לניסיון קודם וליסודות הביטחון שלו. הטענה המרכזית בספרו היא שגם אחרי שהאירוע הסתיים, הגוף ממשיך לחוות אותו. הורמוני הדחק מועילים בטווח הקצר ומזיקים בטווח הארוך, והמוח הקדום ממשיך לאותת על סכנה. התוצאה יכולה להיות כאב כרוני, בעיות עיכול ופגיעה במערכת החיסון. מכאן גם הטיפול שהוא מציע: עבודה "מלמטה למעלה" שמחזירה מגע עם הגוף, כמו יוגה, מיינדפולנס ו-EMDR (זמיר נצראל, 2026ב).</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אילו תגובות גופניות הופיעו (שינה, דריכות, כאבים, הימנעות ממקומות)? האם נעשה שימוש באחת מדרכי ההתמודדות האלה?]</w:t>
      </w:r>
    </w:p>
    <w:p>
      <w:pPr>
        <w:pStyle w:val="Heading2"/>
        <w:bidi/>
        <w:spacing w:after="120" w:before="240" w:line="360"/>
        <w:jc w:val="right"/>
      </w:pPr>
      <w:r>
        <w:rPr>
          <w:rFonts w:ascii="David" w:cs="David" w:eastAsia="David" w:hAnsi="David" w:hint="cs"/>
          <w:b/>
          <w:bCs/>
          <w:sz w:val="24"/>
          <w:szCs w:val="24"/>
          <w:rtl/>
        </w:rPr>
        <w:t xml:space="preserve">3. קובלר-רוס: חמשת שלבי האבל</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ובידוד, כעס, מיקוח, דיכאון והשלמה. ההכחשה פועלת כבולם זעזועים שמאפשר לאסוף כוחות. הכעס מופנה לא פעם כלפי הסביבה, שמתקשה להכיל אותו. במיקוח האדם מנסה לדחות את הקץ ולהרוויח זמן, והדיכאון, עם רגשות האשם ותחושת ההחמצה, הוא שלב הכרחי בדרך להשלמה. הסדר, העוצמה ומשך כל שלב משתנים מאדם לאדם (זמיר נצראל, 2026א). אובדן אינו רק מוות. גם בית, שגרה, מערכת יחסים או תחושת ביטחון יכולים להיות מושא לאבל.</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אילו שלבים ניכרים? ציטוט קצר או התנהגות שממחישים שלב אחד לפחות.]</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חוויה אישית בישראל של התקופה הנוכחית מתרחשת בתוך טראומה קולקטיבית, כזו שפוגעת בקהילה ובחברה כולה ולא רק ביחיד. אחד מביטוייה הוא אובדן עולם ההנחות: ההנחה שהמעשים שלנו משפיעים על התוצאות ושאנחנו, כאנשים וכחברה, מוגנים (זמיר נצראל, 2026ב). אירועים כאלה נצרבים בזיכרון הקולקטיבי ומעצבים נרטיבים תרבותיים (Saul, 2014, כפי שמצוטט אצל זמיר נצראל, 2026ג), וכמעט כל טראומה קולקטיבית הופכת עם הזמן לבין-דורית (Hirschberger, 2018, כפי שמצוטט אצל זמיר נצראל, 2026ג). בקורס הודגם כיצד אירועי 7 באוקטובר עוררו מחדש את זיכרון השואה אצל יהודים בישראל, והמלחמה בעזה עוררה את זיכרון הנכבה אצל פלסטינים.</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כיצד הרקע התרבותי, הדתי או הקהילתי של הדמות עיצב את החוויה? האם הקהילה סייעה או הקשתה?]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מודל השלבים של קובלר-רוס נוח לתיאור, אבל נוטה להיקרא כרצף ליניארי, ובפועל אנשים חוזרים לשלבים שכבר עברו או חווים כמה מהם בו-זמנית. גם המודל של הרמן מניח שאפשר לבסס קודם כול ביטחון. כשהאיום עצמו נמשך, כמו במלחמה מתמשכת, קשה לדבר על שלב ראשון שהושלם. ההסבר של ואן דר קולק חזק במיוחד בתגובות הגופניות, ופחות מתייחס לממד החברתי שהרמן מדגישה.</w:t>
      </w:r>
    </w:p>
    <w:p>
      <w:pPr>
        <w:bidi/>
        <w:spacing w:after="120" w:line="360"/>
        <w:ind w:firstLine="0"/>
        <w:jc w:val="both"/>
      </w:pPr>
      <w:r>
        <w:rPr>
          <w:rFonts w:ascii="David" w:cs="David" w:eastAsia="David" w:hAnsi="David" w:hint="cs"/>
          <w:sz w:val="24"/>
          <w:szCs w:val="24"/>
          <w:highlight w:val="yellow"/>
          <w:highlightCs w:val="yellow"/>
          <w:rtl/>
        </w:rPr>
        <w:t xml:space="preserve">[להתאים למקרה: מה במקרה לא מוסבר על ידי אף אחת מהתאוריות?]</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זמיר נצראל, ל' (2026א). </w:t>
      </w:r>
      <w:r>
        <w:rPr>
          <w:rFonts w:ascii="David" w:cs="David" w:eastAsia="David" w:hAnsi="David" w:hint="cs"/>
          <w:i/>
          <w:iCs/>
          <w:sz w:val="24"/>
          <w:szCs w:val="24"/>
          <w:rtl/>
        </w:rPr>
        <w:t xml:space="preserve">אובדן ואבל</w:t>
      </w:r>
      <w:r>
        <w:rPr>
          <w:rFonts w:ascii="David" w:cs="David" w:eastAsia="David" w:hAnsi="David" w:hint="cs"/>
          <w:sz w:val="24"/>
          <w:szCs w:val="24"/>
          <w:rtl/>
        </w:rPr>
        <w:t xml:space="preserve"> [מצגת הרצאה].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(2026ב). </w:t>
      </w:r>
      <w:r>
        <w:rPr>
          <w:rFonts w:ascii="David" w:cs="David" w:eastAsia="David" w:hAnsi="David" w:hint="cs"/>
          <w:i/>
          <w:iCs/>
          <w:sz w:val="24"/>
          <w:szCs w:val="24"/>
          <w:rtl/>
        </w:rPr>
        <w:t xml:space="preserve">טראומה</w:t>
      </w:r>
      <w:r>
        <w:rPr>
          <w:rFonts w:ascii="David" w:cs="David" w:eastAsia="David" w:hAnsi="David" w:hint="cs"/>
          <w:sz w:val="24"/>
          <w:szCs w:val="24"/>
          <w:rtl/>
        </w:rPr>
        <w:t xml:space="preserve"> [מצגת הרצאה, יחידה 3].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(2026ג). </w:t>
      </w:r>
      <w:r>
        <w:rPr>
          <w:rFonts w:ascii="David" w:cs="David" w:eastAsia="David" w:hAnsi="David" w:hint="cs"/>
          <w:i/>
          <w:iCs/>
          <w:sz w:val="24"/>
          <w:szCs w:val="24"/>
          <w:rtl/>
        </w:rPr>
        <w:t xml:space="preserve">טראומה: ההיבט החברתי-תרבותי של הטראומה</w:t>
      </w:r>
      <w:r>
        <w:rPr>
          <w:rFonts w:ascii="David" w:cs="David" w:eastAsia="David" w:hAnsi="David" w:hint="cs"/>
          <w:sz w:val="24"/>
          <w:szCs w:val="24"/>
          <w:rtl/>
        </w:rPr>
        <w:t xml:space="preserve"> [מצגת הרצאה, יחידה 4].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2026-09-26T22:41:15.012Z</dcterms:created>
  <dcterms:modified xsi:type="dcterms:W3CDTF">2026-09-26T22:41:15.013Z</dcterms:modified>
</cp:coreProperties>
</file>

<file path=docProps/custom.xml><?xml version="1.0" encoding="utf-8"?>
<Properties xmlns="http://schemas.openxmlformats.org/officeDocument/2006/custom-properties" xmlns:vt="http://schemas.openxmlformats.org/officeDocument/2006/docPropsVTypes"/>
</file>