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bidi w:val="1"/>
        <w:spacing w:line="360" w:lineRule="auto" w:after="0"/>
        <w:jc w:val="both"/>
      </w:pPr>
    </w:p>
    <w:p>
      <w:pPr>
        <w:bidi w:val="1"/>
        <w:spacing w:line="360" w:lineRule="auto" w:after="0"/>
        <w:jc w:val="both"/>
      </w:pPr>
    </w:p>
    <w:p>
      <w:pPr>
        <w:bidi w:val="1"/>
        <w:spacing w:line="240" w:lineRule="auto" w:after="120"/>
        <w:jc w:val="center"/>
      </w:pPr>
      <w:r>
        <w:rPr>
          <w:rFonts w:ascii="David" w:hAnsi="David" w:cs="David"/>
          <w:b/>
          <w:i w:val="0"/>
          <w:sz w:val="28"/>
          <w:szCs w:val="28"/>
          <w:rtl w:val="1"/>
        </w:rPr>
        <w:t>אוניברסיטת בר-אילן | 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520"/>
        <w:jc w:val="center"/>
      </w:pPr>
      <w:r>
        <w:rPr>
          <w:rFonts w:ascii="David" w:hAnsi="David" w:cs="David"/>
          <w:b w:val="0"/>
          <w:i w:val="0"/>
          <w:sz w:val="26"/>
          <w:szCs w:val="26"/>
          <w:rtl w:val="1"/>
        </w:rPr>
        <w:t>עבודת סיכום</w:t>
      </w:r>
    </w:p>
    <w:p>
      <w:pPr>
        <w:bidi w:val="1"/>
        <w:spacing w:line="240" w:lineRule="auto" w:after="400"/>
        <w:jc w:val="center"/>
      </w:pPr>
      <w:r>
        <w:rPr>
          <w:rFonts w:ascii="David" w:hAnsi="David" w:cs="David"/>
          <w:b w:val="0"/>
          <w:i w:val="0"/>
          <w:sz w:val="24"/>
          <w:szCs w:val="24"/>
          <w:rtl w:val="1"/>
        </w:rPr>
        <w:t>מגיש/ה: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360" w:lineRule="auto" w:after="200"/>
        <w:jc w:val="right"/>
      </w:pPr>
      <w:r>
        <w:rPr>
          <w:rFonts w:ascii="David" w:hAnsi="David" w:cs="David"/>
          <w:b/>
          <w:i w:val="0"/>
          <w:sz w:val="26"/>
          <w:szCs w:val="26"/>
          <w:rtl w:val="1"/>
        </w:rPr>
        <w:t>מבוא</w:t>
      </w:r>
    </w:p>
    <w:p>
      <w:pPr>
        <w:bidi w:val="1"/>
        <w:spacing w:line="36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(בן-חורין,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(בן-חורין, תשפ"ו).</w:t>
      </w:r>
    </w:p>
    <w:p>
      <w:pPr>
        <w:bidi w:val="1"/>
        <w:spacing w:line="360" w:lineRule="auto" w:after="160"/>
        <w:jc w:val="both"/>
      </w:pPr>
      <w:r>
        <w:rPr>
          <w:rFonts w:ascii="David" w:hAnsi="David" w:cs="David"/>
          <w:b w:val="0"/>
          <w:i w:val="0"/>
          <w:sz w:val="24"/>
          <w:szCs w:val="24"/>
          <w:rtl w:val="1"/>
        </w:rPr>
        <w:t>הדיון מתקדם בשלושה מהלכים. תחילה מתואר כיצד כל מחזה ניגש אל המקור המיתי שלו ואל יסוד הגורל. לאחר מכן מועמדות שתי סצנות היסוד, הגיבורה מול השליט, זו מול זו. לבסוף נבחן הפתרון המנוגד של שני המחזות, הטרגי-פוליטי מול ההומני, ומה שאפשר ללמוד מן ההבדל על עצם המפגש בין מיתוס לדרמה.</w:t>
      </w:r>
    </w:p>
    <w:p>
      <w:pPr>
        <w:bidi w:val="1"/>
        <w:spacing w:line="360" w:lineRule="auto" w:after="200"/>
        <w:jc w:val="right"/>
      </w:pPr>
      <w:r>
        <w:rPr>
          <w:rFonts w:ascii="David" w:hAnsi="David" w:cs="David"/>
          <w:b/>
          <w:i w:val="0"/>
          <w:sz w:val="26"/>
          <w:szCs w:val="26"/>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(בן-חורין,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(בן-חורין,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 קים מראה שגיתה מבטל את הצורך בגניבה ובמרמה שאפיינו את המקור האוריפידי, ובמקומם יוצר דמויות נאורות ואוטונומיות ברוח האתיקה הקאנטית, הפועלות מתוך הכרעה מוסרית עצמאית (Kim, 2011).</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כפי שמראה דוארטה, העיבוד של 1948 הוא מחווה פוליטית מוצהרת שמבקשת רַציונליזציה של הטרגדיה היוונית, פירוק של יסוד הגורל וחשיפת המנגנון האנושי שמאחוריו (Duarte, 2017).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ומן ההצגה הבודדת הזאת נולד "המודל" (Antigonemodell), שתבע התמודדות ישירה עם המבנה הזר של הטרגדיה היוונית כולה (Duarte, 2017).</w:t>
      </w:r>
    </w:p>
    <w:p>
      <w:pPr>
        <w:bidi w:val="1"/>
        <w:spacing w:line="360" w:lineRule="auto" w:after="160"/>
        <w:jc w:val="both"/>
      </w:pPr>
      <w:r>
        <w:rPr>
          <w:rFonts w:ascii="David" w:hAnsi="David" w:cs="David"/>
          <w:b w:val="0"/>
          <w:i w:val="0"/>
          <w:sz w:val="24"/>
          <w:szCs w:val="24"/>
          <w:rtl w:val="1"/>
        </w:rPr>
        <w:t>ההבדל בין שתי הגישות ניכר כבר ברמת הצורה הדרמטית. ברכט אינו מבקש שהצופה יזדהה עם הגורל הטרגי אלא שיתבונן בו מבחוץ, ולכן הוא ממקם את הפרולוג בזמן ובמקום קונקרטיים ומנתק את הצופה מן ההזדהות המיתית. זהו מהלך של הרחקה, מן הכלים הפרשניים שהקורס מזהה כמרכזיים בתיאטרון של ברכט (בן-חורין, תשפ"ו). גיתה, לעומתו, אינו מרחיק את הגורל אלא מפנים אותו. מה שהיה אצל אוריפידס כוח חיצוני של האלים הופך אצלו לקול המצפון הפנימי של הגיבורה, והדרמה כולה נעה מן החוץ אל הפנים, מן המיתוס אל הנפש (גיתה, 1787/1981).</w:t>
      </w:r>
    </w:p>
    <w:p>
      <w:pPr>
        <w:bidi w:val="1"/>
        <w:spacing w:line="360" w:lineRule="auto" w:after="160"/>
        <w:jc w:val="both"/>
      </w:pPr>
      <w:r>
        <w:rPr>
          <w:rFonts w:ascii="David" w:hAnsi="David" w:cs="David"/>
          <w:b w:val="0"/>
          <w:i w:val="0"/>
          <w:sz w:val="24"/>
          <w:szCs w:val="24"/>
          <w:rtl w:val="1"/>
        </w:rPr>
        <w:t>גם מבנה הטקסט נושא את ההבדל הזה. "איפיגניה בטאוריס" כתובה בתבנית הקלאסית הסגורה, בחרוזים לבנים מדודים, שבה כל מהלך נובע מקודמו עד הפיוס, צורה שמגלמת בעצמה את אמון ויימאר בהרמוניה ובמידה (גיתה, 1787/1981). ברכט, לעומת זאת, כותב דרמה אפית ופתוחה, קטועה, המשלבת מקהלה ופרולוג עכשווי ומסרבת לאשליה של רצף אחיד. הקורס מדגיש שתיאור המאפיינים הדרמטיים של הטקסט הוא חלק מן הקריאה בו, וכאן הצורה אינה עטיפה חיצונית אלא נושאת בעצמה את עמדת היוצר כלפי המיתוס (בן-חורין, תשפ"ו).</w:t>
      </w:r>
    </w:p>
    <w:p>
      <w:pPr>
        <w:bidi w:val="1"/>
        <w:spacing w:line="360" w:lineRule="auto" w:after="200"/>
        <w:jc w:val="right"/>
      </w:pPr>
      <w:r>
        <w:rPr>
          <w:rFonts w:ascii="David" w:hAnsi="David" w:cs="David"/>
          <w:b/>
          <w:i w:val="0"/>
          <w:sz w:val="26"/>
          <w:szCs w:val="26"/>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(בן-חורין, תשפ"ו).</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שהקורס בוחן בהקשר של התקבלות המחזה, אלא בין הפרט לשלטון תוקפני שמוביל את עמו למלחמת שווא (בן-חורין, תשפ"ו). אנטיגונה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360" w:lineRule="auto" w:after="160"/>
        <w:jc w:val="both"/>
      </w:pPr>
      <w:r>
        <w:rPr>
          <w:rFonts w:ascii="David" w:hAnsi="David" w:cs="David"/>
          <w:b w:val="0"/>
          <w:i w:val="0"/>
          <w:sz w:val="24"/>
          <w:szCs w:val="24"/>
          <w:rtl w:val="1"/>
        </w:rPr>
        <w:t>האמת אינה אצלה כניעה אלא צורה אחרת של התנגדות. כשתואס דורש ממנה למלא את חוק הקורבן הקדום, היא מזהירה אותו שמלך הגוזר דין לא-אנושי תמיד ימצא משרתים שיבצעו למענו את החצי המלוכלך של הפשע, בעוד ידיו שלו נשארות נקיות (גיתה, 1787/1981, שורות 1813-1815). זו אינה בקשת רחמים אלא טענה חדה על אחריותו המוסרית של השליט. וכנגד דימוי האישה הכנועה, היא מבחינה בין ציות שהוא חופש לבין כניעה שהיא השפלה: מילדותה למדה משמעת להוריה ולאלים, ובציות הזה חשה את נפשה חופשייה, אך לכפיפות לאיומיו של גבר לא הסכינה מעולם (גיתה, 1787/1981, שורות 1826-1830).</w:t>
      </w:r>
    </w:p>
    <w:p>
      <w:pPr>
        <w:bidi w:val="1"/>
        <w:spacing w:line="360" w:lineRule="auto" w:after="160"/>
        <w:jc w:val="both"/>
      </w:pPr>
      <w:r>
        <w:rPr>
          <w:rFonts w:ascii="David" w:hAnsi="David" w:cs="David"/>
          <w:b w:val="0"/>
          <w:i w:val="0"/>
          <w:sz w:val="24"/>
          <w:szCs w:val="24"/>
          <w:rtl w:val="1"/>
        </w:rPr>
        <w:t>גם דמויות השליטים מציבות את שני הקטבים. קראון של ברכט הוא רודן המנהל מלחמת כיבוש, מעניש את מפירי צוויו בפומבי ובאכזריות, וסופו שהוא מאבד את בנו ואת צבאו כאחד (ברכט, 1948/2022). תואס של גיתה, ה"ברברי" לכאורה, מתגלה דווקא כמי שכפוף לחוק עתיק יותר, חוק הכנסת האורחים, ומוכן לשמוע טיעון מוסרי ולשנות את דעתו (גיתה, 1787/1981). ההצבה הזאת הופכת את הציפייה על פיה: השליט מן העולם המוכר הוא האלים והתוקפני, ואילו הזר, ה"ברברי", הוא שמגלם את האנושיות. כפי שמראה קים, גיתה מפרק כאן את המיתוס שלפיו היווני הוא בן התרבות והזר הוא הברברי (Kim, 2011).</w:t>
      </w:r>
    </w:p>
    <w:p>
      <w:pPr>
        <w:bidi w:val="1"/>
        <w:spacing w:line="360" w:lineRule="auto" w:after="200"/>
        <w:jc w:val="right"/>
      </w:pPr>
      <w:r>
        <w:rPr>
          <w:rFonts w:ascii="David" w:hAnsi="David" w:cs="David"/>
          <w:b/>
          <w:i w:val="0"/>
          <w:sz w:val="26"/>
          <w:szCs w:val="26"/>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המחזה מסתיים בהתרסקות מוחלטת: בנו של קראון, מגאורוס, נופל בקרב, צבאו מובס ונס, והשלטון קורס בלי נחמה (ברכט, 1948/2022).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36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נענה דווקא הוא לקריאה האנושית ומושיט יד לשלום, "הוֹשֶׁט נָא לִי יָדְךָ לְאוֹת שָׁלוֹם" (גיתה, 1787/1981, שורה 1985). אם אצל אוריפידס התירה את הקשר אלה שירדה מן המכונה, כאן תופס את מקומה האדם עצמו: לא דאוס אקס מכינה אלא הכרעה אנושית היא שמביאה את הפתרון (גיתה, 1787/1981). קים מתאר את המהלך הזה כמעבר מאלימות לתקשורת: איפיגניה מכבדת את תואס כשותף לשיח, מגשרת בין הצדדים באמצעות דיבור אמת, ומובילה להבטחת הכנסת אורחים הדדית (Kim, 2011).</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(בן-חורין,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360" w:lineRule="auto" w:after="200"/>
        <w:jc w:val="right"/>
      </w:pPr>
      <w:r>
        <w:rPr>
          <w:rFonts w:ascii="David" w:hAnsi="David" w:cs="David"/>
          <w:b/>
          <w:i w:val="0"/>
          <w:sz w:val="26"/>
          <w:szCs w:val="26"/>
          <w:rtl w:val="1"/>
        </w:rPr>
        <w:t>ד. מה לומדים מן ההשוואה</w:t>
      </w:r>
    </w:p>
    <w:p>
      <w:pPr>
        <w:bidi w:val="1"/>
        <w:spacing w:line="360" w:lineRule="auto" w:after="160"/>
        <w:jc w:val="both"/>
      </w:pPr>
      <w:r>
        <w:rPr>
          <w:rFonts w:ascii="David" w:hAnsi="David" w:cs="David"/>
          <w:b w:val="0"/>
          <w:i w:val="0"/>
          <w:sz w:val="24"/>
          <w:szCs w:val="24"/>
          <w:rtl w:val="1"/>
        </w:rPr>
        <w:t>אפשר לחדד את ההבדל דרך מושג הקורבן, שעומד בלב שני המיתוסים. סיפורה של איפיגניה נפתח בקורבן אדם, בתו של אגממנון על המזבח, ואילו סיפורה של אנטיגונה סובב סביב גופה של המת שאין קוברים. גיתה לוקח את מיתוס הקורבן והופך אותו על פיו: לא עוד דם הנשפך כדי לרצות את האלים, אלא אמת הנאמרת כדי לגאול את האדם, כך שהקורבן מבוטל והכול ניצלים (גיתה, 1787/1981). אצל ברכט אין ביטול כזה. התנגדותה של אנטיגונה עולה לה בחייה, והמחיר אינו נמחק אלא נותר גלוי כדי שהצופה יישא את משקלו (ברכט, 1948/2022). כך מתגלים שני יחסים הפוכים אל הקורבן המיתי, האחד מבקש להיחלץ ממנו והשני מסרב להסתיר אותו.</w:t>
      </w:r>
    </w:p>
    <w:p>
      <w:pPr>
        <w:bidi w:val="1"/>
        <w:spacing w:line="360" w:lineRule="auto" w:after="160"/>
        <w:jc w:val="both"/>
      </w:pPr>
      <w:r>
        <w:rPr>
          <w:rFonts w:ascii="David" w:hAnsi="David" w:cs="David"/>
          <w:b w:val="0"/>
          <w:i w:val="0"/>
          <w:sz w:val="24"/>
          <w:szCs w:val="24"/>
          <w:rtl w:val="1"/>
        </w:rPr>
        <w:t>ההעמדה של שני המחזות זו מול זו מלמדת שהמיתוס אינו נושא בתוכו משמעות אחת קבועה, אלא הוא מעין מסך שעליו כל דרמטורג מקרין את שאלת התקופה שלו (בן-חורין, תשפ"ו). גיתה, בן הקלאסיקה של ויימאר, מקרין על המיתוס את האמונה הנאורה ביכולת האדם להשתלם ולגבור על הברבריות. ברכט, אחרי אושוויץ ואחרי המלחמה, כבר אינו יכול להאמין בגאולה הזאת, ולכן הופך את המיתוס למחווה פוליטית ולכלי ביקורת (Duarte, 2017).</w:t>
      </w:r>
    </w:p>
    <w:p>
      <w:pPr>
        <w:bidi w:val="1"/>
        <w:spacing w:line="360" w:lineRule="auto" w:after="160"/>
        <w:jc w:val="both"/>
      </w:pPr>
      <w:r>
        <w:rPr>
          <w:rFonts w:ascii="David" w:hAnsi="David" w:cs="David"/>
          <w:b w:val="0"/>
          <w:i w:val="0"/>
          <w:sz w:val="24"/>
          <w:szCs w:val="24"/>
          <w:rtl w:val="1"/>
        </w:rPr>
        <w:t>ההבדל הזה נוגע ישירות בשאלה שהמחזות מציבים על הגיבורה. אנטיגונה של ברכט ואיפיגניה של גיתה שתיהן נשים שמתייצבות מול סמכות גברית בשם ערך עליון, אך אצל ברכט הערך הוא צדק פוליטי שמוביל אל מוות, ואצל גיתה הוא אנושיות שמובילה אל חיים. שתי הגיבורות מגלמות שני חלומות שונים על התנגדות, אחת מנצחת דרך מותה ומחאתה, והשנייה דרך כוחה לשנות את האחר בלי אלימות (בן-חורין, תשפ"ו).</w:t>
      </w:r>
    </w:p>
    <w:p>
      <w:pPr>
        <w:bidi w:val="1"/>
        <w:spacing w:line="360" w:lineRule="auto" w:after="160"/>
        <w:jc w:val="both"/>
      </w:pPr>
      <w:r>
        <w:rPr>
          <w:rFonts w:ascii="David" w:hAnsi="David" w:cs="David"/>
          <w:b w:val="0"/>
          <w:i w:val="0"/>
          <w:sz w:val="24"/>
          <w:szCs w:val="24"/>
          <w:rtl w:val="1"/>
        </w:rPr>
        <w:t>על רקע זה מתחדדת גם משמעותה של הבחירה בגיבורה אישה בשני המחזות. שתיהן מציבות את קולן מול סמכות גברית, אך אצל ברכט ההתנגדות נשמעת בשפת הכוח והפוליטיקה, ואילו אצל גיתה היא נשמעת בשפת האמת והמצפון. אין כאן דגם אחד של גבורה נשית אלא שניים: האחת מפרה את הצו ומשלמת על כך בחייה, השנייה אינה מפרה דבר אלא משנה את הצו מבפנים, בכוח דיבורה. ההעמדה של שתי הדמויות זו מול זו היא בדיוק סוג הקריאה ההשוואתית שהקורס מציע ככלי פרשני, קריאה שאינה בוחנת יצירה יחידה אלא את היחסים בין יצירות הפונות אל אותו מיתוס (בן-חורין, תשפ"ו).</w:t>
      </w:r>
    </w:p>
    <w:p>
      <w:pPr>
        <w:bidi w:val="1"/>
        <w:spacing w:line="36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360" w:lineRule="auto" w:after="200"/>
        <w:jc w:val="right"/>
      </w:pPr>
      <w:r>
        <w:rPr>
          <w:rFonts w:ascii="David" w:hAnsi="David" w:cs="David"/>
          <w:b/>
          <w:i w:val="0"/>
          <w:sz w:val="26"/>
          <w:szCs w:val="26"/>
          <w:rtl w:val="1"/>
        </w:rPr>
        <w:t>סיכום ומסקנות</w:t>
      </w:r>
    </w:p>
    <w:p>
      <w:pPr>
        <w:bidi w:val="1"/>
        <w:spacing w:line="36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(בן-חורין, תשפ"ו).</w:t>
      </w:r>
    </w:p>
    <w:p>
      <w:pPr>
        <w:bidi w:val="1"/>
        <w:spacing w:line="36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360" w:lineRule="auto" w:after="200"/>
        <w:jc w:val="right"/>
      </w:pPr>
      <w:r>
        <w:rPr>
          <w:rFonts w:ascii="David" w:hAnsi="David" w:cs="David"/>
          <w:b/>
          <w:i w:val="0"/>
          <w:sz w:val="26"/>
          <w:szCs w:val="26"/>
          <w:rtl w:val="1"/>
        </w:rPr>
        <w:t>רשימת מקורות</w:t>
      </w:r>
    </w:p>
    <w:p>
      <w:pPr>
        <w:bidi w:val="1"/>
        <w:spacing w:line="360" w:lineRule="auto" w:after="200"/>
        <w:ind w:left="709" w:hanging="709"/>
        <w:jc w:val="both"/>
      </w:pPr>
      <w:r>
        <w:rPr>
          <w:rFonts w:ascii="David" w:hAnsi="David" w:cs="David"/>
          <w:i w:val="0"/>
          <w:sz w:val="24"/>
          <w:szCs w:val="24"/>
          <w:rtl w:val="1"/>
        </w:rPr>
        <w:t xml:space="preserve">בן-חורין, מ' (תשפ"ו). </w:t>
      </w:r>
      <w:r>
        <w:rPr>
          <w:rFonts w:ascii="David" w:hAnsi="David" w:cs="David"/>
          <w:i/>
          <w:sz w:val="24"/>
          <w:szCs w:val="24"/>
          <w:rtl w:val="1"/>
        </w:rPr>
        <w:t>מיתוס ודרמה בגרמניה</w:t>
      </w:r>
      <w:r>
        <w:rPr>
          <w:rFonts w:ascii="David" w:hAnsi="David" w:cs="David"/>
          <w:i w:val="0"/>
          <w:sz w:val="24"/>
          <w:szCs w:val="24"/>
          <w:rtl w:val="1"/>
        </w:rPr>
        <w:t xml:space="preserve"> [סילבוס הקורס]. אוניברסיטת בר-אילן.</w:t>
      </w:r>
    </w:p>
    <w:p>
      <w:pPr>
        <w:bidi w:val="1"/>
        <w:spacing w:line="36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36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36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360" w:lineRule="auto" w:after="200"/>
        <w:ind w:left="709" w:hanging="709"/>
        <w:jc w:val="left"/>
      </w:pPr>
      <w:r>
        <w:rPr>
          <w:rFonts w:ascii="David" w:hAnsi="David" w:cs="David"/>
          <w:i w:val="0"/>
          <w:sz w:val="24"/>
          <w:szCs w:val="24"/>
        </w:rPr>
        <w:t xml:space="preserve">Duarte, B. C. (2017). Rhythm and structure: Brecht's Antigone in performance. </w:t>
      </w:r>
      <w:r>
        <w:rPr>
          <w:rFonts w:ascii="David" w:hAnsi="David" w:cs="David"/>
          <w:i/>
          <w:sz w:val="24"/>
          <w:szCs w:val="24"/>
        </w:rPr>
        <w:t>Performance Philosophy, 2</w:t>
      </w:r>
      <w:r>
        <w:rPr>
          <w:rFonts w:ascii="David" w:hAnsi="David" w:cs="David"/>
          <w:i w:val="0"/>
          <w:sz w:val="24"/>
          <w:szCs w:val="24"/>
        </w:rPr>
        <w:t>(2), 222-240.</w:t>
      </w:r>
      <w:r>
        <w:t xml:space="preserve"> </w:t>
      </w:r>
      <w:hyperlink r:id="rId9">
        <w:r>
          <w:rPr>
            <w:rFonts w:ascii="David" w:hAnsi="David" w:cs="David"/>
            <w:sz w:val="24"/>
            <w:szCs w:val="24"/>
            <w:color w:val="0563C1"/>
            <w:u w:val="single"/>
          </w:rPr>
          <w:t xml:space="preserve">https://doi.org/10.21476/pp.2017.2295</w:t>
        </w:r>
      </w:hyperlink>
    </w:p>
    <w:p>
      <w:pPr>
        <w:spacing w:line="360" w:lineRule="auto" w:after="200"/>
        <w:ind w:left="709" w:hanging="709"/>
        <w:jc w:val="left"/>
      </w:pPr>
      <w:r>
        <w:rPr>
          <w:rFonts w:ascii="David" w:hAnsi="David" w:cs="David"/>
          <w:i w:val="0"/>
          <w:sz w:val="24"/>
          <w:szCs w:val="24"/>
        </w:rPr>
        <w:t xml:space="preserve">Kim, Y. (2011). Rewritings of the Iphigenia-myth by Euripides, Racine, and Goethe: From arbitrary violence to verbal communication. </w:t>
      </w:r>
      <w:r>
        <w:rPr>
          <w:rFonts w:ascii="David" w:hAnsi="David" w:cs="David"/>
          <w:i/>
          <w:sz w:val="24"/>
          <w:szCs w:val="24"/>
        </w:rPr>
        <w:t>Trans-Humanities, 4</w:t>
      </w:r>
      <w:r>
        <w:rPr>
          <w:rFonts w:ascii="David" w:hAnsi="David" w:cs="David"/>
          <w:i w:val="0"/>
          <w:sz w:val="24"/>
          <w:szCs w:val="24"/>
        </w:rPr>
        <w:t>(2), 151-176.</w:t>
      </w:r>
      <w:r>
        <w:t xml:space="preserve"> </w:t>
      </w:r>
      <w:hyperlink r:id="rId10">
        <w:r>
          <w:rPr>
            <w:rFonts w:ascii="David" w:hAnsi="David" w:cs="David"/>
            <w:sz w:val="24"/>
            <w:szCs w:val="24"/>
            <w:color w:val="0563C1"/>
            <w:u w:val="single"/>
          </w:rPr>
          <w:t xml:space="preserve">https://journal.kci.go.kr/eih/archive/articleView?artiId=ART002095978</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1476/pp.2017.2295" TargetMode="External"/><Relationship Id="rId10" Type="http://schemas.openxmlformats.org/officeDocument/2006/relationships/hyperlink" Target="https://journal.kci.go.kr/eih/archive/articleView?artiId=ART0020959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