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bidi/>
        <w:spacing w:after="120" w:before="120" w:line="360" w:lineRule="auto"/>
        <w:jc w:val="center"/>
      </w:pPr>
      <w:r>
        <w:rPr>
          <w:rFonts w:ascii="Times New Roman" w:cs="Traditional Arabic" w:hAnsi="Times New Roman"/>
          <w:b w:val="false"/>
          <w:sz w:val="32"/>
          <w:szCs w:val="32"/>
          <w:rtl/>
        </w:rPr>
        <w:t xml:space="preserve">أكاديميّة القاسمي - كلّيّة أكاديميّة للتّربية، باقة الغربيّة</w:t>
      </w:r>
    </w:p>
    <w:p>
      <w:pPr>
        <w:bidi/>
        <w:spacing w:after="120" w:before="0" w:line="360" w:lineRule="auto"/>
        <w:jc w:val="center"/>
      </w:pPr>
      <w:r>
        <w:rPr>
          <w:rFonts w:ascii="Times New Roman" w:cs="Traditional Arabic" w:hAnsi="Times New Roman"/>
          <w:b w:val="false"/>
          <w:sz w:val="32"/>
          <w:szCs w:val="32"/>
          <w:rtl/>
        </w:rPr>
        <w:t xml:space="preserve">قسم اللغة العربيّة وآدابها</w:t>
      </w:r>
    </w:p>
    <w:p>
      <w:pPr>
        <w:bidi/>
        <w:spacing w:after="120" w:before="0" w:line="360" w:lineRule="auto"/>
        <w:jc w:val="center"/>
      </w:pPr>
      <w:r>
        <w:rPr>
          <w:rFonts w:ascii="Times New Roman" w:cs="Traditional Arabic" w:hAnsi="Times New Roman"/>
          <w:b w:val="false"/>
          <w:sz w:val="32"/>
          <w:szCs w:val="32"/>
          <w:rtl/>
        </w:rPr>
        <w:t xml:space="preserve">المساق: الحلقة الدّراسيّة في الأدب العربيّ</w:t>
      </w:r>
    </w:p>
    <w:p>
      <w:pPr>
        <w:bidi/>
        <w:spacing w:after="120" w:before="0" w:line="360" w:lineRule="auto"/>
        <w:jc w:val="center"/>
      </w:pPr>
      <w:r>
        <w:rPr>
          <w:rFonts w:ascii="Times New Roman" w:cs="Traditional Arabic" w:hAnsi="Times New Roman"/>
          <w:b w:val="false"/>
          <w:sz w:val="32"/>
          <w:szCs w:val="32"/>
          <w:rtl/>
        </w:rPr>
        <w:t xml:space="preserve"> </w:t>
      </w:r>
    </w:p>
    <w:p>
      <w:pPr>
        <w:bidi/>
        <w:spacing w:after="120" w:before="360" w:line="360" w:lineRule="auto"/>
        <w:jc w:val="center"/>
      </w:pPr>
      <w:r>
        <w:rPr>
          <w:rFonts w:ascii="Times New Roman" w:cs="Traditional Arabic" w:hAnsi="Times New Roman"/>
          <w:b/>
          <w:bCs/>
          <w:sz w:val="48"/>
          <w:szCs w:val="48"/>
          <w:rtl/>
        </w:rPr>
        <w:t xml:space="preserve">مظاهر السّخرية في رسالة الغفران لأبي العلاء المعرّي</w:t>
      </w:r>
    </w:p>
    <w:p>
      <w:pPr>
        <w:bidi/>
        <w:spacing w:after="120" w:before="0" w:line="360" w:lineRule="auto"/>
        <w:jc w:val="center"/>
      </w:pPr>
      <w:r>
        <w:rPr>
          <w:rFonts w:ascii="Times New Roman" w:cs="Traditional Arabic" w:hAnsi="Times New Roman"/>
          <w:b/>
          <w:bCs/>
          <w:sz w:val="36"/>
          <w:szCs w:val="36"/>
          <w:rtl/>
        </w:rPr>
        <w:t xml:space="preserve">دراسة في موضوعاتها وأدواتها الفنّيّة في ضوء أدب التّرسّل العبّاسيّ</w:t>
      </w:r>
    </w:p>
    <w:p>
      <w:pPr>
        <w:bidi/>
        <w:spacing w:after="120" w:before="0" w:line="360" w:lineRule="auto"/>
        <w:jc w:val="center"/>
      </w:pPr>
      <w:r>
        <w:rPr>
          <w:rFonts w:ascii="Times New Roman" w:cs="Traditional Arabic" w:hAnsi="Times New Roman"/>
          <w:b w:val="false"/>
          <w:sz w:val="32"/>
          <w:szCs w:val="32"/>
          <w:rtl/>
        </w:rPr>
        <w:t xml:space="preserve"> </w:t>
      </w:r>
    </w:p>
    <w:p>
      <w:pPr>
        <w:bidi/>
        <w:spacing w:after="120" w:before="360" w:line="360" w:lineRule="auto"/>
        <w:jc w:val="center"/>
      </w:pPr>
      <w:r>
        <w:rPr>
          <w:rFonts w:ascii="Times New Roman" w:cs="Traditional Arabic" w:hAnsi="Times New Roman"/>
          <w:b w:val="false"/>
          <w:sz w:val="32"/>
          <w:szCs w:val="32"/>
          <w:rtl/>
        </w:rPr>
        <w:t xml:space="preserve">إعداد الطّالب/ة: ________________</w:t>
      </w:r>
    </w:p>
    <w:p>
      <w:pPr>
        <w:bidi/>
        <w:spacing w:after="120" w:before="0" w:line="360" w:lineRule="auto"/>
        <w:jc w:val="center"/>
      </w:pPr>
      <w:r>
        <w:rPr>
          <w:rFonts w:ascii="Times New Roman" w:cs="Traditional Arabic" w:hAnsi="Times New Roman"/>
          <w:b w:val="false"/>
          <w:sz w:val="32"/>
          <w:szCs w:val="32"/>
          <w:rtl/>
        </w:rPr>
        <w:t xml:space="preserve">رقم الهويّة: ________________</w:t>
      </w:r>
    </w:p>
    <w:p>
      <w:pPr>
        <w:bidi/>
        <w:spacing w:after="120" w:before="0" w:line="360" w:lineRule="auto"/>
        <w:jc w:val="center"/>
      </w:pPr>
      <w:r>
        <w:rPr>
          <w:rFonts w:ascii="Times New Roman" w:cs="Traditional Arabic" w:hAnsi="Times New Roman"/>
          <w:b w:val="false"/>
          <w:sz w:val="32"/>
          <w:szCs w:val="32"/>
          <w:rtl/>
        </w:rPr>
        <w:t xml:space="preserve">بإرشاد: د. سمير كتّاني</w:t>
      </w:r>
    </w:p>
    <w:p>
      <w:pPr>
        <w:bidi/>
        <w:spacing w:after="120" w:before="0" w:line="360" w:lineRule="auto"/>
        <w:jc w:val="center"/>
      </w:pPr>
      <w:r>
        <w:rPr>
          <w:rFonts w:ascii="Times New Roman" w:cs="Traditional Arabic" w:hAnsi="Times New Roman"/>
          <w:b w:val="false"/>
          <w:sz w:val="32"/>
          <w:szCs w:val="32"/>
          <w:rtl/>
        </w:rPr>
        <w:t xml:space="preserve">تاريخ التّسليم: آب/أغسطس 2026</w:t>
      </w:r>
    </w:p>
    <w:p>
      <w:r>
        <w:br w:type="page"/>
      </w:r>
    </w:p>
    <w:p>
      <w:pPr>
        <w:bidi/>
        <w:spacing w:after="240" w:line="360" w:lineRule="auto"/>
        <w:jc w:val="center"/>
      </w:pPr>
      <w:r>
        <w:rPr>
          <w:rFonts w:ascii="Times New Roman" w:cs="Traditional Arabic" w:hAnsi="Times New Roman"/>
          <w:b/>
          <w:bCs/>
          <w:sz w:val="40"/>
          <w:szCs w:val="40"/>
          <w:rtl/>
        </w:rPr>
        <w:t xml:space="preserve">ملخّص البحث</w:t>
      </w:r>
    </w:p>
    <w:p>
      <w:pPr>
        <w:bidi/>
        <w:spacing w:after="120" w:before="0" w:line="360" w:lineRule="auto"/>
        <w:jc w:val="both"/>
      </w:pPr>
      <w:r>
        <w:rPr>
          <w:rFonts w:ascii="Times New Roman" w:cs="Traditional Arabic" w:hAnsi="Times New Roman"/>
          <w:b w:val="false"/>
          <w:sz w:val="32"/>
          <w:szCs w:val="32"/>
          <w:rtl/>
        </w:rPr>
        <w:t xml:space="preserve">يتناول هذا البحث مظاهر السّخرية في رسالة الغفران لأبي العلاء المعرّي، منطلقًا من سؤال مركزيّ: ما مظاهر السّخرية في الرّسالة، وبأيّ أدوات فنّيّة تحقّقت، وما الوظائف الّتي تؤدّيها في النّصّ؟ ويسير البحث في ثلاثة فصول: يقف الأوّل عند فنّ التّرسّل وأنواعه وأشكاله بوصفه القالب الّذي خرجت منه الرّسالة، ويعرض الثّاني لعصر المعرّي وحياته وآثاره وظروف تأليف الرّسالة، ويرصد الثّالث موضوعات السّخرية فيها: من ابن القارح وتوبته وتملّقه، ومن الشّعراء والرّواة واللّغويّين ومقاييسهم، ومن التّصوّرات الحسّيّة الشّائعة عن النّعيم والعذاب، كما يحلّل أدواتها الفنّيّة من مفارقة وقلب للمعنى ومحاكاة ساخرة ومبالغة وحوار. وينتهي البحث إلى أنّ السّخرية في الغفران بنية ناظمة لا زينة عابرة، وأنّها هزل يراد به الجدّ: نقد أدبيّ واجتماعيّ وفكريّ ألبسه المعرّي لبوس الضّحك.</w:t>
      </w:r>
    </w:p>
    <w:p>
      <w:r>
        <w:br w:type="page"/>
      </w:r>
    </w:p>
    <w:p>
      <w:pPr>
        <w:bidi/>
        <w:spacing w:after="240" w:line="360" w:lineRule="auto"/>
        <w:jc w:val="center"/>
      </w:pPr>
      <w:r>
        <w:rPr>
          <w:rFonts w:ascii="Times New Roman" w:cs="Traditional Arabic" w:hAnsi="Times New Roman"/>
          <w:b/>
          <w:bCs/>
          <w:sz w:val="40"/>
          <w:szCs w:val="40"/>
          <w:rtl/>
        </w:rPr>
        <w:t xml:space="preserve">الفهرس</w:t>
      </w:r>
    </w:p>
    <w:sdt>
      <w:sdtPr>
        <w:alias w:val="الفهرس"/>
      </w:sdtPr>
      <w:sdtContent>
        <w:p>
          <w:r>
            <w:fldChar w:fldCharType="begin" w:dirty="true"/>
            <w:instrText xml:space="preserve">TOC \h \o "1-3"</w:instrText>
            <w:fldChar w:fldCharType="separate"/>
          </w:r>
        </w:p>
        <w:p>
          <w:r>
            <w:fldChar w:fldCharType="end"/>
          </w:r>
        </w:p>
      </w:sdtContent>
    </w:sdt>
    <w:p>
      <w:pPr>
        <w:pStyle w:val="Heading1"/>
        <w:pageBreakBefore/>
        <w:bidi/>
        <w:spacing w:after="240" w:before="240" w:line="360" w:lineRule="auto"/>
        <w:jc w:val="center"/>
      </w:pPr>
      <w:r>
        <w:rPr>
          <w:rFonts w:ascii="Times New Roman" w:cs="Traditional Arabic" w:hAnsi="Times New Roman"/>
          <w:b/>
          <w:bCs/>
          <w:sz w:val="40"/>
          <w:szCs w:val="40"/>
          <w:rtl/>
        </w:rPr>
        <w:t xml:space="preserve">المقدّمة</w:t>
      </w:r>
    </w:p>
    <w:p>
      <w:pPr>
        <w:bidi/>
        <w:spacing w:after="120" w:before="0" w:line="360" w:lineRule="auto"/>
        <w:jc w:val="both"/>
      </w:pPr>
      <w:r>
        <w:rPr>
          <w:rFonts w:ascii="Times New Roman" w:cs="Traditional Arabic" w:hAnsi="Times New Roman"/>
          <w:b w:val="false"/>
          <w:sz w:val="32"/>
          <w:szCs w:val="32"/>
          <w:rtl/>
        </w:rPr>
        <w:t xml:space="preserve">تحتلّ رسالة الغفران لأبي العلاء المعرّي (363-449هـ) موقعًا فريدًا في تاريخ النّثر العربيّ؛ فهي في ظاهرها ردّ على رسالة بعث بها إليه الأديب الحلبيّ ابن القارح، وهي في حقيقتها رحلة خياليّة إلى العالم الآخر، يجول فيها ابن القارح بين الجنّة والنّار، ويحاور الشّعراء والرّواة واللّغويّين في دقائق اللّغة والعروض والأخبار. وما يستوقف الدّارس في هذا النّصّ أنّ السّخرية ليست فيه زينة عابرة، بل تكاد تكون العمود الفقريّ الّذي ينتظم الرّحلة كلّها: في اختيار الشّخوص، وفي المواقف الّتي توضع فيها، وفي المفارقة الدّائمة بين جلال الآخرة وصغائر المسائل الّتي ينشغل بها أهلها.</w:t>
      </w:r>
    </w:p>
    <w:p>
      <w:pPr>
        <w:bidi/>
        <w:spacing w:after="120" w:before="0" w:line="360" w:lineRule="auto"/>
        <w:jc w:val="both"/>
      </w:pPr>
      <w:r>
        <w:rPr>
          <w:rFonts w:ascii="Times New Roman" w:cs="Traditional Arabic" w:hAnsi="Times New Roman"/>
          <w:b w:val="false"/>
          <w:sz w:val="32"/>
          <w:szCs w:val="32"/>
          <w:rtl/>
        </w:rPr>
        <w:t xml:space="preserve">وقد انشغل كثير من الدّارسين، قديمًا وحديثًا، بالرّسالة بوصفها رحلة أخرويّة، أو بوصفها مصدرًا محتملًا من مصادر الكوميديا الإلهيّة لدانتي، أو ميدانًا للجدل حول معتقد صاحبها؛ في حين بقيت السّخرية نفسها، بوصفها ظاهرة فنّيّة لها موضوعاتها وأدواتها ووظائفها، أقلّ حظًّا من الدّرس المستقلّ. وهذه هي الفجوة الّتي يحاول البحث الحاليّ الإسهام في سدّها.</w:t>
      </w:r>
    </w:p>
    <w:p>
      <w:pPr>
        <w:bidi/>
        <w:spacing w:after="120" w:before="0" w:line="360" w:lineRule="auto"/>
        <w:jc w:val="both"/>
      </w:pPr>
      <w:r>
        <w:rPr>
          <w:rFonts w:ascii="Times New Roman" w:cs="Traditional Arabic" w:hAnsi="Times New Roman"/>
          <w:b w:val="false"/>
          <w:sz w:val="32"/>
          <w:szCs w:val="32"/>
          <w:rtl/>
        </w:rPr>
        <w:t xml:space="preserve">ينطلق هذا البحث من قضيّة مركزيّة مفادها أنّ السّخرية في رسالة الغفران بنية ناظمة تكشف موقف المعرّي من أعلام التّراث الأدبيّ واللّغويّ، ومن ابن القارح المرسَل إليه، ومن التّصوّرات الجاهزة الشّائعة في عصره. وعن هذه القضيّة ينبثق سؤال البحث المركزيّ: ما مظاهر السّخرية في رسالة الغفران، وبأيّ أدوات فنّيّة تحقّقت، وما الوظائف الّتي تؤدّيها في النّصّ؟ وتتفرّع عنه ثلاثة أسئلة فرعيّة: أ. كيف وظّف المعرّي قالب التّرسّل في بناء نصّ ساخر؟ ب. ممّن يسخر المعرّي وممّ يسخر؟ ج. ما موقف الكاتب نفسه ممّا يسخر منه؟</w:t>
      </w:r>
    </w:p>
    <w:p>
      <w:pPr>
        <w:bidi/>
        <w:spacing w:after="120" w:before="0" w:line="360" w:lineRule="auto"/>
        <w:jc w:val="both"/>
      </w:pPr>
      <w:r>
        <w:rPr>
          <w:rFonts w:ascii="Times New Roman" w:cs="Traditional Arabic" w:hAnsi="Times New Roman"/>
          <w:b w:val="false"/>
          <w:sz w:val="32"/>
          <w:szCs w:val="32"/>
          <w:rtl/>
        </w:rPr>
        <w:t xml:space="preserve">وتكمن أهمّيّة البحث في جانبين: جانب نظريّ، إذ يضع مصطلح السّخرية في سياقه العربيّ الكلاسيكيّ ويختبر صلاحيته أداةً لقراءة نصّ تراثيّ كبير؛ وجانب تطبيقيّ، إذ يقدّم قراءة منظّمة لنماذج من الرّسالة يمكن الإفادة منها في تدريس النّثر العبّاسيّ والنّقد الأدبيّ القديم.</w:t>
      </w:r>
    </w:p>
    <w:p>
      <w:pPr>
        <w:bidi/>
        <w:spacing w:after="120" w:before="0" w:line="360" w:lineRule="auto"/>
        <w:jc w:val="both"/>
      </w:pPr>
      <w:r>
        <w:rPr>
          <w:rFonts w:ascii="Times New Roman" w:cs="Traditional Arabic" w:hAnsi="Times New Roman"/>
          <w:b w:val="false"/>
          <w:sz w:val="32"/>
          <w:szCs w:val="32"/>
          <w:rtl/>
        </w:rPr>
        <w:t xml:space="preserve">يعتمد البحث المنهج الوصفيّ التّحليليّ؛ إذ يقف أوّلًا عند فنّ التّرسّل الّذي خرجت الرّسالة من معطفه، ثمّ يعرض لحياة المعرّي وآثاره بوصفها السّياق الّذي أنتج النّصّ، وينتهي إلى الفصل التّطبيقيّ الّذي يرصد مظاهر السّخرية في الرّسالة ويحلّل موضوعاتها وأدواتها. وقد بني البحث على ثلاثة فصول تسبقها هذه المقدّمة وتليها خاتمة تجمل النّتائج.</w:t>
      </w:r>
    </w:p>
    <w:p>
      <w:pPr>
        <w:bidi/>
        <w:spacing w:after="120" w:before="0" w:line="360" w:lineRule="auto"/>
        <w:jc w:val="both"/>
      </w:pPr>
      <w:r>
        <w:rPr>
          <w:rFonts w:ascii="Times New Roman" w:cs="Traditional Arabic" w:hAnsi="Times New Roman"/>
          <w:b w:val="false"/>
          <w:sz w:val="32"/>
          <w:szCs w:val="32"/>
          <w:rtl/>
        </w:rPr>
        <w:t xml:space="preserve">أمّا مصادر البحث فيأتي في مقدّمتها نصّ رسالة الغفران في طبعة كامل كيلاني وتحقيق عائشة عبد الرّحمن (بنت الشّاطئ)، إلى جانب مختارات من الرّسالة قدّم لها أحمد رجب شلتوت</w:t>
      </w:r>
      <w:r>
        <w:rPr>
          <w:rStyle w:val="FootnoteReference"/>
        </w:rPr>
        <w:footnoteReference w:id="1"/>
      </w:r>
      <w:r>
        <w:rPr>
          <w:rFonts w:ascii="Times New Roman" w:cs="Traditional Arabic" w:hAnsi="Times New Roman"/>
          <w:b w:val="false"/>
          <w:sz w:val="32"/>
          <w:szCs w:val="32"/>
          <w:rtl/>
        </w:rPr>
        <w:t xml:space="preserve">، ودراسات في المعرّي وعصره لطه حسين ونرجس توحيدي فر وغيرهما، ودراسات في النّثر العبّاسيّ والسّخرية في الأدب العربيّ، إضافة إلى مراجع بالإنجليزيّة عرّفت القارئ الغربيّ بالرّسالة. وسيشار إلى ذلك كلّه في مواضعه من الحواشي.</w:t>
      </w:r>
    </w:p>
    <w:p>
      <w:pPr>
        <w:bidi/>
        <w:spacing w:after="120" w:before="0" w:line="360" w:lineRule="auto"/>
        <w:jc w:val="both"/>
      </w:pPr>
      <w:r>
        <w:rPr>
          <w:rFonts w:ascii="Times New Roman" w:cs="Traditional Arabic" w:hAnsi="Times New Roman"/>
          <w:b w:val="false"/>
          <w:sz w:val="32"/>
          <w:szCs w:val="32"/>
          <w:rtl/>
        </w:rPr>
        <w:t xml:space="preserve">أمّا حدود البحث فيقف عند قسم الرّحلة بالدّرجة الأولى، لأنّه موضع القصّ والسّخرية، ولا يتوسّع في قسم الرّدّ إلّا بمقدار ما يخدم السّؤال المركزيّ؛ ولا يدّعي الإحاطة بكلّ مشاهد الرّسالة، بل يجتزئ منها نماذج دالّة.</w:t>
      </w:r>
    </w:p>
    <w:p>
      <w:pPr>
        <w:pStyle w:val="Heading1"/>
        <w:pageBreakBefore/>
        <w:bidi/>
        <w:spacing w:after="240" w:before="240" w:line="360" w:lineRule="auto"/>
        <w:jc w:val="center"/>
      </w:pPr>
      <w:r>
        <w:rPr>
          <w:rFonts w:ascii="Times New Roman" w:cs="Traditional Arabic" w:hAnsi="Times New Roman"/>
          <w:b/>
          <w:bCs/>
          <w:sz w:val="40"/>
          <w:szCs w:val="40"/>
          <w:rtl/>
        </w:rPr>
        <w:t xml:space="preserve">الفصل الأوّل: أدب التّرسّل: أنواعه وأشكاله</w:t>
      </w:r>
    </w:p>
    <w:p>
      <w:pPr>
        <w:pStyle w:val="Heading2"/>
        <w:bidi/>
        <w:spacing w:after="120" w:before="240" w:line="360" w:lineRule="auto"/>
        <w:jc w:val="right"/>
      </w:pPr>
      <w:r>
        <w:rPr>
          <w:rFonts w:ascii="Times New Roman" w:cs="Traditional Arabic" w:hAnsi="Times New Roman"/>
          <w:b/>
          <w:bCs/>
          <w:sz w:val="36"/>
          <w:szCs w:val="36"/>
          <w:rtl/>
        </w:rPr>
        <w:t xml:space="preserve">1.1 مفهوم التّرسّل لغةً واصطلاحًا</w:t>
      </w:r>
    </w:p>
    <w:p>
      <w:pPr>
        <w:bidi/>
        <w:spacing w:after="120" w:before="0" w:line="360" w:lineRule="auto"/>
        <w:jc w:val="both"/>
      </w:pPr>
      <w:r>
        <w:rPr>
          <w:rFonts w:ascii="Times New Roman" w:cs="Traditional Arabic" w:hAnsi="Times New Roman"/>
          <w:b w:val="false"/>
          <w:sz w:val="32"/>
          <w:szCs w:val="32"/>
          <w:rtl/>
        </w:rPr>
        <w:t xml:space="preserve">التّرسّل في اللغة مأخوذ من مادّة (ر س ل)؛ ومنها الرَّسول والرِّسالة والمُراسلة. والتّرسّل في الكلام التّمهّل والتّأنّي فيه، ثمّ غلب المصطلح على فنّ إنشاء الرّسائل، حتّى صار "التّرسّل" علمًا على الكتابة الإنشائيّة الّتي يخاطب بها الكاتب غيره في شؤون الدّولة أو الإخوانيّات أو موضوعات الأدب والفكر.</w:t>
      </w:r>
    </w:p>
    <w:p>
      <w:pPr>
        <w:bidi/>
        <w:spacing w:after="120" w:before="0" w:line="360" w:lineRule="auto"/>
        <w:jc w:val="both"/>
      </w:pPr>
      <w:r>
        <w:rPr>
          <w:rFonts w:ascii="Times New Roman" w:cs="Traditional Arabic" w:hAnsi="Times New Roman"/>
          <w:b w:val="false"/>
          <w:sz w:val="32"/>
          <w:szCs w:val="32"/>
          <w:rtl/>
        </w:rPr>
        <w:t xml:space="preserve">وينبغي أن يفهم هذا الفنّ داخل الإطار الواسع الّذي كان يعنيه مصطلح "الأدب" في الموروث العربيّ الكلاسيكيّ؛ فقد بيّن سمير كتّاني أنّ اللفظة كانت تشمل شتّى صنوف المعارف والفنون والممارسات الفكريّة في الحضارة العربيّة الإسلاميّة، وأنّها كانت مستخدمة لدى المهتمّين بالوصف النّظريّ للحضارة الإنسانيّة كابن المقفّع ومسكويه، ولدى المهتمّين بالأدب الجميل كالجاحظ والمبرّد والثّعالبيّ</w:t>
      </w:r>
      <w:r>
        <w:rPr>
          <w:rStyle w:val="FootnoteReference"/>
        </w:rPr>
        <w:footnoteReference w:id="2"/>
      </w:r>
      <w:r>
        <w:rPr>
          <w:rFonts w:ascii="Times New Roman" w:cs="Traditional Arabic" w:hAnsi="Times New Roman"/>
          <w:b w:val="false"/>
          <w:sz w:val="32"/>
          <w:szCs w:val="32"/>
          <w:rtl/>
        </w:rPr>
        <w:t xml:space="preserve">. ويذكر كتّاني أنّ الدّراسة الّتي قام بها المستشرق الإيطاليّ كارلو نالينو في استعراض المعاني الكلاسيكيّة للمصطلح تعدّ أبرز دراسة في هذا المضمار، وقد ترجم كتابه إلى العربيّة تحت الاسم تاريخ الآداب العربيّة</w:t>
      </w:r>
      <w:r>
        <w:rPr>
          <w:rStyle w:val="FootnoteReference"/>
        </w:rPr>
        <w:footnoteReference w:id="3"/>
      </w:r>
      <w:r>
        <w:rPr>
          <w:rFonts w:ascii="Times New Roman" w:cs="Traditional Arabic" w:hAnsi="Times New Roman"/>
          <w:b w:val="false"/>
          <w:sz w:val="32"/>
          <w:szCs w:val="32"/>
          <w:rtl/>
        </w:rPr>
        <w:t xml:space="preserve">. وفي هذا الإطار الرّحب كانت الرّسالة الأدبيّة وعاءً معرفيًّا يتّسع للّغة والنّقد والفكر، لا مجرّد وسيلة اتّصال عمليّة.</w:t>
      </w:r>
    </w:p>
    <w:p>
      <w:pPr>
        <w:bidi/>
        <w:spacing w:after="120" w:before="0" w:line="360" w:lineRule="auto"/>
        <w:jc w:val="both"/>
      </w:pPr>
      <w:r>
        <w:rPr>
          <w:rFonts w:ascii="Times New Roman" w:cs="Traditional Arabic" w:hAnsi="Times New Roman"/>
          <w:b w:val="false"/>
          <w:sz w:val="32"/>
          <w:szCs w:val="32"/>
          <w:rtl/>
        </w:rPr>
        <w:t xml:space="preserve">أمّا في الاصطلاح فالتّرسّل قسيم الخطابة في النّثر الفنّيّ: كلاهما مخاطبة للغير بقصد الإفهام والتّأثير، غير أنّ الخطابة مشافهة والتّرسّل كتابة. وقد عدّه الدّارسون المحدثون أحد أعمدة النّثر الفنّيّ العربيّ، ورصد زكي مبارك وشوقي ضيف تطوّره من البساطة المرسلة إلى الصّنعة المسجوعة</w:t>
      </w:r>
      <w:r>
        <w:rPr>
          <w:rStyle w:val="FootnoteReference"/>
        </w:rPr>
        <w:footnoteReference w:id="4"/>
      </w:r>
      <w:r>
        <w:rPr>
          <w:rFonts w:ascii="Times New Roman" w:cs="Traditional Arabic" w:hAnsi="Times New Roman"/>
          <w:b w:val="false"/>
          <w:sz w:val="32"/>
          <w:szCs w:val="32"/>
          <w:rtl/>
        </w:rPr>
        <w:t xml:space="preserve">.</w:t>
      </w:r>
    </w:p>
    <w:p>
      <w:pPr>
        <w:pStyle w:val="Heading2"/>
        <w:bidi/>
        <w:spacing w:after="120" w:before="240" w:line="360" w:lineRule="auto"/>
        <w:jc w:val="right"/>
      </w:pPr>
      <w:r>
        <w:rPr>
          <w:rFonts w:ascii="Times New Roman" w:cs="Traditional Arabic" w:hAnsi="Times New Roman"/>
          <w:b/>
          <w:bCs/>
          <w:sz w:val="36"/>
          <w:szCs w:val="36"/>
          <w:rtl/>
        </w:rPr>
        <w:t xml:space="preserve">1.2 نشأة فنّ التّرسّل وتطوّره حتّى العصر العبّاسيّ</w:t>
      </w:r>
    </w:p>
    <w:p>
      <w:pPr>
        <w:bidi/>
        <w:spacing w:after="120" w:before="0" w:line="360" w:lineRule="auto"/>
        <w:jc w:val="both"/>
      </w:pPr>
      <w:r>
        <w:rPr>
          <w:rFonts w:ascii="Times New Roman" w:cs="Traditional Arabic" w:hAnsi="Times New Roman"/>
          <w:b w:val="false"/>
          <w:sz w:val="32"/>
          <w:szCs w:val="32"/>
          <w:rtl/>
        </w:rPr>
        <w:t xml:space="preserve">عرفت العربيّة الرّسائل منذ صدر الإسلام في مكاتبات النّبيّ إلى الملوك، ثمّ في عهود الخلفاء الرّاشدين، وكانت رسائل قصيرة عمليّة تقصد إلى الإبلاغ. فلمّا اتّسعت الدّولة في العصر الأمويّ نشأ ديوان الرّسائل، وظهر الكتّاب المحترفون، وعلى رأسهم عبد الحميد الكاتب الّذي وسّع الرّسالة ومدّ أطنابها وأدخل فيها المقدّمات والدّعاء، حتّى قيل في المشهور: فُتحت الرّسائل بعبد الحميد وخُتمت بابن العميد</w:t>
      </w:r>
      <w:r>
        <w:rPr>
          <w:rStyle w:val="FootnoteReference"/>
        </w:rPr>
        <w:footnoteReference w:id="5"/>
      </w:r>
      <w:r>
        <w:rPr>
          <w:rFonts w:ascii="Times New Roman" w:cs="Traditional Arabic" w:hAnsi="Times New Roman"/>
          <w:b w:val="false"/>
          <w:sz w:val="32"/>
          <w:szCs w:val="32"/>
          <w:rtl/>
        </w:rPr>
        <w:t xml:space="preserve">. وقد تتبّع أنيس المقدسي تطوّر هذه الأساليب النّثريّة منذ ظهور الإسلام، مبيّنًا كيف انتقلت الكتابة من الإيجاز المرسل إلى التّفنّن والصّنعة</w:t>
      </w:r>
      <w:r>
        <w:rPr>
          <w:rStyle w:val="FootnoteReference"/>
        </w:rPr>
        <w:footnoteReference w:id="6"/>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وصارت الكتابة في الدّولة العبّاسيّة صناعة لها رجالها وآدابها؛ فديوان الرّسائل من أخطر دواوين الدّولة، وكاتبه من أقرب النّاس إلى الخليفة أو الوزير. ودلالة هذا لموضوعنا أنّ الرّسالة كانت في صميم الحياة العامّة، ولها من الرّسوم المستقرّة ما يجعل الخروج عليها ملحوظًا؛ والسّخرية تحتاج إلى قاعدة مستقرّة تنحرف عنها حتّى تُرى.</w:t>
      </w:r>
    </w:p>
    <w:p>
      <w:pPr>
        <w:bidi/>
        <w:spacing w:after="120" w:before="0" w:line="360" w:lineRule="auto"/>
        <w:jc w:val="both"/>
      </w:pPr>
      <w:r>
        <w:rPr>
          <w:rFonts w:ascii="Times New Roman" w:cs="Traditional Arabic" w:hAnsi="Times New Roman"/>
          <w:b w:val="false"/>
          <w:sz w:val="32"/>
          <w:szCs w:val="32"/>
          <w:rtl/>
        </w:rPr>
        <w:t xml:space="preserve">وفي العصر العبّاسيّ بلغ التّرسّل ذروته؛ إذ تنوّعت أغراضه وتعدّدت أساليبه، وكتب الجاحظ رسائله في موضوعات الجدّ والهزل جميعًا، ثمّ جاء القرن الرّابع الهجريّ فشهد ما سمّاه زكي مبارك عصر الصّنعة: ابن العميد والصّاحب بن عبّاد وأبو بكر الخوارزميّ وبديع الزّمان الهمذانيّ، وغلب السّجع والبديع على الكتابة حتّى صارت الرّسالة قطعة فنّيّة تقصد لذاتها</w:t>
      </w:r>
      <w:r>
        <w:rPr>
          <w:rStyle w:val="FootnoteReference"/>
        </w:rPr>
        <w:footnoteReference w:id="7"/>
      </w:r>
      <w:r>
        <w:rPr>
          <w:rFonts w:ascii="Times New Roman" w:cs="Traditional Arabic" w:hAnsi="Times New Roman"/>
          <w:b w:val="false"/>
          <w:sz w:val="32"/>
          <w:szCs w:val="32"/>
          <w:rtl/>
        </w:rPr>
        <w:t xml:space="preserve">. وفي هذه البيئة المشبعة بالصّنعة تعلّم المعرّي وكتب.</w:t>
      </w:r>
    </w:p>
    <w:p>
      <w:pPr>
        <w:pStyle w:val="Heading2"/>
        <w:bidi/>
        <w:spacing w:after="120" w:before="240" w:line="360" w:lineRule="auto"/>
        <w:jc w:val="right"/>
      </w:pPr>
      <w:r>
        <w:rPr>
          <w:rFonts w:ascii="Times New Roman" w:cs="Traditional Arabic" w:hAnsi="Times New Roman"/>
          <w:b/>
          <w:bCs/>
          <w:sz w:val="36"/>
          <w:szCs w:val="36"/>
          <w:rtl/>
        </w:rPr>
        <w:t xml:space="preserve">1.3 أنواع الرّسائل وأشكالها</w:t>
      </w:r>
    </w:p>
    <w:p>
      <w:pPr>
        <w:bidi/>
        <w:spacing w:after="120" w:before="0" w:line="360" w:lineRule="auto"/>
        <w:jc w:val="both"/>
      </w:pPr>
      <w:r>
        <w:rPr>
          <w:rFonts w:ascii="Times New Roman" w:cs="Traditional Arabic" w:hAnsi="Times New Roman"/>
          <w:b w:val="false"/>
          <w:sz w:val="32"/>
          <w:szCs w:val="32"/>
          <w:rtl/>
        </w:rPr>
        <w:t xml:space="preserve">جرى الدّارسون على تقسيم الرّسائل ثلاثة أنواع كبرى. أوّلها الرّسائل الدّيوانيّة، وهي الرّسمية الّتي تصدر عن دواوين الدّولة في العهود والولايات والفتوح والمكاتبات بين الملوك، ويغلب عليها التّدقيق في الألقاب والمراتب. وثانيها الرّسائل الإخوانيّة الّتي تجري بين الأدباء والأصدقاء في التّهنئة والتّعزية والشّكر والعتاب والشّوق والاستزارة، وفيها تظهر عواطف الكاتب وذوقه. وثالثها الرّسائل الأدبيّة، وهي الّتي تعالج موضوعًا أدبيًّا أو لغويًّا أو فكريًّا معالجة مبسوطة، فتقترب من المقالة أو الكتاب المصغّر، وإن حافظت على صيغة الخطاب إلى مرسَل إليه بعينه.</w:t>
      </w:r>
    </w:p>
    <w:p>
      <w:pPr>
        <w:bidi/>
        <w:spacing w:after="120" w:before="0" w:line="360" w:lineRule="auto"/>
        <w:jc w:val="both"/>
      </w:pPr>
      <w:r>
        <w:rPr>
          <w:rFonts w:ascii="Times New Roman" w:cs="Traditional Arabic" w:hAnsi="Times New Roman"/>
          <w:b w:val="false"/>
          <w:sz w:val="32"/>
          <w:szCs w:val="32"/>
          <w:rtl/>
        </w:rPr>
        <w:t xml:space="preserve">ولكلّ نوع من هذه الأنواع أعلامه: فللدّيوانيّات عبد الحميد وابن العميد، وللإخوانيّات الصّاحب بن عبّاد والخوارزميّ وبديع الزّمان في إخوانيّاتهم المتبادلة، وللرّسائل الأدبيّة الجاحظ قبلهم جميعًا، وله فيها العدد الوافر في موضوعات تمتدّ من الجدّ الخالص إلى الهزل الخالص. ورسالة الغفران بهذا التّقسيم رسالة أدبيّة في المقام الأوّل، لكنّها تفتتح كما تفتتح الإخوانيّات بالثّناء على المرسَل إليه والدّعاء له، وهذا المزج بين رسوم النّوعين جزء من لعبتها كما سيتبيّن.</w:t>
      </w:r>
    </w:p>
    <w:p>
      <w:pPr>
        <w:bidi/>
        <w:spacing w:after="120" w:before="0" w:line="360" w:lineRule="auto"/>
        <w:jc w:val="both"/>
      </w:pPr>
      <w:r>
        <w:rPr>
          <w:rFonts w:ascii="Times New Roman" w:cs="Traditional Arabic" w:hAnsi="Times New Roman"/>
          <w:b w:val="false"/>
          <w:sz w:val="32"/>
          <w:szCs w:val="32"/>
          <w:rtl/>
        </w:rPr>
        <w:t xml:space="preserve">وليست الحدود بين هذه الأنواع قاطعة؛ فالرّسالة الإخوانيّة قد تتّسع لمباحث أدبيّة، والرّسالة الأدبيّة تبدأ غالبًا بديباجة إخوانيّة في مدح المرسَل إليه والدّعاء له. وهذا التّداخل بالذّات هو ما استثمره المعرّي في رسالة الغفران كما سيأتي.</w:t>
      </w:r>
    </w:p>
    <w:p>
      <w:pPr>
        <w:bidi/>
        <w:spacing w:after="120" w:before="0" w:line="360" w:lineRule="auto"/>
        <w:jc w:val="both"/>
      </w:pPr>
      <w:r>
        <w:rPr>
          <w:rFonts w:ascii="Times New Roman" w:cs="Traditional Arabic" w:hAnsi="Times New Roman"/>
          <w:b w:val="false"/>
          <w:sz w:val="32"/>
          <w:szCs w:val="32"/>
          <w:rtl/>
        </w:rPr>
        <w:t xml:space="preserve">وإلى جانب هذا التّقسيم الموضوعيّ تعدّدت أشكال الرّسالة من حيث الحجم والبناء: فمنها التّوقيعات القصيرة الّتي يذيّل بها الخليفة أو الوزير الرّقاع بجملة موجزة بليغة، ومنها الرّسائل المتوسّطة الّتي تقضي حاجة بعينها، ومنها الرّسائل المطوّلة الّتي تبلغ حجم الكتاب. وعلى هذا الطّرف الأخير تقع رسالة الغفران؛ فهي في المطبوع مئات الصّفحات، ممّا يدلّ على أنّ صيغة الرّسالة صارت عند أصحابها إطارًا تنظيميًّا أكثر منها قيدًا على الحجم.</w:t>
      </w:r>
    </w:p>
    <w:p>
      <w:pPr>
        <w:pStyle w:val="Heading2"/>
        <w:bidi/>
        <w:spacing w:after="120" w:before="240" w:line="360" w:lineRule="auto"/>
        <w:jc w:val="right"/>
      </w:pPr>
      <w:r>
        <w:rPr>
          <w:rFonts w:ascii="Times New Roman" w:cs="Traditional Arabic" w:hAnsi="Times New Roman"/>
          <w:b/>
          <w:bCs/>
          <w:sz w:val="36"/>
          <w:szCs w:val="36"/>
          <w:rtl/>
        </w:rPr>
        <w:t xml:space="preserve">1.4 خصائص أسلوب التّرسّل في القرنين الرّابع والخامس</w:t>
      </w:r>
    </w:p>
    <w:p>
      <w:pPr>
        <w:bidi/>
        <w:spacing w:after="120" w:before="0" w:line="360" w:lineRule="auto"/>
        <w:jc w:val="both"/>
      </w:pPr>
      <w:r>
        <w:rPr>
          <w:rFonts w:ascii="Times New Roman" w:cs="Traditional Arabic" w:hAnsi="Times New Roman"/>
          <w:b w:val="false"/>
          <w:sz w:val="32"/>
          <w:szCs w:val="32"/>
          <w:rtl/>
        </w:rPr>
        <w:t xml:space="preserve">غلبت على كتابة هذه الحقبة جملة خصائص أسلوبيّة يحسن الوقوف عندها لأنّ الغفران كتبت بها جميعًا: أوّلها السّجع، وقد صار في القرن الرّابع عمود الكتابة الفنّيّة حتّى ما تكاد تخلو منه جملة، وثانيها الازدواج والموازنة بين الجمل، وثالثها الإكثار من الاقتباس من القرآن الكريم والشّعر والمثل، ورابعها استعراض الغريب من اللّغة</w:t>
      </w:r>
      <w:r>
        <w:rPr>
          <w:rStyle w:val="FootnoteReference"/>
        </w:rPr>
        <w:footnoteReference w:id="8"/>
      </w:r>
      <w:r>
        <w:rPr>
          <w:rFonts w:ascii="Times New Roman" w:cs="Traditional Arabic" w:hAnsi="Times New Roman"/>
          <w:b w:val="false"/>
          <w:sz w:val="32"/>
          <w:szCs w:val="32"/>
          <w:rtl/>
        </w:rPr>
        <w:t xml:space="preserve">. وقد أخذ المعرّي هذه الخصائص كلّها وزاد عليها من سعة محفوظه اللّغويّ ما جعل شرّاح الغفران يقفون عند غريبه إلى اليوم. وممّا يلحظه الباحث أنّ هذه الصّنعة نفسها تدخل عنده في لعبة السّخرية: فالسّجع المتكلّف والغريب المتقعّر يساقان في مواضع الهزل، فيصير التّأنّق الأسلوبيّ ذاته موضع ابتسام، وكأنّه يسخر من صنعة عصره وهو يجاريها؛ وهي ملاحظة سيبني عليها الفصل الثّالث.</w:t>
      </w:r>
    </w:p>
    <w:p>
      <w:pPr>
        <w:pStyle w:val="Heading2"/>
        <w:bidi/>
        <w:spacing w:after="120" w:before="240" w:line="360" w:lineRule="auto"/>
        <w:jc w:val="right"/>
      </w:pPr>
      <w:r>
        <w:rPr>
          <w:rFonts w:ascii="Times New Roman" w:cs="Traditional Arabic" w:hAnsi="Times New Roman"/>
          <w:b/>
          <w:bCs/>
          <w:sz w:val="36"/>
          <w:szCs w:val="36"/>
          <w:rtl/>
        </w:rPr>
        <w:t xml:space="preserve">1.5 الرّسالة الأدبيّة قالبًا للسّرد والخيال</w:t>
      </w:r>
    </w:p>
    <w:p>
      <w:pPr>
        <w:bidi/>
        <w:spacing w:after="120" w:before="0" w:line="360" w:lineRule="auto"/>
        <w:jc w:val="both"/>
      </w:pPr>
      <w:r>
        <w:rPr>
          <w:rFonts w:ascii="Times New Roman" w:cs="Traditional Arabic" w:hAnsi="Times New Roman"/>
          <w:b w:val="false"/>
          <w:sz w:val="32"/>
          <w:szCs w:val="32"/>
          <w:rtl/>
        </w:rPr>
        <w:t xml:space="preserve">شهد القرنان الرّابع والخامس تحوّلًا لافتًا: صارت الرّسالة الأدبيّة قالبًا يتّسع للقصّة والمناظرة والرّحلة الخياليّة. فقد بنى الجاحظ قبل ذلك رسالة التّربيع والتّدوير على السّخرية من خصمه، وكتب ابن شهيد الأندلسيّ رسالة التّوابع والزّوابع رحلةً خياليّةً إلى وادي الجنّ يحاور فيها شياطين الشّعراء</w:t>
      </w:r>
      <w:r>
        <w:rPr>
          <w:rStyle w:val="FootnoteReference"/>
        </w:rPr>
        <w:footnoteReference w:id="9"/>
      </w:r>
      <w:r>
        <w:rPr>
          <w:rFonts w:ascii="Times New Roman" w:cs="Traditional Arabic" w:hAnsi="Times New Roman"/>
          <w:b w:val="false"/>
          <w:sz w:val="32"/>
          <w:szCs w:val="32"/>
          <w:rtl/>
        </w:rPr>
        <w:t xml:space="preserve">، وللمعرّي نفسه رسائل بنيت على التّخييل كرسالة الصّاهل والشّاحج على ألسنة الحيوان ورسالة الملائكة في مساءلة ملائكة السّماء عن تصاريف اللّغة.</w:t>
      </w:r>
    </w:p>
    <w:p>
      <w:pPr>
        <w:bidi/>
        <w:spacing w:after="120" w:before="0" w:line="360" w:lineRule="auto"/>
        <w:jc w:val="both"/>
      </w:pPr>
      <w:r>
        <w:rPr>
          <w:rFonts w:ascii="Times New Roman" w:cs="Traditional Arabic" w:hAnsi="Times New Roman"/>
          <w:b w:val="false"/>
          <w:sz w:val="32"/>
          <w:szCs w:val="32"/>
          <w:rtl/>
        </w:rPr>
        <w:t xml:space="preserve">فلمّا وصل هذا القالب إلى يد المعرّي كان مهيّأً لاحتمال ما حمّله إيّاه: ردّ على رسالة بعينها في ظاهره، ورحلة قصصيّة كاملة في باطنه. وقد وصف شلتوت رسالة الغفران بأنّها "رسالة ذات طابع روائيّ"، جعل المعرّي فيها من ابن القارح بطلًا لرحلة خياليّة أدبيّة عجيبة يحاور فيها الأدباء والشّعراء واللّغويّين في العالم الآخر</w:t>
      </w:r>
      <w:r>
        <w:rPr>
          <w:rStyle w:val="FootnoteReference"/>
        </w:rPr>
        <w:footnoteReference w:id="10"/>
      </w:r>
      <w:r>
        <w:rPr>
          <w:rFonts w:ascii="Times New Roman" w:cs="Traditional Arabic" w:hAnsi="Times New Roman"/>
          <w:b w:val="false"/>
          <w:sz w:val="32"/>
          <w:szCs w:val="32"/>
          <w:rtl/>
        </w:rPr>
        <w:t xml:space="preserve">. وبهذا يتبيّن أنّ السّخرية الّتي هي موضوع هذا البحث لم تنزل على قالب غريب عنها؛ فالتّرسّل الأدبيّ كان قد فتح بابه للهزل الجادّ قبل المعرّي، غير أنّ صاحب الغفران دفع بهذا الباب إلى أقصاه.</w:t>
      </w:r>
    </w:p>
    <w:p>
      <w:pPr>
        <w:pStyle w:val="Heading2"/>
        <w:bidi/>
        <w:spacing w:after="120" w:before="240" w:line="360" w:lineRule="auto"/>
        <w:jc w:val="right"/>
      </w:pPr>
      <w:r>
        <w:rPr>
          <w:rFonts w:ascii="Times New Roman" w:cs="Traditional Arabic" w:hAnsi="Times New Roman"/>
          <w:b/>
          <w:bCs/>
          <w:sz w:val="36"/>
          <w:szCs w:val="36"/>
          <w:rtl/>
        </w:rPr>
        <w:t xml:space="preserve">1.6 التّرسّل عند المعرّي قبل الغفران</w:t>
      </w:r>
    </w:p>
    <w:p>
      <w:pPr>
        <w:bidi/>
        <w:spacing w:after="120" w:before="0" w:line="360" w:lineRule="auto"/>
        <w:jc w:val="both"/>
      </w:pPr>
      <w:r>
        <w:rPr>
          <w:rFonts w:ascii="Times New Roman" w:cs="Traditional Arabic" w:hAnsi="Times New Roman"/>
          <w:b w:val="false"/>
          <w:sz w:val="32"/>
          <w:szCs w:val="32"/>
          <w:rtl/>
        </w:rPr>
        <w:t xml:space="preserve">لم تكن الغفران أولى تجارب المعرّي في هذا القالب؛ فقد كتب رسائل إخوانيّة كثيرة جُمعت في مصنّف مستقلّ، وكتب رسالة الملائكة الّتي يتخيّل فيها مساءلة ملائكة السّماء عن مسائل التّصريف اللّغويّ، ورسالة الصّاهل والشّاحج الّتي أدار حوارها على ألسنة الخيل والبغال معرّضًا بأحوال عصره السّياسيّة</w:t>
      </w:r>
      <w:r>
        <w:rPr>
          <w:rStyle w:val="FootnoteReference"/>
        </w:rPr>
        <w:footnoteReference w:id="11"/>
      </w:r>
      <w:r>
        <w:rPr>
          <w:rFonts w:ascii="Times New Roman" w:cs="Traditional Arabic" w:hAnsi="Times New Roman"/>
          <w:b w:val="false"/>
          <w:sz w:val="32"/>
          <w:szCs w:val="32"/>
          <w:rtl/>
        </w:rPr>
        <w:t xml:space="preserve">. وفي هذه التّجارب كلّها يظهر الملمحان اللّذان سيبلغان تمامهما في الغفران: نقل الجدل العلميّ إلى فضاء متخيّل غير أرضيّ، وإجراء الكلام على ألسنة من لا يتكلّم عادةً، من ملائكة وحيوان.</w:t>
      </w:r>
    </w:p>
    <w:p>
      <w:pPr>
        <w:bidi/>
        <w:spacing w:after="120" w:before="0" w:line="360" w:lineRule="auto"/>
        <w:jc w:val="both"/>
      </w:pPr>
      <w:r>
        <w:rPr>
          <w:rFonts w:ascii="Times New Roman" w:cs="Traditional Arabic" w:hAnsi="Times New Roman"/>
          <w:b w:val="false"/>
          <w:sz w:val="32"/>
          <w:szCs w:val="32"/>
          <w:rtl/>
        </w:rPr>
        <w:t xml:space="preserve">فيبدو الغفران ثمرة نضج طويل في التّعامل مع القالب، لا لمعة عابرة. وقد اجتمع فيها ما تفرّق في سابقاتها: الخيال الأخرويّ من رسالة الملائكة، والتّعريض السّياسيّ والاجتماعيّ من الصّاهل والشّاحج، وأدب المجاملة الإخوانيّة من رسائله، ثمّ زادت عليها جميعًا بالبناء القصصيّ المحكم الّذي جعل بعض المحدثين يقرؤونها قراءة سرديّة بوصفها عملًا روائيًّا مبكّرًا؛ وفي طليعة هؤلاء حسين الواد الّذي درس بنيتها القصصيّة دراسة كاملة</w:t>
      </w:r>
      <w:r>
        <w:rPr>
          <w:rStyle w:val="FootnoteReference"/>
        </w:rPr>
        <w:footnoteReference w:id="12"/>
      </w:r>
      <w:r>
        <w:rPr>
          <w:rFonts w:ascii="Times New Roman" w:cs="Traditional Arabic" w:hAnsi="Times New Roman"/>
          <w:b w:val="false"/>
          <w:sz w:val="32"/>
          <w:szCs w:val="32"/>
          <w:rtl/>
        </w:rPr>
        <w:t xml:space="preserve">. وبهذا يجيب الفصل عن شقّه من سؤال البحث: وظّف المعرّي قالب التّرسّل بأن ورث أعرافه كلّها ثمّ قلبها من الدّاخل، فحوّل الرّدّ الإخوانيّ إلى رحلة، والمجاملة إلى امتحان، والدّيباجة إلى مصيدة.</w:t>
      </w:r>
    </w:p>
    <w:p>
      <w:pPr>
        <w:pStyle w:val="Heading1"/>
        <w:pageBreakBefore/>
        <w:bidi/>
        <w:spacing w:after="240" w:before="240" w:line="360" w:lineRule="auto"/>
        <w:jc w:val="center"/>
      </w:pPr>
      <w:r>
        <w:rPr>
          <w:rFonts w:ascii="Times New Roman" w:cs="Traditional Arabic" w:hAnsi="Times New Roman"/>
          <w:b/>
          <w:bCs/>
          <w:sz w:val="40"/>
          <w:szCs w:val="40"/>
          <w:rtl/>
        </w:rPr>
        <w:t xml:space="preserve">الفصل الثّاني: أبو العلاء المعرّي: حياته وآثاره</w:t>
      </w:r>
    </w:p>
    <w:p>
      <w:pPr>
        <w:pStyle w:val="Heading2"/>
        <w:bidi/>
        <w:spacing w:after="120" w:before="240" w:line="360" w:lineRule="auto"/>
        <w:jc w:val="right"/>
      </w:pPr>
      <w:r>
        <w:rPr>
          <w:rFonts w:ascii="Times New Roman" w:cs="Traditional Arabic" w:hAnsi="Times New Roman"/>
          <w:b/>
          <w:bCs/>
          <w:sz w:val="36"/>
          <w:szCs w:val="36"/>
          <w:rtl/>
        </w:rPr>
        <w:t xml:space="preserve">2.1 عصره وبيئته</w:t>
      </w:r>
    </w:p>
    <w:p>
      <w:pPr>
        <w:bidi/>
        <w:spacing w:after="120" w:before="0" w:line="360" w:lineRule="auto"/>
        <w:jc w:val="both"/>
      </w:pPr>
      <w:r>
        <w:rPr>
          <w:rFonts w:ascii="Times New Roman" w:cs="Traditional Arabic" w:hAnsi="Times New Roman"/>
          <w:b w:val="false"/>
          <w:sz w:val="32"/>
          <w:szCs w:val="32"/>
          <w:rtl/>
        </w:rPr>
        <w:t xml:space="preserve">وُلد المعرّي في النّصف الثّاني من القرن الرّابع الهجريّ، وهو عصر كانت فيه الخلافة العبّاسيّة قد فقدت سلطانها الفعليّ. وقد وصف طه حسين السّياسة العبّاسيّة بحالتين: أولاهما قبل أبي العلاء وكان شكل السّلطة فيها فعليًّا للخلفاء، والثّانية في عصره وما بعده وصارت السّلطة فيها اسميّة، وقسّم العصر تقسيمًا آخر إلى عصر الخلفاء وعصر الملوك</w:t>
      </w:r>
      <w:r>
        <w:rPr>
          <w:rStyle w:val="FootnoteReference"/>
        </w:rPr>
        <w:footnoteReference w:id="13"/>
      </w:r>
      <w:r>
        <w:rPr>
          <w:rFonts w:ascii="Times New Roman" w:cs="Traditional Arabic" w:hAnsi="Times New Roman"/>
          <w:b w:val="false"/>
          <w:sz w:val="32"/>
          <w:szCs w:val="32"/>
          <w:rtl/>
        </w:rPr>
        <w:t xml:space="preserve">. فقد تقاسم النّفوذَ البويهيّون في العراق والحمدانيّون في حلب والفاطميّون في مصر والشّام، وكانت معرّة النّعمان، بلد المعرّي، واقعة في منطقة تتجاذبها هذه القوى جميعًا.</w:t>
      </w:r>
    </w:p>
    <w:p>
      <w:pPr>
        <w:bidi/>
        <w:spacing w:after="120" w:before="0" w:line="360" w:lineRule="auto"/>
        <w:jc w:val="both"/>
      </w:pPr>
      <w:r>
        <w:rPr>
          <w:rFonts w:ascii="Times New Roman" w:cs="Traditional Arabic" w:hAnsi="Times New Roman"/>
          <w:b w:val="false"/>
          <w:sz w:val="32"/>
          <w:szCs w:val="32"/>
          <w:rtl/>
        </w:rPr>
        <w:t xml:space="preserve">أمّا اجتماعيًّا واقتصاديًّا فتُظهر نظرة عابرة إلى مجتمع أبي العلاء، كما تقول توحيدي فر، أنّه كان يعاني من مصاعب كثيرة: وضع سياسيّ واقتصاديّ في أسوإ حالاته، وتدنٍّ في القيم الدّينيّة، وتعدّد في المذاهب والفرق الّتي تجلب النّاس لمنافعها</w:t>
      </w:r>
      <w:r>
        <w:rPr>
          <w:rStyle w:val="FootnoteReference"/>
        </w:rPr>
        <w:footnoteReference w:id="14"/>
      </w:r>
      <w:r>
        <w:rPr>
          <w:rFonts w:ascii="Times New Roman" w:cs="Traditional Arabic" w:hAnsi="Times New Roman"/>
          <w:b w:val="false"/>
          <w:sz w:val="32"/>
          <w:szCs w:val="32"/>
          <w:rtl/>
        </w:rPr>
        <w:t xml:space="preserve">. ومع هذا الاضطراب كلّه ظلّت الحياة الثّقافيّة مزدهرة؛ فقد نبغ في هذه الأجواء نفسها شعراء مجيدون كان المعرّي من أكابرهم، وقامت في حلب وبغداد وغيرهما مجالس للعلم ودور للكتب كانت مقصد طلّاب المعرفة من الأقطار.</w:t>
      </w:r>
    </w:p>
    <w:p>
      <w:pPr>
        <w:bidi/>
        <w:spacing w:after="120" w:before="0" w:line="360" w:lineRule="auto"/>
        <w:jc w:val="both"/>
      </w:pPr>
      <w:r>
        <w:rPr>
          <w:rFonts w:ascii="Times New Roman" w:cs="Traditional Arabic" w:hAnsi="Times New Roman"/>
          <w:b w:val="false"/>
          <w:sz w:val="32"/>
          <w:szCs w:val="32"/>
          <w:rtl/>
        </w:rPr>
        <w:t xml:space="preserve">ولهذه البيئة صلة مباشرة بموضوعنا: فكثرة الفرق والمذاهب المتنازعة، وما رافقها من توظيف الدّين والعلم في طلب المنافع، وضعت أمام عيني المعرّي معرضًا يوميًّا من التّناقض بين القول والعمل. ومن يقرأ الغفران على خلفيّة هذا المشهد يدرك أنّ سخريتها ليست ترفًا فنّيًّا، بل أقرب إلى ردّ فعل عقل دقيق الملاحظة على عصر كثير الادّعاء.</w:t>
      </w:r>
    </w:p>
    <w:p>
      <w:pPr>
        <w:pStyle w:val="Heading2"/>
        <w:bidi/>
        <w:spacing w:after="120" w:before="240" w:line="360" w:lineRule="auto"/>
        <w:jc w:val="right"/>
      </w:pPr>
      <w:r>
        <w:rPr>
          <w:rFonts w:ascii="Times New Roman" w:cs="Traditional Arabic" w:hAnsi="Times New Roman"/>
          <w:b/>
          <w:bCs/>
          <w:sz w:val="36"/>
          <w:szCs w:val="36"/>
          <w:rtl/>
        </w:rPr>
        <w:t xml:space="preserve">2.2 حياته: من المعرّة إلى بغداد ثمّ العزلة</w:t>
      </w:r>
    </w:p>
    <w:p>
      <w:pPr>
        <w:bidi/>
        <w:spacing w:after="120" w:before="0" w:line="360" w:lineRule="auto"/>
        <w:jc w:val="both"/>
      </w:pPr>
      <w:r>
        <w:rPr>
          <w:rFonts w:ascii="Times New Roman" w:cs="Traditional Arabic" w:hAnsi="Times New Roman"/>
          <w:b w:val="false"/>
          <w:sz w:val="32"/>
          <w:szCs w:val="32"/>
          <w:rtl/>
        </w:rPr>
        <w:t xml:space="preserve">هو أحمد بن عبد الله بن سليمان التّنوخيّ، أبو العلاء، من أهل معرّة النّعمان في الشّام، وقد أفاض الجندي في وصف هذه البلدة ومكانتها وما قيل فيها من شعر</w:t>
      </w:r>
      <w:r>
        <w:rPr>
          <w:rStyle w:val="FootnoteReference"/>
        </w:rPr>
        <w:footnoteReference w:id="15"/>
      </w:r>
      <w:r>
        <w:rPr>
          <w:rFonts w:ascii="Times New Roman" w:cs="Traditional Arabic" w:hAnsi="Times New Roman"/>
          <w:b w:val="false"/>
          <w:sz w:val="32"/>
          <w:szCs w:val="32"/>
          <w:rtl/>
        </w:rPr>
        <w:t xml:space="preserve">. ولد سنة 363هـ، وأصيب بالجدريّ سنة 367هـ ففقد بصره بسببه، ونطق بالشّعر عندما بلغ الحادية عشرة من عمره، وأخذ علوم القراءات القرآنيّة بإسناد عن الشّيوخ، كما تعلّم الحديث في سنّ مبكّرة</w:t>
      </w:r>
      <w:r>
        <w:rPr>
          <w:rStyle w:val="FootnoteReference"/>
        </w:rPr>
        <w:footnoteReference w:id="16"/>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ورحل إلى بغداد سنة 398هـ وأقام فيها سنة وسبعة أشهر، خالط خلالها العلماء ودور الكتب، ثمّ عاد إلى بلده فلزم بيته وأغلق عليه بابه، فلم يسمح لغير طلّاب العلم بمخالطته. وهذا هو السّبب في تلقيبه بلقب "رهين المحبسين": محبس العمى ومحبس المنزل</w:t>
      </w:r>
      <w:r>
        <w:rPr>
          <w:rStyle w:val="FootnoteReference"/>
        </w:rPr>
        <w:footnoteReference w:id="17"/>
      </w:r>
      <w:r>
        <w:rPr>
          <w:rFonts w:ascii="Times New Roman" w:cs="Traditional Arabic" w:hAnsi="Times New Roman"/>
          <w:b w:val="false"/>
          <w:sz w:val="32"/>
          <w:szCs w:val="32"/>
          <w:rtl/>
        </w:rPr>
        <w:t xml:space="preserve">. وقد أضاف هو محبسًا ثالثًا حين قال في لزوميّاته: "أراني في الثّلاثة من سجوني / فلا تسأل عن الخبر النّبيث // لفقدي ناظريّ ولزوم بيتي / وكون النّفس في الجسم الخبيث"</w:t>
      </w:r>
      <w:r>
        <w:rPr>
          <w:rStyle w:val="FootnoteReference"/>
        </w:rPr>
        <w:footnoteReference w:id="18"/>
      </w:r>
      <w:r>
        <w:rPr>
          <w:rFonts w:ascii="Times New Roman" w:cs="Traditional Arabic" w:hAnsi="Times New Roman"/>
          <w:b w:val="false"/>
          <w:sz w:val="32"/>
          <w:szCs w:val="32"/>
          <w:rtl/>
        </w:rPr>
        <w:t xml:space="preserve">. وقد جعل طه حسين من هذه السّجون الثّلاثة مدخلًا لكتابه عن فلسفة الرّجل</w:t>
      </w:r>
      <w:r>
        <w:rPr>
          <w:rStyle w:val="FootnoteReference"/>
        </w:rPr>
        <w:footnoteReference w:id="19"/>
      </w:r>
      <w:r>
        <w:rPr>
          <w:rFonts w:ascii="Times New Roman" w:cs="Traditional Arabic" w:hAnsi="Times New Roman"/>
          <w:b w:val="false"/>
          <w:sz w:val="32"/>
          <w:szCs w:val="32"/>
          <w:rtl/>
        </w:rPr>
        <w:t xml:space="preserve">. أمّا أوفى ما جُمع من أخباره وآثاره فموسوعة محمّد سليم الجندي الّتي حقّقت ما كتب عنه وما نسب إليه وصحّحت كثيرًا من الأوهام الّتي وقع فيها المترجمون له</w:t>
      </w:r>
      <w:r>
        <w:rPr>
          <w:rStyle w:val="FootnoteReference"/>
        </w:rPr>
        <w:footnoteReference w:id="20"/>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ظلّ حبيسًا في بيته حتّى وفاته سنة 449هـ بمعرّة النّعمان، وقد أوصى أن يُكتب على قبره عبارة تلخّص فلسفته في الحياة: "هذا ما جناه أبي عليّ وما جنيت على أحد"، يقصد أنّ أباه بزواجه من أمّه أوقعه في دار الدّنيا. وقد وقف على قبره جمع غفير من أدباء عصره وشعرائه ورثَوه بثمانين مرثاة</w:t>
      </w:r>
      <w:r>
        <w:rPr>
          <w:rStyle w:val="FootnoteReference"/>
        </w:rPr>
        <w:footnoteReference w:id="21"/>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وتروي كتب الأخبار عن زهده ما يكمل الصّورة: فقد اقتصر في مطعمه على النّبات ورفض التّكسّب بشعره وعاش عيشة الكفاف، ولم يتزوّج ولم يعقب، إمعانًا في مذهبه الّذي لخّصته وصيّته السّابقة. وليس هذا الزّهد تفصيلًا هامشيًّا في بحثنا؛ فالسّاخر الّذي لا يطلب من النّاس جاهًا ولا مالًا يملك من حرّيّة القول ما لا يملكه المتكسّبون، وسخرية الغفران من المدّاحين والمتوسّلين تصدر عن رجل نزّه نفسه عن الحالتين معًا.</w:t>
      </w:r>
    </w:p>
    <w:p>
      <w:pPr>
        <w:bidi/>
        <w:spacing w:after="120" w:before="0" w:line="360" w:lineRule="auto"/>
        <w:jc w:val="both"/>
      </w:pPr>
      <w:r>
        <w:rPr>
          <w:rFonts w:ascii="Times New Roman" w:cs="Traditional Arabic" w:hAnsi="Times New Roman"/>
          <w:b w:val="false"/>
          <w:sz w:val="32"/>
          <w:szCs w:val="32"/>
          <w:rtl/>
        </w:rPr>
        <w:t xml:space="preserve">وكان أبو العلاء ذكيًّا نابغًا متوقّد الذّهن قويّ الذّاكرة عجيب الحفظ والفهم؛ يروي شلتوت عن تلميذه التّبريزيّ ما يؤكّد ذلك: إذ سمع المعرّي كلامًا بالآذريّة في مجلسه فأعاد ما قيل من غير أن يفهم منه شيئًا، لأنّه حفظه بحروفه</w:t>
      </w:r>
      <w:r>
        <w:rPr>
          <w:rStyle w:val="FootnoteReference"/>
        </w:rPr>
        <w:footnoteReference w:id="22"/>
      </w:r>
      <w:r>
        <w:rPr>
          <w:rFonts w:ascii="Times New Roman" w:cs="Traditional Arabic" w:hAnsi="Times New Roman"/>
          <w:b w:val="false"/>
          <w:sz w:val="32"/>
          <w:szCs w:val="32"/>
          <w:rtl/>
        </w:rPr>
        <w:t xml:space="preserve">. وهو عند ياقوت الحمويّ ذو فضل في مواقفه وعطائه، وصاحب صيت وشهرة بالعلم لغةً ونحوًا وفلسفةً، وذو مهارة بالشّعر وجزالة في الكلام نثرًا وشعرًا</w:t>
      </w:r>
      <w:r>
        <w:rPr>
          <w:rStyle w:val="FootnoteReference"/>
        </w:rPr>
        <w:footnoteReference w:id="23"/>
      </w:r>
      <w:r>
        <w:rPr>
          <w:rFonts w:ascii="Times New Roman" w:cs="Traditional Arabic" w:hAnsi="Times New Roman"/>
          <w:b w:val="false"/>
          <w:sz w:val="32"/>
          <w:szCs w:val="32"/>
          <w:rtl/>
        </w:rPr>
        <w:t xml:space="preserve">.</w:t>
      </w:r>
    </w:p>
    <w:p>
      <w:pPr>
        <w:pStyle w:val="Heading2"/>
        <w:bidi/>
        <w:spacing w:after="120" w:before="240" w:line="360" w:lineRule="auto"/>
        <w:jc w:val="right"/>
      </w:pPr>
      <w:r>
        <w:rPr>
          <w:rFonts w:ascii="Times New Roman" w:cs="Traditional Arabic" w:hAnsi="Times New Roman"/>
          <w:b/>
          <w:bCs/>
          <w:sz w:val="36"/>
          <w:szCs w:val="36"/>
          <w:rtl/>
        </w:rPr>
        <w:t xml:space="preserve">2.3 ثقافته ومذهبه الفكريّ</w:t>
      </w:r>
    </w:p>
    <w:p>
      <w:pPr>
        <w:bidi/>
        <w:spacing w:after="120" w:before="0" w:line="360" w:lineRule="auto"/>
        <w:jc w:val="both"/>
      </w:pPr>
      <w:r>
        <w:rPr>
          <w:rFonts w:ascii="Times New Roman" w:cs="Traditional Arabic" w:hAnsi="Times New Roman"/>
          <w:b w:val="false"/>
          <w:sz w:val="32"/>
          <w:szCs w:val="32"/>
          <w:rtl/>
        </w:rPr>
        <w:t xml:space="preserve">جمع المعرّي ثقافة موسوعيّة قوامها اللّغة والشّعر والأخبار، تضاف إليها فلسفة خاصّة جعلت بعض الدّارسين يعدّه مؤسّسًا للشّعر الفلسفيّ في الأدب العربيّ؛ فالفلسفة في شعره، كما تقول توحيدي فر، فلسفة يوميّة: تفلسف وتحسّس في الشّؤون اليوميّة المتكرّرة في حياة البشر</w:t>
      </w:r>
      <w:r>
        <w:rPr>
          <w:rStyle w:val="FootnoteReference"/>
        </w:rPr>
        <w:footnoteReference w:id="24"/>
      </w:r>
      <w:r>
        <w:rPr>
          <w:rFonts w:ascii="Times New Roman" w:cs="Traditional Arabic" w:hAnsi="Times New Roman"/>
          <w:b w:val="false"/>
          <w:sz w:val="32"/>
          <w:szCs w:val="32"/>
          <w:rtl/>
        </w:rPr>
        <w:t xml:space="preserve">. وهو فيلسوف ما استخدم قدرته الشّعريّة في التّكسّب بالمال، بل استخدمها لبيان تساؤلاته العقليّة والفلسفيّة، وليست هذه التّساؤلات إلّا بيانًا لمشاكل ومفاسد مجتمع عاشه</w:t>
      </w:r>
      <w:r>
        <w:rPr>
          <w:rStyle w:val="FootnoteReference"/>
        </w:rPr>
        <w:footnoteReference w:id="25"/>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وقد اشتُهر بآرائه الّتي أثارت الجدل في وقته، وهاجم تصوّرات معاصريه للدّين والاعتقاد، حتّى شجّع ذلك كثيرين على اتّهامه بالزّندقة. لكنّ بنت الشّاطئ، وهي من أفضل من حقّق نصّ الغفران، تنفي عن فيلسوف المعرّة تلك التّهم، متّبعة في ذلك خطوات أستاذها طه حسين الّذي وضع غير كتاب عن المعرّي وكان إلى حدّ ما يرى نفسه شبيهًا به</w:t>
      </w:r>
      <w:r>
        <w:rPr>
          <w:rStyle w:val="FootnoteReference"/>
        </w:rPr>
        <w:footnoteReference w:id="26"/>
      </w:r>
      <w:r>
        <w:rPr>
          <w:rFonts w:ascii="Times New Roman" w:cs="Traditional Arabic" w:hAnsi="Times New Roman"/>
          <w:b w:val="false"/>
          <w:sz w:val="32"/>
          <w:szCs w:val="32"/>
          <w:rtl/>
        </w:rPr>
        <w:t xml:space="preserve">. وسواء أخذنا بهذا الدّفاع أم لم نأخذ، فالثّابت أنّ الرّجل كان عقلًا ناقدًا لا يسلّم بالسّائد، وأنّ زهده في مطاعم الدّنيا ومكاسبها أعطى نقده صدقيّة يصعب الطّعن فيها.</w:t>
      </w:r>
    </w:p>
    <w:p>
      <w:pPr>
        <w:pStyle w:val="Heading2"/>
        <w:bidi/>
        <w:spacing w:after="120" w:before="240" w:line="360" w:lineRule="auto"/>
        <w:jc w:val="right"/>
      </w:pPr>
      <w:r>
        <w:rPr>
          <w:rFonts w:ascii="Times New Roman" w:cs="Traditional Arabic" w:hAnsi="Times New Roman"/>
          <w:b/>
          <w:bCs/>
          <w:sz w:val="36"/>
          <w:szCs w:val="36"/>
          <w:rtl/>
        </w:rPr>
        <w:t xml:space="preserve">2.4 آثاره</w:t>
      </w:r>
    </w:p>
    <w:p>
      <w:pPr>
        <w:bidi/>
        <w:spacing w:after="120" w:before="0" w:line="360" w:lineRule="auto"/>
        <w:jc w:val="both"/>
      </w:pPr>
      <w:r>
        <w:rPr>
          <w:rFonts w:ascii="Times New Roman" w:cs="Traditional Arabic" w:hAnsi="Times New Roman"/>
          <w:b w:val="false"/>
          <w:sz w:val="32"/>
          <w:szCs w:val="32"/>
          <w:rtl/>
        </w:rPr>
        <w:t xml:space="preserve">خلّف المعرّي تراثًا ضخمًا شعرًا ونثرًا. أمّا شعره، وهو ديوان حكمته وفلسفته، فثلاثة أقسام: اللزوميّات، وسقط الزّند، وضوء السّقط</w:t>
      </w:r>
      <w:r>
        <w:rPr>
          <w:rStyle w:val="FootnoteReference"/>
        </w:rPr>
        <w:footnoteReference w:id="27"/>
      </w:r>
      <w:r>
        <w:rPr>
          <w:rFonts w:ascii="Times New Roman" w:cs="Traditional Arabic" w:hAnsi="Times New Roman"/>
          <w:b w:val="false"/>
          <w:sz w:val="32"/>
          <w:szCs w:val="32"/>
          <w:rtl/>
        </w:rPr>
        <w:t xml:space="preserve">. وفي اللزوميّات، وهي أنضج شعره، ألزم نفسه في القافية ما لا يلزم، وضمّنها آراءه في الحياة والموت والنّاس والمعتقدات. وأمّا كتبه النّثريّة فكثيرة، فهرسها ياقوت في معجم الأدباء؛ ومن تصانيفه كتاب الأيك والغصون في الأدب يزيد على مئة جزء، وتاج الحرّة في النّساء وأخلاقهنّ وعظاتهنّ، وعبث الوليد شرح به ونقّد ديوان البحتريّ، ورسالة الملائكة، ورسالة الغفران، والفصول والغايات</w:t>
      </w:r>
      <w:r>
        <w:rPr>
          <w:rStyle w:val="FootnoteReference"/>
        </w:rPr>
        <w:footnoteReference w:id="28"/>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وتكشف هذه العناوين عن أمرين يهمّان بحثنا: أوّلهما أنّ الرّجل كان ناقدًا لغويًّا محترفًا يشرح الدّواوين ويناقشها، وثانيهما أنّ قالب الرّسالة كان عنده أداة تأليف كبرى لا مجرّد مكاتبة، فرسالة الملائكة ورسالة الغفران كتابان كاملان في صيغة رسالتين.</w:t>
      </w:r>
    </w:p>
    <w:p>
      <w:pPr>
        <w:bidi/>
        <w:spacing w:after="120" w:before="0" w:line="360" w:lineRule="auto"/>
        <w:jc w:val="both"/>
      </w:pPr>
      <w:r>
        <w:rPr>
          <w:rFonts w:ascii="Times New Roman" w:cs="Traditional Arabic" w:hAnsi="Times New Roman"/>
          <w:b w:val="false"/>
          <w:sz w:val="32"/>
          <w:szCs w:val="32"/>
          <w:rtl/>
        </w:rPr>
        <w:t xml:space="preserve">وقد تُرجم الكثير من شعره إلى غير العربيّة، وكتبه الّتي وصلتنا موضع عناية الدّارسين شرقًا وغربًا</w:t>
      </w:r>
      <w:r>
        <w:rPr>
          <w:rStyle w:val="FootnoteReference"/>
        </w:rPr>
        <w:footnoteReference w:id="29"/>
      </w:r>
      <w:r>
        <w:rPr>
          <w:rFonts w:ascii="Times New Roman" w:cs="Traditional Arabic" w:hAnsi="Times New Roman"/>
          <w:b w:val="false"/>
          <w:sz w:val="32"/>
          <w:szCs w:val="32"/>
          <w:rtl/>
        </w:rPr>
        <w:t xml:space="preserve">. وليست هذه العناية بمستغربة؛ فالمعرّي من ألمع الشّخصيّات في العصور الأدبيّة الّتي شهدها الأدب العربيّ، وليس من المبالغة تقرير أنّ شخصيّته من أكثر الشّخصيّات الأدبيّة في تاريخ الأدب العربيّ إثارة وثراءً وعمقًا، وقد أتاحت له سعة اطّلاعه وحدّة ذكائه أن ينفرد بصور أدبيّة وتصوّرات فكريّة لم تكن معروفة بين أدباء زمانه</w:t>
      </w:r>
      <w:r>
        <w:rPr>
          <w:rStyle w:val="FootnoteReference"/>
        </w:rPr>
        <w:footnoteReference w:id="30"/>
      </w:r>
      <w:r>
        <w:rPr>
          <w:rFonts w:ascii="Times New Roman" w:cs="Traditional Arabic" w:hAnsi="Times New Roman"/>
          <w:b w:val="false"/>
          <w:sz w:val="32"/>
          <w:szCs w:val="32"/>
          <w:rtl/>
        </w:rPr>
        <w:t xml:space="preserve">.</w:t>
      </w:r>
    </w:p>
    <w:p>
      <w:pPr>
        <w:pStyle w:val="Heading2"/>
        <w:bidi/>
        <w:spacing w:after="120" w:before="240" w:line="360" w:lineRule="auto"/>
        <w:jc w:val="right"/>
      </w:pPr>
      <w:r>
        <w:rPr>
          <w:rFonts w:ascii="Times New Roman" w:cs="Traditional Arabic" w:hAnsi="Times New Roman"/>
          <w:b/>
          <w:bCs/>
          <w:sz w:val="36"/>
          <w:szCs w:val="36"/>
          <w:rtl/>
        </w:rPr>
        <w:t xml:space="preserve">2.5 رسالة الغفران: المناسبة والبناء</w:t>
      </w:r>
    </w:p>
    <w:p>
      <w:pPr>
        <w:bidi/>
        <w:spacing w:after="120" w:before="0" w:line="360" w:lineRule="auto"/>
        <w:jc w:val="both"/>
      </w:pPr>
      <w:r>
        <w:rPr>
          <w:rFonts w:ascii="Times New Roman" w:cs="Traditional Arabic" w:hAnsi="Times New Roman"/>
          <w:b w:val="false"/>
          <w:sz w:val="32"/>
          <w:szCs w:val="32"/>
          <w:rtl/>
        </w:rPr>
        <w:t xml:space="preserve">كان أبو العلاء في السّتّين من عمره حين أملى رسالة الغفران</w:t>
      </w:r>
      <w:r>
        <w:rPr>
          <w:rStyle w:val="FootnoteReference"/>
        </w:rPr>
        <w:footnoteReference w:id="31"/>
      </w:r>
      <w:r>
        <w:rPr>
          <w:rFonts w:ascii="Times New Roman" w:cs="Traditional Arabic" w:hAnsi="Times New Roman"/>
          <w:b w:val="false"/>
          <w:sz w:val="32"/>
          <w:szCs w:val="32"/>
          <w:rtl/>
        </w:rPr>
        <w:t xml:space="preserve">، وذلك ردًّا على رسالة بعث بها إليه عليّ بن منصور الحلبيّ المعروف بابن القارح. وابن القارح أديب لغويّ من أهل حلب، طوّف في الآفاق يطلب الرّزق بأدبه، واتّصل بالكبراء ثمّ ساءت حاله في آخر عمره، فكتب إلى المعرّي رسالة أطال فيها الثّناء عليه، وشكا زمانه، وأعلن توبته عمّا كان من أمره، وطعن في جماعة من الزّنادقة والملحدين، وعرض مسائل في اللّغة والدّين. وقد بدأ المعرّي ردّه بمقدّمة وصف فيها رسالة ابن القارح وأثرها الطّيّب في نفسه، فهي كلمة طيّبة أصلها ثابت وفرعها في السّماء، ثمّ استرسل بخياله الجامح إلى بلوغ ابن القارح للسّماء العليا بفضل كلماته الطّيّبة الّتي رفعته إلى الجنّة</w:t>
      </w:r>
      <w:r>
        <w:rPr>
          <w:rStyle w:val="FootnoteReference"/>
        </w:rPr>
        <w:footnoteReference w:id="32"/>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وتنقسم الرّسالة قسمين كبيرين: قسم الرّحلة، وفيه يتخيّل المعرّي ابن القارح وقد بُعث، فيطيل الوقوف في المحشر، ويحتال لدخول الجنّة، ثمّ يجول فيها وفي النّار محاورًا الشّعراء واللّغويّين؛ وقسم الرّدّ المباشر، وفيه يجيب المعرّي عن مسائل ابن القارح ويناقش توبته وأخباره. وقد جرت العادة عند الدّارسين على العناية بالقسم الأوّل خاصّة، لأنّه موضع الإبداع القصصيّ والسّخريّ.</w:t>
      </w:r>
    </w:p>
    <w:p>
      <w:pPr>
        <w:bidi/>
        <w:spacing w:after="120" w:before="0" w:line="360" w:lineRule="auto"/>
        <w:jc w:val="both"/>
      </w:pPr>
      <w:r>
        <w:rPr>
          <w:rFonts w:ascii="Times New Roman" w:cs="Traditional Arabic" w:hAnsi="Times New Roman"/>
          <w:b w:val="false"/>
          <w:sz w:val="32"/>
          <w:szCs w:val="32"/>
          <w:rtl/>
        </w:rPr>
        <w:t xml:space="preserve">والرّسالة قبل كلّ شيء نصّ فلسفيّ يتأمّل الوجود والتّاريخ والحياة، ويتأمّل أيضًا ضروب الإبداع الإنسانيّ، والواضح من النّصّ أنّ أبا العلاء إنّما شاء فيه، عبر وصفه وتحليله للشّخصيّات الّتي يلتقيها ابن القارح خلال رحلته من شعراء وقادة وأدباء وفلاسفة ومفكّرين ومتكلّمين، أن يعبّر أوّل ما يعبّر عن ذلك التّمزّق الّذي كان يعيشه هو، بين إيمانه وشكّه، ويأسه وأمله، متسائلًا عن جدوى كلّ ما عاش فيه وله، وعن مكان الإنسان في هذا الكون</w:t>
      </w:r>
      <w:r>
        <w:rPr>
          <w:rStyle w:val="FootnoteReference"/>
        </w:rPr>
        <w:footnoteReference w:id="33"/>
      </w:r>
      <w:r>
        <w:rPr>
          <w:rFonts w:ascii="Times New Roman" w:cs="Traditional Arabic" w:hAnsi="Times New Roman"/>
          <w:b w:val="false"/>
          <w:sz w:val="32"/>
          <w:szCs w:val="32"/>
          <w:rtl/>
        </w:rPr>
        <w:t xml:space="preserve">. فمن ناحية تكشف الرّسالة عن مؤمن يعيش إيمانه بكلّ جوارحه، وعن شكّاك لا يرى فائدة في الصّورة الّتي يصنعها المتكلّمون للدّين</w:t>
      </w:r>
      <w:r>
        <w:rPr>
          <w:rStyle w:val="FootnoteReference"/>
        </w:rPr>
        <w:footnoteReference w:id="34"/>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وقد طبعت الرّسالة عدّة مرّات كان من أهمّها النّسخة المحقّقة الّتي أنجزتها بنت الشّاطئ وصدّرتها بدراسة وافية مع تحقيق لرسالة ابن القارح الّتي تمثّل المفتاح لفهم رسالة الغفران</w:t>
      </w:r>
      <w:r>
        <w:rPr>
          <w:rStyle w:val="FootnoteReference"/>
        </w:rPr>
        <w:footnoteReference w:id="35"/>
      </w:r>
      <w:r>
        <w:rPr>
          <w:rFonts w:ascii="Times New Roman" w:cs="Traditional Arabic" w:hAnsi="Times New Roman"/>
          <w:b w:val="false"/>
          <w:sz w:val="32"/>
          <w:szCs w:val="32"/>
          <w:rtl/>
        </w:rPr>
        <w:t xml:space="preserve">. وذاع صيت الرّسالة خارج العربيّة أيضًا: فقد عرّف المستشرق الإنجليزيّ نيكلسون القارئ الأوروبيّ بأبي العلاء وأدبه</w:t>
      </w:r>
      <w:r>
        <w:rPr>
          <w:rStyle w:val="FootnoteReference"/>
        </w:rPr>
        <w:footnoteReference w:id="36"/>
      </w:r>
      <w:r>
        <w:rPr>
          <w:rFonts w:ascii="Times New Roman" w:cs="Traditional Arabic" w:hAnsi="Times New Roman"/>
          <w:b w:val="false"/>
          <w:sz w:val="32"/>
          <w:szCs w:val="32"/>
          <w:rtl/>
        </w:rPr>
        <w:t xml:space="preserve">، وترجمت الرّسالة كاملة إلى الإنجليزيّة في العقد الماضي</w:t>
      </w:r>
      <w:r>
        <w:rPr>
          <w:rStyle w:val="FootnoteReference"/>
        </w:rPr>
        <w:footnoteReference w:id="37"/>
      </w:r>
      <w:r>
        <w:rPr>
          <w:rFonts w:ascii="Times New Roman" w:cs="Traditional Arabic" w:hAnsi="Times New Roman"/>
          <w:b w:val="false"/>
          <w:sz w:val="32"/>
          <w:szCs w:val="32"/>
          <w:rtl/>
        </w:rPr>
        <w:t xml:space="preserve">. وذهب دارسون إلى أنّ الكوميديا الإلهيّة لدانتي تلتقي معها في الفكرة وكثير من التّفاصيل، وقد خصّص عماد أبو رحمة دراسة نصّيّة مقارنة للتحقّق من صدق دعوى العلاقة بين العملين بالاعتماد على تفحّص النّصّين من الدّاخل لا على الوقائع التّاريخيّة وحدها</w:t>
      </w:r>
      <w:r>
        <w:rPr>
          <w:rStyle w:val="FootnoteReference"/>
        </w:rPr>
        <w:footnoteReference w:id="38"/>
      </w:r>
      <w:r>
        <w:rPr>
          <w:rFonts w:ascii="Times New Roman" w:cs="Traditional Arabic" w:hAnsi="Times New Roman"/>
          <w:b w:val="false"/>
          <w:sz w:val="32"/>
          <w:szCs w:val="32"/>
          <w:rtl/>
        </w:rPr>
        <w:t xml:space="preserve">. وأيًّا كان الرّأي في هذه العلاقة، فإنّ مجرّد قيام المقارنة شاهد على المكانة الّتي بلغها هذا النّصّ.</w:t>
      </w:r>
    </w:p>
    <w:p>
      <w:pPr>
        <w:pStyle w:val="Heading2"/>
        <w:bidi/>
        <w:spacing w:after="120" w:before="240" w:line="360" w:lineRule="auto"/>
        <w:jc w:val="right"/>
      </w:pPr>
      <w:r>
        <w:rPr>
          <w:rFonts w:ascii="Times New Roman" w:cs="Traditional Arabic" w:hAnsi="Times New Roman"/>
          <w:b/>
          <w:bCs/>
          <w:sz w:val="36"/>
          <w:szCs w:val="36"/>
          <w:rtl/>
        </w:rPr>
        <w:t xml:space="preserve">2.6 المعرّي في عيون الدّارسين المحدثين</w:t>
      </w:r>
    </w:p>
    <w:p>
      <w:pPr>
        <w:bidi/>
        <w:spacing w:after="120" w:before="0" w:line="360" w:lineRule="auto"/>
        <w:jc w:val="both"/>
      </w:pPr>
      <w:r>
        <w:rPr>
          <w:rFonts w:ascii="Times New Roman" w:cs="Traditional Arabic" w:hAnsi="Times New Roman"/>
          <w:b w:val="false"/>
          <w:sz w:val="32"/>
          <w:szCs w:val="32"/>
          <w:rtl/>
        </w:rPr>
        <w:t xml:space="preserve">قلّ في أعلام العربيّة من نال من عناية الدّرس الحديث ما ناله المعرّي. فقد افتتح طه حسين هذه العناية بكتابه تجديد ذكرى أبي العلاء، ثمّ عاد إليه في مع أبي العلاء في سجنه شارحًا بلغة سلسة جملة صالحة من آرائه ومذاهبه في الحياة</w:t>
      </w:r>
      <w:r>
        <w:rPr>
          <w:rStyle w:val="FootnoteReference"/>
        </w:rPr>
        <w:footnoteReference w:id="39"/>
      </w:r>
      <w:r>
        <w:rPr>
          <w:rFonts w:ascii="Times New Roman" w:cs="Traditional Arabic" w:hAnsi="Times New Roman"/>
          <w:b w:val="false"/>
          <w:sz w:val="32"/>
          <w:szCs w:val="32"/>
          <w:rtl/>
        </w:rPr>
        <w:t xml:space="preserve">، وكان كما مرّ يرى نفسه إلى حدّ ما شبيهًا بصاحبه</w:t>
      </w:r>
      <w:r>
        <w:rPr>
          <w:rStyle w:val="FootnoteReference"/>
        </w:rPr>
        <w:footnoteReference w:id="40"/>
      </w:r>
      <w:r>
        <w:rPr>
          <w:rFonts w:ascii="Times New Roman" w:cs="Traditional Arabic" w:hAnsi="Times New Roman"/>
          <w:b w:val="false"/>
          <w:sz w:val="32"/>
          <w:szCs w:val="32"/>
          <w:rtl/>
        </w:rPr>
        <w:t xml:space="preserve">. وواصلت بنت الشّاطئ الطّريق بتحقيقها نصّ الغفران وبدراساتها الّتي دافعت فيها عن إيمان الرّجل وقرأت رسالته قراءة نفسيّة رائدة.</w:t>
      </w:r>
    </w:p>
    <w:p>
      <w:pPr>
        <w:bidi/>
        <w:spacing w:after="120" w:before="0" w:line="360" w:lineRule="auto"/>
        <w:jc w:val="both"/>
      </w:pPr>
      <w:r>
        <w:rPr>
          <w:rFonts w:ascii="Times New Roman" w:cs="Traditional Arabic" w:hAnsi="Times New Roman"/>
          <w:b w:val="false"/>
          <w:sz w:val="32"/>
          <w:szCs w:val="32"/>
          <w:rtl/>
        </w:rPr>
        <w:t xml:space="preserve">ولم تقف العناية عند العربيّة؛ فقد درسته توحيدي فر، وهي باحثة إيرانيّة، في معتقداته الدّينيّة، وذهبت في تقديم كتابها إلى عقد مقارنة بين فيلسوف المعرّة وأبيقور الّذي اشتهر بزهده وشوبنهور الوجوديّ، مؤكّدة أنّ فكرته جديرة بالبحث الطّويل</w:t>
      </w:r>
      <w:r>
        <w:rPr>
          <w:rStyle w:val="FootnoteReference"/>
        </w:rPr>
        <w:footnoteReference w:id="41"/>
      </w:r>
      <w:r>
        <w:rPr>
          <w:rFonts w:ascii="Times New Roman" w:cs="Traditional Arabic" w:hAnsi="Times New Roman"/>
          <w:b w:val="false"/>
          <w:sz w:val="32"/>
          <w:szCs w:val="32"/>
          <w:rtl/>
        </w:rPr>
        <w:t xml:space="preserve">، كما عرّف نيكلسون القرّاء الأوروبّيّين بشعره وفكره منذ مطلع القرن العشرين</w:t>
      </w:r>
      <w:r>
        <w:rPr>
          <w:rStyle w:val="FootnoteReference"/>
        </w:rPr>
        <w:footnoteReference w:id="42"/>
      </w:r>
      <w:r>
        <w:rPr>
          <w:rFonts w:ascii="Times New Roman" w:cs="Traditional Arabic" w:hAnsi="Times New Roman"/>
          <w:b w:val="false"/>
          <w:sz w:val="32"/>
          <w:szCs w:val="32"/>
          <w:rtl/>
        </w:rPr>
        <w:t xml:space="preserve">. وفي هذه الإطلالة ما يشير إلى أنّ الرّجل الّذي سنقرأ سخريته في الفصل الآتي ليس ظريفًا عابرًا في تاريخ الأدب، بل مفكّر وضعه الدّرس الحديث، شرقًا وغربًا، في صفّ كبار المتأمّلين في الوجود.</w:t>
      </w:r>
    </w:p>
    <w:p>
      <w:pPr>
        <w:pStyle w:val="Heading1"/>
        <w:pageBreakBefore/>
        <w:bidi/>
        <w:spacing w:after="240" w:before="240" w:line="360" w:lineRule="auto"/>
        <w:jc w:val="center"/>
      </w:pPr>
      <w:r>
        <w:rPr>
          <w:rFonts w:ascii="Times New Roman" w:cs="Traditional Arabic" w:hAnsi="Times New Roman"/>
          <w:b/>
          <w:bCs/>
          <w:sz w:val="40"/>
          <w:szCs w:val="40"/>
          <w:rtl/>
        </w:rPr>
        <w:t xml:space="preserve">الفصل الثّالث: مظاهر السّخرية في رسالة الغفران</w:t>
      </w:r>
    </w:p>
    <w:p>
      <w:pPr>
        <w:pStyle w:val="Heading2"/>
        <w:bidi/>
        <w:spacing w:after="120" w:before="240" w:line="360" w:lineRule="auto"/>
        <w:jc w:val="right"/>
      </w:pPr>
      <w:r>
        <w:rPr>
          <w:rFonts w:ascii="Times New Roman" w:cs="Traditional Arabic" w:hAnsi="Times New Roman"/>
          <w:b/>
          <w:bCs/>
          <w:sz w:val="36"/>
          <w:szCs w:val="36"/>
          <w:rtl/>
        </w:rPr>
        <w:t xml:space="preserve">3.1 في مفهوم السّخرية</w:t>
      </w:r>
    </w:p>
    <w:p>
      <w:pPr>
        <w:bidi/>
        <w:spacing w:after="120" w:before="0" w:line="360" w:lineRule="auto"/>
        <w:jc w:val="both"/>
      </w:pPr>
      <w:r>
        <w:rPr>
          <w:rFonts w:ascii="Times New Roman" w:cs="Traditional Arabic" w:hAnsi="Times New Roman"/>
          <w:b w:val="false"/>
          <w:sz w:val="32"/>
          <w:szCs w:val="32"/>
          <w:rtl/>
        </w:rPr>
        <w:t xml:space="preserve">السّخرية في اللّغة من سخِر منه وبه: هزئ به؛ وقد ربطت حنان بن قيراط معناها اللّغويّ، كما يظهر في المعاجم، بالضّحك والاستهزاء بمن قلّ قدره</w:t>
      </w:r>
      <w:r>
        <w:rPr>
          <w:rStyle w:val="FootnoteReference"/>
        </w:rPr>
        <w:footnoteReference w:id="43"/>
      </w:r>
      <w:r>
        <w:rPr>
          <w:rFonts w:ascii="Times New Roman" w:cs="Traditional Arabic" w:hAnsi="Times New Roman"/>
          <w:b w:val="false"/>
          <w:sz w:val="32"/>
          <w:szCs w:val="32"/>
          <w:rtl/>
        </w:rPr>
        <w:t xml:space="preserve">. وهي في الاصطلاح الأدبيّ طريقة من طرق التّعبير يستعمل فيها الكاتب ألفاظًا تقلب المعنى إلى عكس ما يقصده حقيقةً، فيمدح وهو يذمّ، ويجاري وهو يعارض</w:t>
      </w:r>
      <w:r>
        <w:rPr>
          <w:rStyle w:val="FootnoteReference"/>
        </w:rPr>
        <w:footnoteReference w:id="44"/>
      </w:r>
      <w:r>
        <w:rPr>
          <w:rFonts w:ascii="Times New Roman" w:cs="Traditional Arabic" w:hAnsi="Times New Roman"/>
          <w:b w:val="false"/>
          <w:sz w:val="32"/>
          <w:szCs w:val="32"/>
          <w:rtl/>
        </w:rPr>
        <w:t xml:space="preserve">. وبهذا تفترق السّخرية عن الهجاء الصّريح: فالهجّاء يواجه خصمه بالقبيح مواجهةً، أمّا السّاخر فيداور ويواري، ويترك للقارئ لذّة اكتشاف المفارقة بنفسه.</w:t>
      </w:r>
    </w:p>
    <w:p>
      <w:pPr>
        <w:bidi/>
        <w:spacing w:after="120" w:before="0" w:line="360" w:lineRule="auto"/>
        <w:jc w:val="both"/>
      </w:pPr>
      <w:r>
        <w:rPr>
          <w:rFonts w:ascii="Times New Roman" w:cs="Traditional Arabic" w:hAnsi="Times New Roman"/>
          <w:b w:val="false"/>
          <w:sz w:val="32"/>
          <w:szCs w:val="32"/>
          <w:rtl/>
        </w:rPr>
        <w:t xml:space="preserve">وليست السّخرية طارئة على الأدب العربيّ؛ فقد عرفها الشّعر الجاهليّ في بعض هجائه، وبلغت في نثر الجاحظ ذروة مبكّرة في البخلاء والتّربيع والتّدوير، حيث تتولّد الفكاهة من رسم الشّخصيّات والمواقف لا من الشّتم. وقد رصد نعمان طه هذا الخطّ الممتدّ في الأدب العربيّ حتّى نهاية القرن الرّابع</w:t>
      </w:r>
      <w:r>
        <w:rPr>
          <w:rStyle w:val="FootnoteReference"/>
        </w:rPr>
        <w:footnoteReference w:id="45"/>
      </w:r>
      <w:r>
        <w:rPr>
          <w:rFonts w:ascii="Times New Roman" w:cs="Traditional Arabic" w:hAnsi="Times New Roman"/>
          <w:b w:val="false"/>
          <w:sz w:val="32"/>
          <w:szCs w:val="32"/>
          <w:rtl/>
        </w:rPr>
        <w:t xml:space="preserve">، وجاء المعرّي وريثًا لهذا التّقليد ومجدّدًا فيه: نقل السّخرية من مجالس الأرض إلى ساحة الآخرة نفسها.</w:t>
      </w:r>
    </w:p>
    <w:p>
      <w:pPr>
        <w:bidi/>
        <w:spacing w:after="120" w:before="0" w:line="360" w:lineRule="auto"/>
        <w:jc w:val="both"/>
      </w:pPr>
      <w:r>
        <w:rPr>
          <w:rFonts w:ascii="Times New Roman" w:cs="Traditional Arabic" w:hAnsi="Times New Roman"/>
          <w:b w:val="false"/>
          <w:sz w:val="32"/>
          <w:szCs w:val="32"/>
          <w:rtl/>
        </w:rPr>
        <w:t xml:space="preserve">ويحسن هنا تمييز السّخرية من جارتيها: الفكاهة والهجاء. فالفكاهة إضحاك بريء لا يستهدف أحدًا بعينه، والهجاء عدوان لفظيّ مكشوف يسمّي خصمه ويقصده، أمّا السّخرية فبينهما: فيها قصد النّقد الّذي في الهجاء، وفيها آليّة الإضحاك الّتي في الفكاهة، لكنّها تعمل بالإيحاء والمواربة. ولذلك كثيرًا ما كانت السّخرية سلاح العقول الكبيرة المقيّدة؛ فهي تتيح قول الخطر في صورة المباح. ومن هنا كان اختيار المعرّي لها اختيارًا مطابقًا لموقعه: رجل يرى ما لا يستطيع معاصروه رؤيته، ولا يملك أن يقوله كلّه صراحةً.</w:t>
      </w:r>
    </w:p>
    <w:p>
      <w:pPr>
        <w:pStyle w:val="Heading2"/>
        <w:bidi/>
        <w:spacing w:after="120" w:before="240" w:line="360" w:lineRule="auto"/>
        <w:jc w:val="right"/>
      </w:pPr>
      <w:r>
        <w:rPr>
          <w:rFonts w:ascii="Times New Roman" w:cs="Traditional Arabic" w:hAnsi="Times New Roman"/>
          <w:b/>
          <w:bCs/>
          <w:sz w:val="36"/>
          <w:szCs w:val="36"/>
          <w:rtl/>
        </w:rPr>
        <w:t xml:space="preserve">3.2 دوافع السّخرية عند المعرّي: لماذا ألّف الغفران ساخرةً؟</w:t>
      </w:r>
    </w:p>
    <w:p>
      <w:pPr>
        <w:bidi/>
        <w:spacing w:after="120" w:before="0" w:line="360" w:lineRule="auto"/>
        <w:jc w:val="both"/>
      </w:pPr>
      <w:r>
        <w:rPr>
          <w:rFonts w:ascii="Times New Roman" w:cs="Traditional Arabic" w:hAnsi="Times New Roman"/>
          <w:b w:val="false"/>
          <w:sz w:val="32"/>
          <w:szCs w:val="32"/>
          <w:rtl/>
        </w:rPr>
        <w:t xml:space="preserve">في الظّاهر أنّ رسالة الغفران ردّ على رسالة ابن القارح، غير أنّ أبا العلاء، كما يقول شلتوت، جعل الرّدّ معرِضًا للسّخرية من ابن القارح، ووسيلة لاستعراض مخزونه من التّراث الأدبيّ واللّغويّ والشّعريّ</w:t>
      </w:r>
      <w:r>
        <w:rPr>
          <w:rStyle w:val="FootnoteReference"/>
        </w:rPr>
        <w:footnoteReference w:id="46"/>
      </w:r>
      <w:r>
        <w:rPr>
          <w:rFonts w:ascii="Times New Roman" w:cs="Traditional Arabic" w:hAnsi="Times New Roman"/>
          <w:b w:val="false"/>
          <w:sz w:val="32"/>
          <w:szCs w:val="32"/>
          <w:rtl/>
        </w:rPr>
        <w:t xml:space="preserve">. فالباعث الأوّل باعث شخصيّ نقديّ: رجل يتملّق الشّيخ الضّرير ويعلن توبة يشكّ الشّيخ في صدقها، فيكافئه المعرّي بردّ يظاهره التّرحيب ويبطن الامتحان.</w:t>
      </w:r>
    </w:p>
    <w:p>
      <w:pPr>
        <w:bidi/>
        <w:spacing w:after="120" w:before="0" w:line="360" w:lineRule="auto"/>
        <w:jc w:val="both"/>
      </w:pPr>
      <w:r>
        <w:rPr>
          <w:rFonts w:ascii="Times New Roman" w:cs="Traditional Arabic" w:hAnsi="Times New Roman"/>
          <w:b w:val="false"/>
          <w:sz w:val="32"/>
          <w:szCs w:val="32"/>
          <w:rtl/>
        </w:rPr>
        <w:t xml:space="preserve">وثمّة باعث أوسع: نقد العصر. فقد عُرف المعرّي بنقده لعصره بأسلوب ساخر يلمح به إلى حالة من عصره عن طريق أفعال الشّخصيّات أو المكان</w:t>
      </w:r>
      <w:r>
        <w:rPr>
          <w:rStyle w:val="FootnoteReference"/>
        </w:rPr>
        <w:footnoteReference w:id="47"/>
      </w:r>
      <w:r>
        <w:rPr>
          <w:rFonts w:ascii="Times New Roman" w:cs="Traditional Arabic" w:hAnsi="Times New Roman"/>
          <w:b w:val="false"/>
          <w:sz w:val="32"/>
          <w:szCs w:val="32"/>
          <w:rtl/>
        </w:rPr>
        <w:t xml:space="preserve">. فالجنّة في الرّسالة ليست موضوعًا دينيًّا خالصًا بقدر ما هي مرآة مقلوبة يرى فيها القارئ مجالس الأدباء في الدّنيا بمنافساتها الصّغيرة وأهوائها.</w:t>
      </w:r>
    </w:p>
    <w:p>
      <w:pPr>
        <w:bidi/>
        <w:spacing w:after="120" w:before="0" w:line="360" w:lineRule="auto"/>
        <w:jc w:val="both"/>
      </w:pPr>
      <w:r>
        <w:rPr>
          <w:rFonts w:ascii="Times New Roman" w:cs="Traditional Arabic" w:hAnsi="Times New Roman"/>
          <w:b w:val="false"/>
          <w:sz w:val="32"/>
          <w:szCs w:val="32"/>
          <w:rtl/>
        </w:rPr>
        <w:t xml:space="preserve">وأضافت بنت الشّاطئ بعدًا نفسيًّا؛ إذ رأت أنّ الرّسالة تعبّر عن أمانيه الموؤودة، وأنّها مشحونة بأصداء أشواقه المكبوتة وصليل القيود الّتي كبّلت نفسه بالحرمان الباهظ</w:t>
      </w:r>
      <w:r>
        <w:rPr>
          <w:rStyle w:val="FootnoteReference"/>
        </w:rPr>
        <w:footnoteReference w:id="48"/>
      </w:r>
      <w:r>
        <w:rPr>
          <w:rFonts w:ascii="Times New Roman" w:cs="Traditional Arabic" w:hAnsi="Times New Roman"/>
          <w:b w:val="false"/>
          <w:sz w:val="32"/>
          <w:szCs w:val="32"/>
          <w:rtl/>
        </w:rPr>
        <w:t xml:space="preserve">، وأنّ صائم الدّهر الّذي حرم نفسه لذّات الدّنيا ملأ جنّته بالخمر والنّساء وتفنّن في حشد صنوف من اللذائذ الحسّيّة والشّهوات المصوّرة</w:t>
      </w:r>
      <w:r>
        <w:rPr>
          <w:rStyle w:val="FootnoteReference"/>
        </w:rPr>
        <w:footnoteReference w:id="49"/>
      </w:r>
      <w:r>
        <w:rPr>
          <w:rFonts w:ascii="Times New Roman" w:cs="Traditional Arabic" w:hAnsi="Times New Roman"/>
          <w:b w:val="false"/>
          <w:sz w:val="32"/>
          <w:szCs w:val="32"/>
          <w:rtl/>
        </w:rPr>
        <w:t xml:space="preserve">. وسواء صحّ هذا التّأويل أم كان فيه من الإسقاط شيء، فإنّه يفسّر حرارة الوصف الحسّيّ الّذي تقوم عليه مبالغات الرّسالة السّاخرة.</w:t>
      </w:r>
    </w:p>
    <w:p>
      <w:pPr>
        <w:pStyle w:val="Heading2"/>
        <w:bidi/>
        <w:spacing w:after="120" w:before="240" w:line="360" w:lineRule="auto"/>
        <w:jc w:val="right"/>
      </w:pPr>
      <w:r>
        <w:rPr>
          <w:rFonts w:ascii="Times New Roman" w:cs="Traditional Arabic" w:hAnsi="Times New Roman"/>
          <w:b/>
          <w:bCs/>
          <w:sz w:val="36"/>
          <w:szCs w:val="36"/>
          <w:rtl/>
        </w:rPr>
        <w:t xml:space="preserve">3.3 موضوعات السّخرية: ممّن يسخر المعرّي وممّ يسخر؟</w:t>
      </w:r>
    </w:p>
    <w:p>
      <w:pPr>
        <w:pStyle w:val="Heading3"/>
        <w:bidi/>
        <w:spacing w:after="100" w:before="180" w:line="360" w:lineRule="auto"/>
        <w:jc w:val="right"/>
      </w:pPr>
      <w:r>
        <w:rPr>
          <w:rFonts w:ascii="Times New Roman" w:cs="Traditional Arabic" w:hAnsi="Times New Roman"/>
          <w:b/>
          <w:bCs/>
          <w:sz w:val="32"/>
          <w:szCs w:val="32"/>
          <w:rtl/>
        </w:rPr>
        <w:t xml:space="preserve">أ. السّخرية من ابن القارح</w:t>
      </w:r>
    </w:p>
    <w:p>
      <w:pPr>
        <w:bidi/>
        <w:spacing w:after="120" w:before="0" w:line="360" w:lineRule="auto"/>
        <w:jc w:val="both"/>
      </w:pPr>
      <w:r>
        <w:rPr>
          <w:rFonts w:ascii="Times New Roman" w:cs="Traditional Arabic" w:hAnsi="Times New Roman"/>
          <w:b w:val="false"/>
          <w:sz w:val="32"/>
          <w:szCs w:val="32"/>
          <w:rtl/>
        </w:rPr>
        <w:t xml:space="preserve">ابن القارح هو الهدف الأوّل والأظهر. فقد جعل المعرّي ابتداء كلامه ترحيبًا بتوبته آخذًا الرّجل على ظاهره، مضمرًا الإشارة إلى ماضيه في الزّندقة، وجعل توبته موضع شكّ في إدخاله الجنّة، فلم يدخل إلّا بشفاعة موكب فاطمة، ممّا يعني تذكيره بما كان عليه من اعتقاد يبنى على حسن الظّنّ في الظّاهر وسوءٍ في الباطن، وكأنّ أبا العلاء يقول: وهل يُصدَّق رجل في توبته وقد قضى عمره يكذب ويتحرّى الكذب ويعد ويخلف؟</w:t>
      </w:r>
      <w:r>
        <w:rPr>
          <w:rStyle w:val="FootnoteReference"/>
        </w:rPr>
        <w:footnoteReference w:id="50"/>
      </w:r>
    </w:p>
    <w:p>
      <w:pPr>
        <w:bidi/>
        <w:spacing w:after="120" w:before="0" w:line="360" w:lineRule="auto"/>
        <w:jc w:val="both"/>
      </w:pPr>
      <w:r>
        <w:rPr>
          <w:rFonts w:ascii="Times New Roman" w:cs="Traditional Arabic" w:hAnsi="Times New Roman"/>
          <w:b w:val="false"/>
          <w:sz w:val="32"/>
          <w:szCs w:val="32"/>
          <w:rtl/>
        </w:rPr>
        <w:t xml:space="preserve">وتتوالى في قسم الرّحلة مشاهد تجعل من الشّيخ الحلبيّ مادّة للضّحك: يطول وقوفه في المحشر فيفكّر في التّوسّل بالشّعر، وينظم قصيدة في مدح رضوان خازن الجنّة فلا يلتفت إليه، لأنّ الملائكة لا تعرف الشّعراء ولا ينفع عندها المديح، ثمّ لا يعبر الصّراط إلّا متعثّرًا متقلّبًا حتّى يُعان على العبور، ويدخل الجنّة أخيرًا بصكّ توبة انتُزع انتزاعًا بالشّفاعات</w:t>
      </w:r>
      <w:r>
        <w:rPr>
          <w:rStyle w:val="FootnoteReference"/>
        </w:rPr>
        <w:footnoteReference w:id="51"/>
      </w:r>
      <w:r>
        <w:rPr>
          <w:rFonts w:ascii="Times New Roman" w:cs="Traditional Arabic" w:hAnsi="Times New Roman"/>
          <w:b w:val="false"/>
          <w:sz w:val="32"/>
          <w:szCs w:val="32"/>
          <w:rtl/>
        </w:rPr>
        <w:t xml:space="preserve">. ويبدو أنّ فكرة الأديب المحترف الّذي يظنّ أنّ المديح عملة تشترى بها المنافع حتّى في الآخرة تقع في صميم السّخرية هنا: فما ينفع في بلاطات الدّنيا لا يساوي شيئًا أمام ملائكة لا تحفظ الشّعر.</w:t>
      </w:r>
    </w:p>
    <w:p>
      <w:pPr>
        <w:bidi/>
        <w:spacing w:after="120" w:before="0" w:line="360" w:lineRule="auto"/>
        <w:jc w:val="both"/>
      </w:pPr>
      <w:r>
        <w:rPr>
          <w:rFonts w:ascii="Times New Roman" w:cs="Traditional Arabic" w:hAnsi="Times New Roman"/>
          <w:b w:val="false"/>
          <w:sz w:val="32"/>
          <w:szCs w:val="32"/>
          <w:rtl/>
        </w:rPr>
        <w:t xml:space="preserve">ثمّ إنّ المعرّي لا يكتفي بإحراج ابن القارح في مواقف الرّحلة، بل يجعله هو نفسه راويًا لفضائحه: فالشّيخ يقصّ في الجنّة كيف كان يتقرّب ويتوسّل، ويسأل أهل الجنّة عن أسباب غفرانهم سؤال الحريص على أن يتعلّم طرق النّجاة بأقلّ كلفة. وحين يهتزّ طربًا بين اللذائذ ويقبل على الأكل والشّرب إقبال المحروم يكتمل الرّسم السّاخر: هذا تائب لم تتغيّر في الآخرة طباعه الدّنيويّة شيئًا</w:t>
      </w:r>
      <w:r>
        <w:rPr>
          <w:rStyle w:val="FootnoteReference"/>
        </w:rPr>
        <w:footnoteReference w:id="52"/>
      </w:r>
      <w:r>
        <w:rPr>
          <w:rFonts w:ascii="Times New Roman" w:cs="Traditional Arabic" w:hAnsi="Times New Roman"/>
          <w:b w:val="false"/>
          <w:sz w:val="32"/>
          <w:szCs w:val="32"/>
          <w:rtl/>
        </w:rPr>
        <w:t xml:space="preserve">. وليس شيء من هذا شتمًا؛ فالمعرّي لا يصف ابن القارح بقبيح قطّ، وإنّما يدعه يتحرّك أمام القارئ حتّى يضحك القارئ منه بنفسه. ولعلّ هذا من أرقى درجات الفنّ السّاخر.</w:t>
      </w:r>
    </w:p>
    <w:p>
      <w:pPr>
        <w:pStyle w:val="Heading3"/>
        <w:bidi/>
        <w:spacing w:after="100" w:before="180" w:line="360" w:lineRule="auto"/>
        <w:jc w:val="right"/>
      </w:pPr>
      <w:r>
        <w:rPr>
          <w:rFonts w:ascii="Times New Roman" w:cs="Traditional Arabic" w:hAnsi="Times New Roman"/>
          <w:b/>
          <w:bCs/>
          <w:sz w:val="32"/>
          <w:szCs w:val="32"/>
          <w:rtl/>
        </w:rPr>
        <w:t xml:space="preserve">ب. السّخرية من الشّعراء والرّواة واللّغويّين</w:t>
      </w:r>
    </w:p>
    <w:p>
      <w:pPr>
        <w:bidi/>
        <w:spacing w:after="120" w:before="0" w:line="360" w:lineRule="auto"/>
        <w:jc w:val="both"/>
      </w:pPr>
      <w:r>
        <w:rPr>
          <w:rFonts w:ascii="Times New Roman" w:cs="Traditional Arabic" w:hAnsi="Times New Roman"/>
          <w:b w:val="false"/>
          <w:sz w:val="32"/>
          <w:szCs w:val="32"/>
          <w:rtl/>
        </w:rPr>
        <w:t xml:space="preserve">ينتقل المعرّي بابن القارح إلى مجالس الجنّة فإذا الشّعراء الجاهليّون والإسلاميّون هناك، وإذا مسائل الغفران نفسها تجري مجرى الطّرافة: فزهير بن أبي سلمى يخبر ابن القارح أنّه غُفر له ببيته الّذي يقول فيه: "فلا تكتُمُنَّ اللهَ ما في نفوسِكم / ليَخفى ومهما يُكتَمِ اللهُ يعلمِ"</w:t>
      </w:r>
      <w:r>
        <w:rPr>
          <w:rStyle w:val="FootnoteReference"/>
        </w:rPr>
        <w:footnoteReference w:id="53"/>
      </w:r>
      <w:r>
        <w:rPr>
          <w:rFonts w:ascii="Times New Roman" w:cs="Traditional Arabic" w:hAnsi="Times New Roman"/>
          <w:b w:val="false"/>
          <w:sz w:val="32"/>
          <w:szCs w:val="32"/>
          <w:rtl/>
        </w:rPr>
        <w:t xml:space="preserve">، والأعشى ميمون بن قيس يقصّ كيف مُنّ عليه بالغفران بعدما صار من جهنّم على شفير، ثمّ هو مع ذلك محروم من خمر الجنّة لأنّ الحجّة أدركته بتحريمها</w:t>
      </w:r>
      <w:r>
        <w:rPr>
          <w:rStyle w:val="FootnoteReference"/>
        </w:rPr>
        <w:footnoteReference w:id="54"/>
      </w:r>
      <w:r>
        <w:rPr>
          <w:rFonts w:ascii="Times New Roman" w:cs="Traditional Arabic" w:hAnsi="Times New Roman"/>
          <w:b w:val="false"/>
          <w:sz w:val="32"/>
          <w:szCs w:val="32"/>
          <w:rtl/>
        </w:rPr>
        <w:t xml:space="preserve">. وتتحوّل الجنّة إلى ندوة أدبيّة كبرى يسأل فيها ابن القارح أهلَها عن دواوينهم ورواياتها، ويحاورهم في مسائل اللّغة والعروض، وكأنّ النّعيم الأكبر عند هؤلاء جميعًا هو مواصلة الجدل اللّغويّ الّذي شغلهم في الدّنيا</w:t>
      </w:r>
      <w:r>
        <w:rPr>
          <w:rStyle w:val="FootnoteReference"/>
        </w:rPr>
        <w:footnoteReference w:id="55"/>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وفي هذه المحاورات نقد مبطّن لصناعة الرّواية والانتحال: فآدم ينكر الشّعر المنسوب إليه، ويلتقي ابن القارح في جنّة العفاريت بشيخ الجنّ أبي هدرش فيسمع من أشعار الجنّ ما لم تروه الرّواة، في تهكّم واضح بمن يروون للجنّ شعرًا ويحتجّون به</w:t>
      </w:r>
      <w:r>
        <w:rPr>
          <w:rStyle w:val="FootnoteReference"/>
        </w:rPr>
        <w:footnoteReference w:id="56"/>
      </w:r>
      <w:r>
        <w:rPr>
          <w:rFonts w:ascii="Times New Roman" w:cs="Traditional Arabic" w:hAnsi="Times New Roman"/>
          <w:b w:val="false"/>
          <w:sz w:val="32"/>
          <w:szCs w:val="32"/>
          <w:rtl/>
        </w:rPr>
        <w:t xml:space="preserve">. فالمعرّي هنا يستخدم القصّ الخياليّ ليقول ما قد يكلّفه التّصريح به كثيرًا: إنّ بعض ما يتناقله الرّواة موضوع مصنوع، وإنّ مقاييس التّوثيق عند اللّغويّين تحتاج هي نفسها إلى مساءلة.</w:t>
      </w:r>
    </w:p>
    <w:p>
      <w:pPr>
        <w:bidi/>
        <w:spacing w:after="120" w:before="0" w:line="360" w:lineRule="auto"/>
        <w:jc w:val="both"/>
      </w:pPr>
      <w:r>
        <w:rPr>
          <w:rFonts w:ascii="Times New Roman" w:cs="Traditional Arabic" w:hAnsi="Times New Roman"/>
          <w:b w:val="false"/>
          <w:sz w:val="32"/>
          <w:szCs w:val="32"/>
          <w:rtl/>
        </w:rPr>
        <w:t xml:space="preserve">وفي معايير الغفران الّتي توزّع بها الجنّة والنّار على الشّعراء سخرية نقديّة خالصة: فبيت واحد صادق ينجّي صاحبه، وديوان كامل لا يشفع لآخر، ودخول الشّعراء الجنّة أو النّار لا يجري على مقياس ظاهر مطّرد. وكأنّ المعرّي يلمّح إلى اعتباطيّة الأحكام النّقديّة الّتي كانت ترفع شاعرًا وتضع آخر في مجالس عصره؛ فمقاييس الأوّليّة والطّبقات عند الرّواة لا تقلّ غرابة عن مقاييس غفران يومئ إليها النّصّ مبتسمًا. وبهذا تصير الرّحلة الأخرويّة قاعة محاكمة معكوسة للنّقد الأدبيّ القديم.</w:t>
      </w:r>
    </w:p>
    <w:p>
      <w:pPr>
        <w:pStyle w:val="Heading3"/>
        <w:bidi/>
        <w:spacing w:after="100" w:before="180" w:line="360" w:lineRule="auto"/>
        <w:jc w:val="right"/>
      </w:pPr>
      <w:r>
        <w:rPr>
          <w:rFonts w:ascii="Times New Roman" w:cs="Traditional Arabic" w:hAnsi="Times New Roman"/>
          <w:b/>
          <w:bCs/>
          <w:sz w:val="32"/>
          <w:szCs w:val="32"/>
          <w:rtl/>
        </w:rPr>
        <w:t xml:space="preserve">ج. السّخرية من التّصوّرات الشّائعة عن النّعيم والعذاب</w:t>
      </w:r>
    </w:p>
    <w:p>
      <w:pPr>
        <w:bidi/>
        <w:spacing w:after="120" w:before="0" w:line="360" w:lineRule="auto"/>
        <w:jc w:val="both"/>
      </w:pPr>
      <w:r>
        <w:rPr>
          <w:rFonts w:ascii="Times New Roman" w:cs="Traditional Arabic" w:hAnsi="Times New Roman"/>
          <w:b w:val="false"/>
          <w:sz w:val="32"/>
          <w:szCs w:val="32"/>
          <w:rtl/>
        </w:rPr>
        <w:t xml:space="preserve">أمّا الموضوع الثّالث فألطفها مسلكًا وأخطرها دلالةً: التّصوير السّاخر للتّصوّرات الحسّيّة الشّائعة عن الآخرة. فجنّة الغفران حافلة بالحور والأنهار والقصور، لكنّ المعرّي يضخّم هذا النّعيم الحسّيّ تضخيمًا يقارب العبث: فالإوزّة تتحوّل جارية تغنّي ثمّ تعود إوزّة، والثّمار تنشقّ عن جوارٍ خلقن من التّسبيح، والشّيخ التّائب يهتزّ طربًا بين اللذائذ وكأنّه ما ترك الدّنيا قطّ</w:t>
      </w:r>
      <w:r>
        <w:rPr>
          <w:rStyle w:val="FootnoteReference"/>
        </w:rPr>
        <w:footnoteReference w:id="57"/>
      </w:r>
      <w:r>
        <w:rPr>
          <w:rFonts w:ascii="Times New Roman" w:cs="Traditional Arabic" w:hAnsi="Times New Roman"/>
          <w:b w:val="false"/>
          <w:sz w:val="32"/>
          <w:szCs w:val="32"/>
          <w:rtl/>
        </w:rPr>
        <w:t xml:space="preserve">. وفي المقابل يطلّ أهل الجنّة على أهل النّار فيتجاذبون معهم أطراف الحديث في مسائل العروض، وتطلّ الخنساء على أخيها صخر في النّار اطّلالة عابرة، ويحاور إبليسُ ابنَ القارح محاورة فيها من الأسئلة المحرجة ما يكشف تهافت التّصوّر الحسّيّ الخالص للثّواب والعقاب</w:t>
      </w:r>
      <w:r>
        <w:rPr>
          <w:rStyle w:val="FootnoteReference"/>
        </w:rPr>
        <w:footnoteReference w:id="58"/>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وقد كان في الرّسالة من هذا الباب ما شجّع الكثيرين على اتّهام صاحبها بالزّندقة والكفر، في حين رأت بنت الشّاطئ وقبلها طه حسين أنّ الرّجل بريء من ذلك، وأنّ سخريته موجّهة إلى فهوم النّاس وتصوّراتهم لا إلى العقيدة ذاتها</w:t>
      </w:r>
      <w:r>
        <w:rPr>
          <w:rStyle w:val="FootnoteReference"/>
        </w:rPr>
        <w:footnoteReference w:id="59"/>
      </w:r>
      <w:r>
        <w:rPr>
          <w:rFonts w:ascii="Times New Roman" w:cs="Traditional Arabic" w:hAnsi="Times New Roman"/>
          <w:b w:val="false"/>
          <w:sz w:val="32"/>
          <w:szCs w:val="32"/>
          <w:rtl/>
        </w:rPr>
        <w:t xml:space="preserve">. والّذي يستقيم مع بناء النّصّ أنّ المعرّي وسّع رحمة الله في رسالته توسيعًا متعمّدًا، فأدخل الجنّة شعراء جاهليّين بأبيات مفردة، حتّى ليبدو الغفران أوسع ممّا يحتمله منطق المتزمّتين؛ وقد يُقرأ هذا التّوسيع نفسه سخريةً مزدوجةً: من ضيق أفق المتشدّدين حينًا، ومن اطمئنان أمثال ابن القارح إلى مغفرة تنال بالكلمات حينًا آخر.</w:t>
      </w:r>
    </w:p>
    <w:p>
      <w:pPr>
        <w:pStyle w:val="Heading3"/>
        <w:bidi/>
        <w:spacing w:after="100" w:before="180" w:line="360" w:lineRule="auto"/>
        <w:jc w:val="right"/>
      </w:pPr>
      <w:r>
        <w:rPr>
          <w:rFonts w:ascii="Times New Roman" w:cs="Traditional Arabic" w:hAnsi="Times New Roman"/>
          <w:b/>
          <w:bCs/>
          <w:sz w:val="32"/>
          <w:szCs w:val="32"/>
          <w:rtl/>
        </w:rPr>
        <w:t xml:space="preserve">د. السّخرية الشّاملة: من البشر جميعًا ومن الكاتب نفسه</w:t>
      </w:r>
    </w:p>
    <w:p>
      <w:pPr>
        <w:bidi/>
        <w:spacing w:after="120" w:before="0" w:line="360" w:lineRule="auto"/>
        <w:jc w:val="both"/>
      </w:pPr>
      <w:r>
        <w:rPr>
          <w:rFonts w:ascii="Times New Roman" w:cs="Traditional Arabic" w:hAnsi="Times New Roman"/>
          <w:b w:val="false"/>
          <w:sz w:val="32"/>
          <w:szCs w:val="32"/>
          <w:rtl/>
        </w:rPr>
        <w:t xml:space="preserve">وثمّة مستوى رابع يعلو الموضوعات الثّلاثة السّابقة: سخرية شاملة من الطّبيعة البشريّة ذاتها. فابن القارح ليس في عمق الرّسالة إلّا نموذجًا للإنسان: يطلب النّجاة بأرخص ثمن، وينسى في النّعيم ما قطعه على نفسه في الشّدّة، ويجادل في صغائر الأمور وجلائلها بالحرارة نفسها. والشّعراء في جنّة الغفران لم تغيّرهم الآخرة: ما زالوا يتنازعون الأسبقيّة ويتحاسدون على الرّواية. فكأنّ المعرّي يقول: انقلوا البشر إلى أيّ عالم شئتم، فسينقلون معهم أهواءهم.</w:t>
      </w:r>
    </w:p>
    <w:p>
      <w:pPr>
        <w:bidi/>
        <w:spacing w:after="120" w:before="0" w:line="360" w:lineRule="auto"/>
        <w:jc w:val="both"/>
      </w:pPr>
      <w:r>
        <w:rPr>
          <w:rFonts w:ascii="Times New Roman" w:cs="Traditional Arabic" w:hAnsi="Times New Roman"/>
          <w:b w:val="false"/>
          <w:sz w:val="32"/>
          <w:szCs w:val="32"/>
          <w:rtl/>
        </w:rPr>
        <w:t xml:space="preserve">ولا يستثني المعرّي نفسه من هذه الضّحكة؛ ففي قسم الرّدّ من الرّسالة يتحدّث عن نفسه بتواضع مبالغ فيه، ويصف علمه بالقلّة وحظّه من الدّنيا بالتّفاهة، وهو تواضع لا يخلو من مفارقة عند رجل يستعرض في النّصّ نفسه محفوظًا لغويًّا لا يدانيه فيه أحد</w:t>
      </w:r>
      <w:r>
        <w:rPr>
          <w:rStyle w:val="FootnoteReference"/>
        </w:rPr>
        <w:footnoteReference w:id="60"/>
      </w:r>
      <w:r>
        <w:rPr>
          <w:rFonts w:ascii="Times New Roman" w:cs="Traditional Arabic" w:hAnsi="Times New Roman"/>
          <w:b w:val="false"/>
          <w:sz w:val="32"/>
          <w:szCs w:val="32"/>
          <w:rtl/>
        </w:rPr>
        <w:t xml:space="preserve">. فالسّخرية عنده لا تبدو موقف المتعالي الّذي يضحك من النّاس وحدهم، بل موقف العارف الّذي يدرك أنّه واحد منهم، وأنّ عماه وعزلته لا يخرجانه من جملة البشر الّذين يضحك منهم. ولعلّ هذا ما يعطي سخرية الغفران عمقها الإنسانيّ ويرفعها عن الشّماتة.</w:t>
      </w:r>
    </w:p>
    <w:p>
      <w:pPr>
        <w:bidi/>
        <w:spacing w:after="120" w:before="0" w:line="360" w:lineRule="auto"/>
        <w:jc w:val="both"/>
      </w:pPr>
      <w:r>
        <w:rPr>
          <w:rFonts w:ascii="Times New Roman" w:cs="Traditional Arabic" w:hAnsi="Times New Roman"/>
          <w:b w:val="false"/>
          <w:sz w:val="32"/>
          <w:szCs w:val="32"/>
          <w:rtl/>
        </w:rPr>
        <w:t xml:space="preserve">ويجدر التّنبيه إلى تفاوت منسوب السّخرية بين قسمي الرّسالة؛ فهي في قسم الرّحلة مبثوثة في نسيج القصّ ذاته، تتولّد من المواقف والحوارات، أمّا في قسم الرّدّ المباشر فتضيق مساحة القصّ وتحلّ محلّها سخرية أدقّ مسلكًا: مجاملات مبالغ فيها، وتنزيه للمخاطب يشفّ عن عكسه، ومناقشة لمسائل التّوبة والزّهد يظاهرها التّسليم ويبطنها الفحص. وبذلك تظلّ السّخرية حاضرة في القسمين معًا وإن اختلفت أدواتها، وهو ما يقوّي القول بأنّها بنية ناظمة للرّسالة كلّها لا خاصّيّة لقسم الرّحلة وحده.</w:t>
      </w:r>
    </w:p>
    <w:p>
      <w:pPr>
        <w:pStyle w:val="Heading2"/>
        <w:bidi/>
        <w:spacing w:after="120" w:before="240" w:line="360" w:lineRule="auto"/>
        <w:jc w:val="right"/>
      </w:pPr>
      <w:r>
        <w:rPr>
          <w:rFonts w:ascii="Times New Roman" w:cs="Traditional Arabic" w:hAnsi="Times New Roman"/>
          <w:b/>
          <w:bCs/>
          <w:sz w:val="36"/>
          <w:szCs w:val="36"/>
          <w:rtl/>
        </w:rPr>
        <w:t xml:space="preserve">3.4 أدوات السّخرية الفنّيّة: كيف صنع المعرّي سخريته؟</w:t>
      </w:r>
    </w:p>
    <w:p>
      <w:pPr>
        <w:bidi/>
        <w:spacing w:after="120" w:before="0" w:line="360" w:lineRule="auto"/>
        <w:jc w:val="both"/>
      </w:pPr>
      <w:r>
        <w:rPr>
          <w:rFonts w:ascii="Times New Roman" w:cs="Traditional Arabic" w:hAnsi="Times New Roman"/>
          <w:b w:val="false"/>
          <w:sz w:val="32"/>
          <w:szCs w:val="32"/>
          <w:rtl/>
        </w:rPr>
        <w:t xml:space="preserve">تقوم سخرية الغفران على جملة أدوات فنّيّة متضافرة يمكن إجمال أهمّها فيما يأتي:</w:t>
      </w:r>
    </w:p>
    <w:p>
      <w:pPr>
        <w:bidi/>
        <w:spacing w:after="120" w:before="0" w:line="360" w:lineRule="auto"/>
        <w:jc w:val="both"/>
      </w:pPr>
      <w:r>
        <w:rPr>
          <w:rFonts w:ascii="Times New Roman" w:cs="Traditional Arabic" w:hAnsi="Times New Roman"/>
          <w:b w:val="false"/>
          <w:sz w:val="32"/>
          <w:szCs w:val="32"/>
          <w:rtl/>
        </w:rPr>
        <w:t xml:space="preserve">أوّلًا: المفارقة، وهي أمّ الأدوات في الرّسالة: مفارقة بين جلال الموقف الأخرويّ وصغر الموضوعات المتنازع فيها، فالمحشر مشغول بمسائل العروض، والجنّة مجلس منادمة، والقيامة موعد لتصفية حسابات النّحاة. ومفارقة بين ظاهر الخطاب وباطنه، إذ يخاطب المعرّي ابن القارح بأجلّ عبارات التّبجيل وهو يعرّيه.</w:t>
      </w:r>
    </w:p>
    <w:p>
      <w:pPr>
        <w:bidi/>
        <w:spacing w:after="120" w:before="0" w:line="360" w:lineRule="auto"/>
        <w:jc w:val="both"/>
      </w:pPr>
      <w:r>
        <w:rPr>
          <w:rFonts w:ascii="Times New Roman" w:cs="Traditional Arabic" w:hAnsi="Times New Roman"/>
          <w:b w:val="false"/>
          <w:sz w:val="32"/>
          <w:szCs w:val="32"/>
          <w:rtl/>
        </w:rPr>
        <w:t xml:space="preserve">ثانيًا: قلب المعنى والتّهكّم، أي استعمال ألفاظ المدح في مقام الذّمّ، وهو ما مرّ في تعريف السّخرية نفسه</w:t>
      </w:r>
      <w:r>
        <w:rPr>
          <w:rStyle w:val="FootnoteReference"/>
        </w:rPr>
        <w:footnoteReference w:id="61"/>
      </w:r>
      <w:r>
        <w:rPr>
          <w:rFonts w:ascii="Times New Roman" w:cs="Traditional Arabic" w:hAnsi="Times New Roman"/>
          <w:b w:val="false"/>
          <w:sz w:val="32"/>
          <w:szCs w:val="32"/>
          <w:rtl/>
        </w:rPr>
        <w:t xml:space="preserve">. فالتّرحيب الحارّ بتوبة ابن القارح، والدّعاء المتّصل له بطول البقاء، كلاهما مديح ظاهره الصّفاء وباطنه الغمز.</w:t>
      </w:r>
    </w:p>
    <w:p>
      <w:pPr>
        <w:bidi/>
        <w:spacing w:after="120" w:before="0" w:line="360" w:lineRule="auto"/>
        <w:jc w:val="both"/>
      </w:pPr>
      <w:r>
        <w:rPr>
          <w:rFonts w:ascii="Times New Roman" w:cs="Traditional Arabic" w:hAnsi="Times New Roman"/>
          <w:b w:val="false"/>
          <w:sz w:val="32"/>
          <w:szCs w:val="32"/>
          <w:rtl/>
        </w:rPr>
        <w:t xml:space="preserve">ثالثًا: المحاكاة السّاخرة، إذ يحاكي المعرّي أجناسًا وخطابات قائمة ليكشف هشاشتها: يحاكي مجالس الإملاء والمناظرة في تصويره ندوات الجنّة، ويحاكي أدب الشّفاعات والتّوسّلات في رحلة ابن القارح بين الموقف والصّراط، ويحاكي أسانيد الرّواة حين يروي أخبار الجنّ بأسانيدها المزعومة.</w:t>
      </w:r>
    </w:p>
    <w:p>
      <w:pPr>
        <w:bidi/>
        <w:spacing w:after="120" w:before="0" w:line="360" w:lineRule="auto"/>
        <w:jc w:val="both"/>
      </w:pPr>
      <w:r>
        <w:rPr>
          <w:rFonts w:ascii="Times New Roman" w:cs="Traditional Arabic" w:hAnsi="Times New Roman"/>
          <w:b w:val="false"/>
          <w:sz w:val="32"/>
          <w:szCs w:val="32"/>
          <w:rtl/>
        </w:rPr>
        <w:t xml:space="preserve">رابعًا: المبالغة والتّضخيم، في الوصف الحسّيّ للنّعيم كما مرّ، وفي الأعداد والمقادير، حتّى يتحوّل الوصف من التّرغيب إلى الإضحاك.</w:t>
      </w:r>
    </w:p>
    <w:p>
      <w:pPr>
        <w:bidi/>
        <w:spacing w:after="120" w:before="0" w:line="360" w:lineRule="auto"/>
        <w:jc w:val="both"/>
      </w:pPr>
      <w:r>
        <w:rPr>
          <w:rFonts w:ascii="Times New Roman" w:cs="Traditional Arabic" w:hAnsi="Times New Roman"/>
          <w:b w:val="false"/>
          <w:sz w:val="32"/>
          <w:szCs w:val="32"/>
          <w:rtl/>
        </w:rPr>
        <w:t xml:space="preserve">خامسًا: الحوار وتوليد المواقف، فالسّخرية في الغفران لا تجيء تقريرًا بل تتولّد من الموقف نفسه: سؤال محرج، أو جواب بارد، أو مقابلة بين متحاورين لا يستويان. والحوار هو الّذي يمنح الرّسالة طابعها الرّوائيّ ويجعل القارئ شاهدًا على المفارقة لا متلقّيًا لحكم جاهز.</w:t>
      </w:r>
    </w:p>
    <w:p>
      <w:pPr>
        <w:bidi/>
        <w:spacing w:after="120" w:before="0" w:line="360" w:lineRule="auto"/>
        <w:jc w:val="both"/>
      </w:pPr>
      <w:r>
        <w:rPr>
          <w:rFonts w:ascii="Times New Roman" w:cs="Traditional Arabic" w:hAnsi="Times New Roman"/>
          <w:b w:val="false"/>
          <w:sz w:val="32"/>
          <w:szCs w:val="32"/>
          <w:rtl/>
        </w:rPr>
        <w:t xml:space="preserve">سادسًا: توظيف الصّنعة اللّغويّة نفسها كما مرّ في الفصل الأوّل؛ ففي الرّسالة مواضع يشرح فيها المتحاورون ألفاظًا غريبة شرحًا معجميًّا مطوّلًا في مقام لا يحتمل الشّرح، فيتولّد الضّحك من المفارقة بين جدّيّة الأداة وهزل المقام.</w:t>
      </w:r>
    </w:p>
    <w:p>
      <w:pPr>
        <w:bidi/>
        <w:spacing w:after="120" w:before="0" w:line="360" w:lineRule="auto"/>
        <w:jc w:val="both"/>
      </w:pPr>
      <w:r>
        <w:rPr>
          <w:rFonts w:ascii="Times New Roman" w:cs="Traditional Arabic" w:hAnsi="Times New Roman"/>
          <w:b w:val="false"/>
          <w:sz w:val="32"/>
          <w:szCs w:val="32"/>
          <w:rtl/>
        </w:rPr>
        <w:t xml:space="preserve">وقد لاحظت دراسات حديثة أنّ هذه الأدوات ليست للإضحاك المجرّد، بل هي آليّة حجاجيّة يقوم عليها الفكر الفلسفيّ عند المعرّي، اعتمدها لدفع العقل إلى التّفكير والتّدبّر</w:t>
      </w:r>
      <w:r>
        <w:rPr>
          <w:rStyle w:val="FootnoteReference"/>
        </w:rPr>
        <w:footnoteReference w:id="62"/>
      </w:r>
      <w:r>
        <w:rPr>
          <w:rFonts w:ascii="Times New Roman" w:cs="Traditional Arabic" w:hAnsi="Times New Roman"/>
          <w:b w:val="false"/>
          <w:sz w:val="32"/>
          <w:szCs w:val="32"/>
          <w:rtl/>
        </w:rPr>
        <w:t xml:space="preserve">؛ فالضّحك في الغفران وسيلة إقناع لا غاية.</w:t>
      </w:r>
    </w:p>
    <w:p>
      <w:pPr>
        <w:pStyle w:val="Heading2"/>
        <w:bidi/>
        <w:spacing w:after="120" w:before="240" w:line="360" w:lineRule="auto"/>
        <w:jc w:val="right"/>
      </w:pPr>
      <w:r>
        <w:rPr>
          <w:rFonts w:ascii="Times New Roman" w:cs="Traditional Arabic" w:hAnsi="Times New Roman"/>
          <w:b/>
          <w:bCs/>
          <w:sz w:val="36"/>
          <w:szCs w:val="36"/>
          <w:rtl/>
        </w:rPr>
        <w:t xml:space="preserve">3.5 موقف الكاتب: بين الجدّ والهزل</w:t>
      </w:r>
    </w:p>
    <w:p>
      <w:pPr>
        <w:bidi/>
        <w:spacing w:after="120" w:before="0" w:line="360" w:lineRule="auto"/>
        <w:jc w:val="both"/>
      </w:pPr>
      <w:r>
        <w:rPr>
          <w:rFonts w:ascii="Times New Roman" w:cs="Traditional Arabic" w:hAnsi="Times New Roman"/>
          <w:b w:val="false"/>
          <w:sz w:val="32"/>
          <w:szCs w:val="32"/>
          <w:rtl/>
        </w:rPr>
        <w:t xml:space="preserve">يبقى السّؤال الأخير: أين يقف المعرّي نفسه ممّا يسخر منه؟ ذهب العقّاد في فصل خصّه بسخر الغفران إلى أنّ الرّسالة تكاد تكون ضحكة واحدة متّصلة، يجهر بها صاحبها حينًا ويوارب بها أحيانًا</w:t>
      </w:r>
      <w:r>
        <w:rPr>
          <w:rStyle w:val="FootnoteReference"/>
        </w:rPr>
        <w:footnoteReference w:id="63"/>
      </w:r>
      <w:r>
        <w:rPr>
          <w:rFonts w:ascii="Times New Roman" w:cs="Traditional Arabic" w:hAnsi="Times New Roman"/>
          <w:b w:val="false"/>
          <w:sz w:val="32"/>
          <w:szCs w:val="32"/>
          <w:rtl/>
        </w:rPr>
        <w:t xml:space="preserve">. ويبدو هذا الوصف دقيقًا في جانبه الفنّيّ، لكنّه لا يعفي من تحديد وظيفة هذه الضّحكة.</w:t>
      </w:r>
    </w:p>
    <w:p>
      <w:pPr>
        <w:bidi/>
        <w:spacing w:after="120" w:before="0" w:line="360" w:lineRule="auto"/>
        <w:jc w:val="both"/>
      </w:pPr>
      <w:r>
        <w:rPr>
          <w:rFonts w:ascii="Times New Roman" w:cs="Traditional Arabic" w:hAnsi="Times New Roman"/>
          <w:b w:val="false"/>
          <w:sz w:val="32"/>
          <w:szCs w:val="32"/>
          <w:rtl/>
        </w:rPr>
        <w:t xml:space="preserve">الّذي ينتهي إليه هذا البحث أنّ سخرية الغفران هزل يراد به الجدّ: فالمعرّي جادّ في نقد التّملّق الأدبيّ الّذي مثّله ابن القارح، جادّ في مساءلة صناعة الرّواية والانتحال، جادّ في التّشكيك بالتّصوّرات الحسّيّة السّاذجة للآخرة. والسّخرية عنده قناع يتيح قول هذا كلّه من غير مواجهة مكشوفة؛ فالنّاقد الّذي يضحك يصعب اتّهامه، والقصّة الخياليّة تحتمل دائمًا أن يقال إنّها مجرّد خيال. وبهذا المعنى يمكن عدّ السّخرية عند رهين المحبسين حرّيّته الممكنة: حرّيّة تقول ولا تُمسك عليها كلمة.</w:t>
      </w:r>
    </w:p>
    <w:p>
      <w:pPr>
        <w:bidi/>
        <w:spacing w:after="120" w:before="0" w:line="360" w:lineRule="auto"/>
        <w:jc w:val="both"/>
      </w:pPr>
      <w:r>
        <w:rPr>
          <w:rFonts w:ascii="Times New Roman" w:cs="Traditional Arabic" w:hAnsi="Times New Roman"/>
          <w:b w:val="false"/>
          <w:sz w:val="32"/>
          <w:szCs w:val="32"/>
          <w:rtl/>
        </w:rPr>
        <w:t xml:space="preserve">ويتّضح موقف المعرّي أكثر إذا قورنت سخريته بسخرية الجاحظ قبله. فسخرية الجاحظ اجتماعيّة مرحة، تنبع من محبّة الحياة ومؤانسة النّاس، وغايتها القريبة الإمتاع؛ أمّا سخرية المعرّي ففلسفيّة قاتمة، تنبع من موقف كامل من الوجود، والضّحك فيها أقرب إلى ضحك الحكيم الّذي رأى فبكى ثمّ ضحك. الجاحظ يضحك مع النّاس، والمعرّي يضحك من المسافة الّتي تفصله عنهم</w:t>
      </w:r>
      <w:r>
        <w:rPr>
          <w:rStyle w:val="FootnoteReference"/>
        </w:rPr>
        <w:footnoteReference w:id="64"/>
      </w:r>
      <w:r>
        <w:rPr>
          <w:rFonts w:ascii="Times New Roman" w:cs="Traditional Arabic" w:hAnsi="Times New Roman"/>
          <w:b w:val="false"/>
          <w:sz w:val="32"/>
          <w:szCs w:val="32"/>
          <w:rtl/>
        </w:rPr>
        <w:t xml:space="preserve">. وكلا الضّحكين نقد، لكنّ ضحكة الغفران أثقل ميراثًا لأنّها تحمل سؤال المصير نفسه.</w:t>
      </w:r>
    </w:p>
    <w:p>
      <w:pPr>
        <w:bidi/>
        <w:spacing w:after="120" w:before="0" w:line="360" w:lineRule="auto"/>
        <w:jc w:val="both"/>
      </w:pPr>
      <w:r>
        <w:rPr>
          <w:rFonts w:ascii="Times New Roman" w:cs="Traditional Arabic" w:hAnsi="Times New Roman"/>
          <w:b w:val="false"/>
          <w:sz w:val="32"/>
          <w:szCs w:val="32"/>
          <w:rtl/>
        </w:rPr>
        <w:t xml:space="preserve">ولا بدّ هنا من احتياط منهجيّ: فالسّخرية قائمة على الإيحاء لا التّصريح، وقارئها مطالب دومًا بأن يقدّر النّوايا تقديرًا، وهذه منطقة تكثر فيها مزالق التّأويل. ولذلك آثر هذا البحث الوقوف عند ما يسنده بناء النّصّ نفسه من مفارقات ومواقف، من غير قطع بمقاصد للكاتب لا سبيل إلى التّثبّت منها؛ فالمعرّي، كما مرّ، أحكم إغلاق نصّه على أكثر من قراءة، ولعلّ هذا الإحكام نفسه جزء من لعبته السّاخرة.</w:t>
      </w:r>
    </w:p>
    <w:p>
      <w:pPr>
        <w:bidi/>
        <w:spacing w:after="120" w:before="0" w:line="360" w:lineRule="auto"/>
        <w:jc w:val="both"/>
      </w:pPr>
      <w:r>
        <w:rPr>
          <w:rFonts w:ascii="Times New Roman" w:cs="Traditional Arabic" w:hAnsi="Times New Roman"/>
          <w:b w:val="false"/>
          <w:sz w:val="32"/>
          <w:szCs w:val="32"/>
          <w:rtl/>
        </w:rPr>
        <w:t xml:space="preserve">على أنّ في الرّسالة، إلى جانب النّقد، شيئًا من حنين الرّجل المحروم؛ وقد أحسنت بنت الشّاطئ التقاط هذا الوجه حين قرأت الجنّة الغفرانيّة قراءة الأماني الموؤودة</w:t>
      </w:r>
      <w:r>
        <w:rPr>
          <w:rStyle w:val="FootnoteReference"/>
        </w:rPr>
        <w:footnoteReference w:id="65"/>
      </w:r>
      <w:r>
        <w:rPr>
          <w:rFonts w:ascii="Times New Roman" w:cs="Traditional Arabic" w:hAnsi="Times New Roman"/>
          <w:b w:val="false"/>
          <w:sz w:val="32"/>
          <w:szCs w:val="32"/>
          <w:rtl/>
        </w:rPr>
        <w:t xml:space="preserve">. فالسّخرية والحسرة في الغفران وجهان لشعور واحد: وعي حادّ بالمسافة بين ما يقال وما يكون، بين الأدب المحترف وحقيقة القول، وبين صورة الآخرة في الأذهان وجلالها الّذي يتنزّه عن الصّور. ومن هذه المسافة بالذّات تولد السّخرية الكبرى.</w:t>
      </w:r>
    </w:p>
    <w:p>
      <w:pPr>
        <w:pStyle w:val="Heading2"/>
        <w:bidi/>
        <w:spacing w:after="120" w:before="240" w:line="360" w:lineRule="auto"/>
        <w:jc w:val="right"/>
      </w:pPr>
      <w:r>
        <w:rPr>
          <w:rFonts w:ascii="Times New Roman" w:cs="Traditional Arabic" w:hAnsi="Times New Roman"/>
          <w:b/>
          <w:bCs/>
          <w:sz w:val="36"/>
          <w:szCs w:val="36"/>
          <w:rtl/>
        </w:rPr>
        <w:t xml:space="preserve">3.6 صدى سخرية الغفران</w:t>
      </w:r>
    </w:p>
    <w:p>
      <w:pPr>
        <w:bidi/>
        <w:spacing w:after="120" w:before="0" w:line="360" w:lineRule="auto"/>
        <w:jc w:val="both"/>
      </w:pPr>
      <w:r>
        <w:rPr>
          <w:rFonts w:ascii="Times New Roman" w:cs="Traditional Arabic" w:hAnsi="Times New Roman"/>
          <w:b w:val="false"/>
          <w:sz w:val="32"/>
          <w:szCs w:val="32"/>
          <w:rtl/>
        </w:rPr>
        <w:t xml:space="preserve">لم تمت ضحكة الغفران بموت صاحبها. فقد رأى دارسون أنّ الكوميديا الإلهيّة لدانتي تلتقي مع الرّسالة في فكرة الرّحلة الأخرويّة وفي كثير من التّفاصيل، حتّى استنتج بعضهم أنّها تكاد تكون منقولة عنها فكرةً وتفاصيل، وأنّ الشّاعر الإنجليزيّ ملتون تأثّر بها في الفردوس المفقود</w:t>
      </w:r>
      <w:r>
        <w:rPr>
          <w:rStyle w:val="FootnoteReference"/>
        </w:rPr>
        <w:footnoteReference w:id="66"/>
      </w:r>
      <w:r>
        <w:rPr>
          <w:rFonts w:ascii="Times New Roman" w:cs="Traditional Arabic" w:hAnsi="Times New Roman"/>
          <w:b w:val="false"/>
          <w:sz w:val="32"/>
          <w:szCs w:val="32"/>
          <w:rtl/>
        </w:rPr>
        <w:t xml:space="preserve">. وقد اختبر أبو رحمة هذه الدّعوى اختبارًا نصّيًّا مقارنًا، ملتمسًا مواطن الشّبه ووجوه الاختلاف بين الأثرين بالاعتماد على تفحّص النّصّين من الدّاخل، وليس على الوقائع والشّهادات التّاريخيّة الّتي لا تمنع من إمكان وقوع اتّصال بين دانتي ورسالة المعرّي</w:t>
      </w:r>
      <w:r>
        <w:rPr>
          <w:rStyle w:val="FootnoteReference"/>
        </w:rPr>
        <w:footnoteReference w:id="67"/>
      </w:r>
      <w:r>
        <w:rPr>
          <w:rFonts w:ascii="Times New Roman" w:cs="Traditional Arabic" w:hAnsi="Times New Roman"/>
          <w:b w:val="false"/>
          <w:sz w:val="32"/>
          <w:szCs w:val="32"/>
          <w:rtl/>
        </w:rPr>
        <w:t xml:space="preserve">.</w:t>
      </w:r>
    </w:p>
    <w:p>
      <w:pPr>
        <w:bidi/>
        <w:spacing w:after="120" w:before="0" w:line="360" w:lineRule="auto"/>
        <w:jc w:val="both"/>
      </w:pPr>
      <w:r>
        <w:rPr>
          <w:rFonts w:ascii="Times New Roman" w:cs="Traditional Arabic" w:hAnsi="Times New Roman"/>
          <w:b w:val="false"/>
          <w:sz w:val="32"/>
          <w:szCs w:val="32"/>
          <w:rtl/>
        </w:rPr>
        <w:t xml:space="preserve">وأيًّا كان الحكم في مسألة التّأثير، فإنّ الّذي يعنينا منها هنا وجهها السّخريّ: فلعلّ أظهر ما يميّز رحلة الغفران من رحلة دانتي هو الضّحك. رحلة دانتي جادّة مهيبة من أوّلها إلى آخرها، ورحلة ابن القارح تسير على حدّ المفارقة الهازلة. وقد صدرت الرّسالة كاملة بالعربيّة والإنجليزيّة ضمن سلسلة مكتبة الأدب العربيّ، فاتّسعت دائرة قرّائها. ويشير هذا الفارق إلى أنّ السّخرية في الغفران ليست عرضًا بل هويّة؛ إذ يمكن أن تروى الرّحلة الأخرويّة نفسها بلا ضحك، كما فعل دانتي، أمّا المعرّي فاختار أن يجعل من الضّحك طريقته في المعرفة. ولعلّ هذا ما يفسّر إقبال الدّرس الحديث، عربيًّا وغربيًّا، على الرّسالة بوصفها نصًّا حيًّا لم تستنفده القراءات بعد.</w:t>
      </w:r>
    </w:p>
    <w:p>
      <w:pPr>
        <w:pStyle w:val="Heading1"/>
        <w:pageBreakBefore/>
        <w:bidi/>
        <w:spacing w:after="240" w:before="240" w:line="360" w:lineRule="auto"/>
        <w:jc w:val="center"/>
      </w:pPr>
      <w:r>
        <w:rPr>
          <w:rFonts w:ascii="Times New Roman" w:cs="Traditional Arabic" w:hAnsi="Times New Roman"/>
          <w:b/>
          <w:bCs/>
          <w:sz w:val="40"/>
          <w:szCs w:val="40"/>
          <w:rtl/>
        </w:rPr>
        <w:t xml:space="preserve">الخاتمة</w:t>
      </w:r>
    </w:p>
    <w:p>
      <w:pPr>
        <w:bidi/>
        <w:spacing w:after="120" w:before="0" w:line="360" w:lineRule="auto"/>
        <w:jc w:val="both"/>
      </w:pPr>
      <w:r>
        <w:rPr>
          <w:rFonts w:ascii="Times New Roman" w:cs="Traditional Arabic" w:hAnsi="Times New Roman"/>
          <w:b w:val="false"/>
          <w:sz w:val="32"/>
          <w:szCs w:val="32"/>
          <w:rtl/>
        </w:rPr>
        <w:t xml:space="preserve">حاول هذا البحث الإجابة عن سؤاله المركزيّ: ما مظاهر السّخرية في رسالة الغفران، وبأيّ أدوات تحقّقت، وما وظائفها؟ وقد انتهى إلى جملة نتائج:</w:t>
      </w:r>
    </w:p>
    <w:p>
      <w:pPr>
        <w:bidi/>
        <w:spacing w:after="120" w:before="0" w:line="360" w:lineRule="auto"/>
        <w:jc w:val="both"/>
      </w:pPr>
      <w:r>
        <w:rPr>
          <w:rFonts w:ascii="Times New Roman" w:cs="Traditional Arabic" w:hAnsi="Times New Roman"/>
          <w:b w:val="false"/>
          <w:sz w:val="32"/>
          <w:szCs w:val="32"/>
          <w:rtl/>
        </w:rPr>
        <w:t xml:space="preserve">أوّلًا: أنّ قالب التّرسّل لم يكن قيدًا على المعرّي بل كان ممكّنًا له؛ فالرّسالة الأدبيّة في القرنين الرّابع والخامس كانت قد اتّسعت للسّرد والمناظرة والخيال، فلمّا أخذها المعرّي دفعها إلى أقصاها: ردّ إخوانيّ ظاهرًا، ورحلة قصصيّة ساخرة باطنًا.</w:t>
      </w:r>
    </w:p>
    <w:p>
      <w:pPr>
        <w:bidi/>
        <w:spacing w:after="120" w:before="0" w:line="360" w:lineRule="auto"/>
        <w:jc w:val="both"/>
      </w:pPr>
      <w:r>
        <w:rPr>
          <w:rFonts w:ascii="Times New Roman" w:cs="Traditional Arabic" w:hAnsi="Times New Roman"/>
          <w:b w:val="false"/>
          <w:sz w:val="32"/>
          <w:szCs w:val="32"/>
          <w:rtl/>
        </w:rPr>
        <w:t xml:space="preserve">ثانيًا: أنّ سيرة المعرّي، بعزلته وزهده ومحنته وثقافته الموسوعيّة، هي مفتاح سخريته؛ فالنّاقد الّذي لا يطلب من النّاس شيئًا يملك أن يضحك من كلّ شيء، والسّجين الثّلاثيّ وجد في الكتابة السّاخرة حرّيّته الممكنة.</w:t>
      </w:r>
    </w:p>
    <w:p>
      <w:pPr>
        <w:bidi/>
        <w:spacing w:after="120" w:before="0" w:line="360" w:lineRule="auto"/>
        <w:jc w:val="both"/>
      </w:pPr>
      <w:r>
        <w:rPr>
          <w:rFonts w:ascii="Times New Roman" w:cs="Traditional Arabic" w:hAnsi="Times New Roman"/>
          <w:b w:val="false"/>
          <w:sz w:val="32"/>
          <w:szCs w:val="32"/>
          <w:rtl/>
        </w:rPr>
        <w:t xml:space="preserve">ثالثًا: أنّ مظاهر السّخرية في الرّسالة تتوزّع على ثلاثة موضوعات كبرى: السّخرية من ابن القارح وتوبته المشكوك فيها وتملّقه، والسّخرية من الشّعراء والرّواة واللّغويّين ومقاييسهم في الرّواية والتّوثيق، والسّخرية من التّصوّرات الحسّيّة السّاذجة للنّعيم والعذاب. وأنّها تحقّقت بأدوات فنّيّة أهمّها المفارقة وقلب المعنى والمحاكاة السّاخرة والمبالغة والحوار.</w:t>
      </w:r>
    </w:p>
    <w:p>
      <w:pPr>
        <w:bidi/>
        <w:spacing w:after="120" w:before="0" w:line="360" w:lineRule="auto"/>
        <w:jc w:val="both"/>
      </w:pPr>
      <w:r>
        <w:rPr>
          <w:rFonts w:ascii="Times New Roman" w:cs="Traditional Arabic" w:hAnsi="Times New Roman"/>
          <w:b w:val="false"/>
          <w:sz w:val="32"/>
          <w:szCs w:val="32"/>
          <w:rtl/>
        </w:rPr>
        <w:t xml:space="preserve">رابعًا: أنّ موقف الكاتب هزل يراد به الجدّ: نقد أدبيّ واجتماعيّ وفكريّ ألبس لبوس الضّحك اتّقاءً وتلطّفًا، تختلط فيه السّخرية بحنين مكبوت أحسنت بنت الشّاطئ وصفه.</w:t>
      </w:r>
    </w:p>
    <w:p>
      <w:pPr>
        <w:bidi/>
        <w:spacing w:after="120" w:before="0" w:line="360" w:lineRule="auto"/>
        <w:jc w:val="both"/>
      </w:pPr>
      <w:r>
        <w:rPr>
          <w:rFonts w:ascii="Times New Roman" w:cs="Traditional Arabic" w:hAnsi="Times New Roman"/>
          <w:b w:val="false"/>
          <w:sz w:val="32"/>
          <w:szCs w:val="32"/>
          <w:rtl/>
        </w:rPr>
        <w:t xml:space="preserve">ويفتح البحث آفاقًا لدراسات لاحقة، منها: دراسة السّخرية في الفصول والغايات ورسائل المعرّي الأخرى للوقوف على تطوّر الأداة عنده، وتوسيع المقارنة النّصّيّة بين الغفران والكوميديا الإلهيّة في باب السّخرية خاصّة، ودراسة تلقّي سخرية الغفران عند القدماء والمحدثين بين الاتّهام والدّفاع. كما يقترح البحث عمليًّا إدراج نصوص مختارة من قسم الرّحلة في تدريس النّقد الأدبيّ القديم، لما تحويه محاوراتها من مباحث نقديّة أصيلة معروضة بأسلوب حيّ.</w:t>
      </w:r>
    </w:p>
    <w:p>
      <w:pPr>
        <w:bidi/>
        <w:spacing w:after="120" w:before="0" w:line="360" w:lineRule="auto"/>
        <w:jc w:val="both"/>
      </w:pPr>
      <w:r>
        <w:rPr>
          <w:rFonts w:ascii="Times New Roman" w:cs="Traditional Arabic" w:hAnsi="Times New Roman"/>
          <w:b w:val="false"/>
          <w:sz w:val="32"/>
          <w:szCs w:val="32"/>
          <w:rtl/>
        </w:rPr>
        <w:t xml:space="preserve">وبذلك يكون البحث قد أجاب عن سؤاله المركزيّ: فمظاهر السّخرية في رسالة الغفران ثلاثة موضوعات كبرى تظلّلها سخرية إنسانيّة شاملة، وأدواتها المفارقة وقلب المعنى والمحاكاة والمبالغة والحوار، ووظيفتها نقد جادّ احتمى بالضّحك؛ وتبقى الرّسالة بعد ذلك كلّه شاهدًا على أنّ أعمق النّقد قد يجيء في أخفّ القوالب.</w:t>
      </w:r>
    </w:p>
    <w:p>
      <w:pPr>
        <w:pStyle w:val="Heading1"/>
        <w:pageBreakBefore/>
        <w:bidi/>
        <w:spacing w:after="240" w:before="240" w:line="360" w:lineRule="auto"/>
        <w:jc w:val="center"/>
      </w:pPr>
      <w:r>
        <w:rPr>
          <w:rFonts w:ascii="Times New Roman" w:cs="Traditional Arabic" w:hAnsi="Times New Roman"/>
          <w:b/>
          <w:bCs/>
          <w:sz w:val="40"/>
          <w:szCs w:val="40"/>
          <w:rtl/>
        </w:rPr>
        <w:t xml:space="preserve">البيبليوغرافيا</w:t>
      </w:r>
    </w:p>
    <w:p>
      <w:pPr>
        <w:bidi/>
        <w:spacing w:after="120" w:before="0" w:line="360" w:lineRule="auto"/>
        <w:jc w:val="both"/>
      </w:pPr>
      <w:r>
        <w:rPr>
          <w:rFonts w:ascii="Times New Roman" w:cs="Traditional Arabic" w:hAnsi="Times New Roman"/>
          <w:b w:val="false"/>
          <w:sz w:val="32"/>
          <w:szCs w:val="32"/>
          <w:rtl/>
        </w:rPr>
        <w:t xml:space="preserve">1. أبو رحمة، عماد محمود. "أثر رسالة الغفران لأبي العلاء المعرّي في الكوميديا الإلهيّة لدانتي: دراسة نصّيّة مقارنة". </w:t>
      </w:r>
      <w:r>
        <w:rPr>
          <w:rFonts w:ascii="Times New Roman" w:cs="Traditional Arabic" w:hAnsi="Times New Roman"/>
          <w:b/>
          <w:bCs/>
          <w:sz w:val="32"/>
          <w:szCs w:val="32"/>
          <w:rtl/>
        </w:rPr>
        <w:t xml:space="preserve">مجلّة الجامعة الإسلاميّة للبحوث الإنسانيّة</w:t>
      </w:r>
      <w:r>
        <w:rPr>
          <w:rFonts w:ascii="Times New Roman" w:cs="Traditional Arabic" w:hAnsi="Times New Roman"/>
          <w:b w:val="false"/>
          <w:sz w:val="32"/>
          <w:szCs w:val="32"/>
          <w:rtl/>
        </w:rPr>
        <w:t xml:space="preserve">، 23(2). غزّة: الجامعة الإسلاميّة، 2015.</w:t>
      </w:r>
    </w:p>
    <w:p>
      <w:pPr>
        <w:bidi/>
        <w:spacing w:after="120" w:before="0" w:line="360" w:lineRule="auto"/>
        <w:jc w:val="both"/>
      </w:pPr>
      <w:r>
        <w:rPr>
          <w:rFonts w:ascii="Times New Roman" w:cs="Traditional Arabic" w:hAnsi="Times New Roman"/>
          <w:b w:val="false"/>
          <w:sz w:val="32"/>
          <w:szCs w:val="32"/>
          <w:rtl/>
        </w:rPr>
        <w:t xml:space="preserve">2. بن قيراط، حنان. "فلسفة السّخرية في رسالة الغفران لأبي العلاء المعرّي". </w:t>
      </w:r>
      <w:r>
        <w:rPr>
          <w:rFonts w:ascii="Times New Roman" w:cs="Traditional Arabic" w:hAnsi="Times New Roman"/>
          <w:b/>
          <w:bCs/>
          <w:sz w:val="32"/>
          <w:szCs w:val="32"/>
          <w:rtl/>
        </w:rPr>
        <w:t xml:space="preserve">مجلّة الحكمة للدّراسات الفلسفيّة</w:t>
      </w:r>
      <w:r>
        <w:rPr>
          <w:rFonts w:ascii="Times New Roman" w:cs="Traditional Arabic" w:hAnsi="Times New Roman"/>
          <w:b w:val="false"/>
          <w:sz w:val="32"/>
          <w:szCs w:val="32"/>
          <w:rtl/>
        </w:rPr>
        <w:t xml:space="preserve">، 10(3)، 2022، 1343-1363.</w:t>
      </w:r>
    </w:p>
    <w:p>
      <w:pPr>
        <w:bidi/>
        <w:spacing w:after="120" w:before="0" w:line="360" w:lineRule="auto"/>
        <w:jc w:val="both"/>
      </w:pPr>
      <w:r>
        <w:rPr>
          <w:rFonts w:ascii="Times New Roman" w:cs="Traditional Arabic" w:hAnsi="Times New Roman"/>
          <w:b w:val="false"/>
          <w:sz w:val="32"/>
          <w:szCs w:val="32"/>
          <w:rtl/>
        </w:rPr>
        <w:t xml:space="preserve">3. توحيدي فر، نرجس. </w:t>
      </w:r>
      <w:r>
        <w:rPr>
          <w:rFonts w:ascii="Times New Roman" w:cs="Traditional Arabic" w:hAnsi="Times New Roman"/>
          <w:b/>
          <w:bCs/>
          <w:sz w:val="32"/>
          <w:szCs w:val="32"/>
          <w:rtl/>
        </w:rPr>
        <w:t xml:space="preserve">أبو العلاء المعرّي: دراسة في معتقداته الدّينيّة</w:t>
      </w:r>
      <w:r>
        <w:rPr>
          <w:rFonts w:ascii="Times New Roman" w:cs="Traditional Arabic" w:hAnsi="Times New Roman"/>
          <w:b w:val="false"/>
          <w:sz w:val="32"/>
          <w:szCs w:val="32"/>
          <w:rtl/>
        </w:rPr>
        <w:t xml:space="preserve">. بيروت: دار صادر، 2011.</w:t>
      </w:r>
    </w:p>
    <w:p>
      <w:pPr>
        <w:bidi/>
        <w:spacing w:after="120" w:before="0" w:line="360" w:lineRule="auto"/>
        <w:jc w:val="both"/>
      </w:pPr>
      <w:r>
        <w:rPr>
          <w:rFonts w:ascii="Times New Roman" w:cs="Traditional Arabic" w:hAnsi="Times New Roman"/>
          <w:b w:val="false"/>
          <w:sz w:val="32"/>
          <w:szCs w:val="32"/>
          <w:rtl/>
        </w:rPr>
        <w:t xml:space="preserve">4. الجندي، محمّد سليم. </w:t>
      </w:r>
      <w:r>
        <w:rPr>
          <w:rFonts w:ascii="Times New Roman" w:cs="Traditional Arabic" w:hAnsi="Times New Roman"/>
          <w:b/>
          <w:bCs/>
          <w:sz w:val="32"/>
          <w:szCs w:val="32"/>
          <w:rtl/>
        </w:rPr>
        <w:t xml:space="preserve">الجامع في أخبار أبي العلاء المعرّي وآثاره</w:t>
      </w:r>
      <w:r>
        <w:rPr>
          <w:rFonts w:ascii="Times New Roman" w:cs="Traditional Arabic" w:hAnsi="Times New Roman"/>
          <w:b w:val="false"/>
          <w:sz w:val="32"/>
          <w:szCs w:val="32"/>
          <w:rtl/>
        </w:rPr>
        <w:t xml:space="preserve">. الجزء الأوّل. تعليق وإشراف: عبد الهادي هاشم. دمشق: مطبوعات المجمع العلميّ العربيّ، 1962.</w:t>
      </w:r>
    </w:p>
    <w:p>
      <w:pPr>
        <w:bidi/>
        <w:spacing w:after="120" w:before="0" w:line="360" w:lineRule="auto"/>
        <w:jc w:val="both"/>
      </w:pPr>
      <w:r>
        <w:rPr>
          <w:rFonts w:ascii="Times New Roman" w:cs="Traditional Arabic" w:hAnsi="Times New Roman"/>
          <w:b w:val="false"/>
          <w:sz w:val="32"/>
          <w:szCs w:val="32"/>
          <w:rtl/>
        </w:rPr>
        <w:t xml:space="preserve">5. حسين، طه. </w:t>
      </w:r>
      <w:r>
        <w:rPr>
          <w:rFonts w:ascii="Times New Roman" w:cs="Traditional Arabic" w:hAnsi="Times New Roman"/>
          <w:b/>
          <w:bCs/>
          <w:sz w:val="32"/>
          <w:szCs w:val="32"/>
          <w:rtl/>
        </w:rPr>
        <w:t xml:space="preserve">تجديد ذكرى أبي العلاء</w:t>
      </w:r>
      <w:r>
        <w:rPr>
          <w:rFonts w:ascii="Times New Roman" w:cs="Traditional Arabic" w:hAnsi="Times New Roman"/>
          <w:b w:val="false"/>
          <w:sz w:val="32"/>
          <w:szCs w:val="32"/>
          <w:rtl/>
        </w:rPr>
        <w:t xml:space="preserve">. القاهرة: مؤسّسة هنداوي للتّعليم والثّقافة، 2013.</w:t>
      </w:r>
    </w:p>
    <w:p>
      <w:pPr>
        <w:bidi/>
        <w:spacing w:after="120" w:before="0" w:line="360" w:lineRule="auto"/>
        <w:jc w:val="both"/>
      </w:pPr>
      <w:r>
        <w:rPr>
          <w:rFonts w:ascii="Times New Roman" w:cs="Traditional Arabic" w:hAnsi="Times New Roman"/>
          <w:b w:val="false"/>
          <w:sz w:val="32"/>
          <w:szCs w:val="32"/>
          <w:rtl/>
        </w:rPr>
        <w:t xml:space="preserve">6. حسين، طه. </w:t>
      </w:r>
      <w:r>
        <w:rPr>
          <w:rFonts w:ascii="Times New Roman" w:cs="Traditional Arabic" w:hAnsi="Times New Roman"/>
          <w:b/>
          <w:bCs/>
          <w:sz w:val="32"/>
          <w:szCs w:val="32"/>
          <w:rtl/>
        </w:rPr>
        <w:t xml:space="preserve">مع أبي العلاء في سجنه</w:t>
      </w:r>
      <w:r>
        <w:rPr>
          <w:rFonts w:ascii="Times New Roman" w:cs="Traditional Arabic" w:hAnsi="Times New Roman"/>
          <w:b w:val="false"/>
          <w:sz w:val="32"/>
          <w:szCs w:val="32"/>
          <w:rtl/>
        </w:rPr>
        <w:t xml:space="preserve">. القاهرة: دار المعارف، 1939.</w:t>
      </w:r>
    </w:p>
    <w:p>
      <w:pPr>
        <w:bidi/>
        <w:spacing w:after="120" w:before="0" w:line="360" w:lineRule="auto"/>
        <w:jc w:val="both"/>
      </w:pPr>
      <w:r>
        <w:rPr>
          <w:rFonts w:ascii="Times New Roman" w:cs="Traditional Arabic" w:hAnsi="Times New Roman"/>
          <w:b w:val="false"/>
          <w:sz w:val="32"/>
          <w:szCs w:val="32"/>
          <w:rtl/>
        </w:rPr>
        <w:t xml:space="preserve">7. ضيف، شوقي. </w:t>
      </w:r>
      <w:r>
        <w:rPr>
          <w:rFonts w:ascii="Times New Roman" w:cs="Traditional Arabic" w:hAnsi="Times New Roman"/>
          <w:b/>
          <w:bCs/>
          <w:sz w:val="32"/>
          <w:szCs w:val="32"/>
          <w:rtl/>
        </w:rPr>
        <w:t xml:space="preserve">الفنّ ومذاهبه في النّثر العربيّ</w:t>
      </w:r>
      <w:r>
        <w:rPr>
          <w:rFonts w:ascii="Times New Roman" w:cs="Traditional Arabic" w:hAnsi="Times New Roman"/>
          <w:b w:val="false"/>
          <w:sz w:val="32"/>
          <w:szCs w:val="32"/>
          <w:rtl/>
        </w:rPr>
        <w:t xml:space="preserve">. ط 13. القاهرة: دار المعارف، [د.ت].</w:t>
      </w:r>
    </w:p>
    <w:p>
      <w:pPr>
        <w:bidi/>
        <w:spacing w:after="120" w:before="0" w:line="360" w:lineRule="auto"/>
        <w:jc w:val="both"/>
      </w:pPr>
      <w:r>
        <w:rPr>
          <w:rFonts w:ascii="Times New Roman" w:cs="Traditional Arabic" w:hAnsi="Times New Roman"/>
          <w:b w:val="false"/>
          <w:sz w:val="32"/>
          <w:szCs w:val="32"/>
          <w:rtl/>
        </w:rPr>
        <w:t xml:space="preserve">8. طه، نعمان محمّد أمين. </w:t>
      </w:r>
      <w:r>
        <w:rPr>
          <w:rFonts w:ascii="Times New Roman" w:cs="Traditional Arabic" w:hAnsi="Times New Roman"/>
          <w:b/>
          <w:bCs/>
          <w:sz w:val="32"/>
          <w:szCs w:val="32"/>
          <w:rtl/>
        </w:rPr>
        <w:t xml:space="preserve">السّخرية في الأدب العربيّ حتّى نهاية القرن الرّابع الهجريّ</w:t>
      </w:r>
      <w:r>
        <w:rPr>
          <w:rFonts w:ascii="Times New Roman" w:cs="Traditional Arabic" w:hAnsi="Times New Roman"/>
          <w:b w:val="false"/>
          <w:sz w:val="32"/>
          <w:szCs w:val="32"/>
          <w:rtl/>
        </w:rPr>
        <w:t xml:space="preserve">. القاهرة: دار التّوفيقيّة، 1979.</w:t>
      </w:r>
    </w:p>
    <w:p>
      <w:pPr>
        <w:bidi/>
        <w:spacing w:after="120" w:before="0" w:line="360" w:lineRule="auto"/>
        <w:jc w:val="both"/>
      </w:pPr>
      <w:r>
        <w:rPr>
          <w:rFonts w:ascii="Times New Roman" w:cs="Traditional Arabic" w:hAnsi="Times New Roman"/>
          <w:b w:val="false"/>
          <w:sz w:val="32"/>
          <w:szCs w:val="32"/>
          <w:rtl/>
        </w:rPr>
        <w:t xml:space="preserve">9. عبد الرّحمن، عائشة (بنت الشّاطئ). </w:t>
      </w:r>
      <w:r>
        <w:rPr>
          <w:rFonts w:ascii="Times New Roman" w:cs="Traditional Arabic" w:hAnsi="Times New Roman"/>
          <w:b/>
          <w:bCs/>
          <w:sz w:val="32"/>
          <w:szCs w:val="32"/>
          <w:rtl/>
        </w:rPr>
        <w:t xml:space="preserve">الغفران لأبي العلاء المعرّي: دراسة نقديّة</w:t>
      </w:r>
      <w:r>
        <w:rPr>
          <w:rFonts w:ascii="Times New Roman" w:cs="Traditional Arabic" w:hAnsi="Times New Roman"/>
          <w:b w:val="false"/>
          <w:sz w:val="32"/>
          <w:szCs w:val="32"/>
          <w:rtl/>
        </w:rPr>
        <w:t xml:space="preserve">. القاهرة: دار المعارف، [د.ت].</w:t>
      </w:r>
    </w:p>
    <w:p>
      <w:pPr>
        <w:bidi/>
        <w:spacing w:after="120" w:before="0" w:line="360" w:lineRule="auto"/>
        <w:jc w:val="both"/>
      </w:pPr>
      <w:r>
        <w:rPr>
          <w:rFonts w:ascii="Times New Roman" w:cs="Traditional Arabic" w:hAnsi="Times New Roman"/>
          <w:b w:val="false"/>
          <w:sz w:val="32"/>
          <w:szCs w:val="32"/>
          <w:rtl/>
        </w:rPr>
        <w:t xml:space="preserve">10. العقّاد، عبّاس محمود. </w:t>
      </w:r>
      <w:r>
        <w:rPr>
          <w:rFonts w:ascii="Times New Roman" w:cs="Traditional Arabic" w:hAnsi="Times New Roman"/>
          <w:b/>
          <w:bCs/>
          <w:sz w:val="32"/>
          <w:szCs w:val="32"/>
          <w:rtl/>
        </w:rPr>
        <w:t xml:space="preserve">مطالعات في الكتب والحياة</w:t>
      </w:r>
      <w:r>
        <w:rPr>
          <w:rFonts w:ascii="Times New Roman" w:cs="Traditional Arabic" w:hAnsi="Times New Roman"/>
          <w:b w:val="false"/>
          <w:sz w:val="32"/>
          <w:szCs w:val="32"/>
          <w:rtl/>
        </w:rPr>
        <w:t xml:space="preserve">. القاهرة: مؤسّسة هنداوي للتّعليم والثّقافة، 2013.</w:t>
      </w:r>
    </w:p>
    <w:p>
      <w:pPr>
        <w:bidi/>
        <w:spacing w:after="120" w:before="0" w:line="360" w:lineRule="auto"/>
        <w:jc w:val="both"/>
      </w:pPr>
      <w:r>
        <w:rPr>
          <w:rFonts w:ascii="Times New Roman" w:cs="Traditional Arabic" w:hAnsi="Times New Roman"/>
          <w:b w:val="false"/>
          <w:sz w:val="32"/>
          <w:szCs w:val="32"/>
          <w:rtl/>
        </w:rPr>
        <w:t xml:space="preserve">11. كتّاني، سمير. "الأدب كإطار للمعارف في الموروث العربيّ الكلاسيكيّ: مفاهيمه، طبيعته ومضامينه". </w:t>
      </w:r>
      <w:r>
        <w:rPr>
          <w:rFonts w:ascii="Times New Roman" w:cs="Traditional Arabic" w:hAnsi="Times New Roman"/>
          <w:b/>
          <w:bCs/>
          <w:sz w:val="32"/>
          <w:szCs w:val="32"/>
          <w:rtl/>
        </w:rPr>
        <w:t xml:space="preserve">المجمع</w:t>
      </w:r>
      <w:r>
        <w:rPr>
          <w:rFonts w:ascii="Times New Roman" w:cs="Traditional Arabic" w:hAnsi="Times New Roman"/>
          <w:b w:val="false"/>
          <w:sz w:val="32"/>
          <w:szCs w:val="32"/>
          <w:rtl/>
        </w:rPr>
        <w:t xml:space="preserve">، العدد 1، 2009، 1-26.</w:t>
      </w:r>
    </w:p>
    <w:p>
      <w:pPr>
        <w:bidi/>
        <w:spacing w:after="120" w:before="0" w:line="360" w:lineRule="auto"/>
        <w:jc w:val="both"/>
      </w:pPr>
      <w:r>
        <w:rPr>
          <w:rFonts w:ascii="Times New Roman" w:cs="Traditional Arabic" w:hAnsi="Times New Roman"/>
          <w:b w:val="false"/>
          <w:sz w:val="32"/>
          <w:szCs w:val="32"/>
          <w:rtl/>
        </w:rPr>
        <w:t xml:space="preserve">12. كرد علي، محمّد. </w:t>
      </w:r>
      <w:r>
        <w:rPr>
          <w:rFonts w:ascii="Times New Roman" w:cs="Traditional Arabic" w:hAnsi="Times New Roman"/>
          <w:b/>
          <w:bCs/>
          <w:sz w:val="32"/>
          <w:szCs w:val="32"/>
          <w:rtl/>
        </w:rPr>
        <w:t xml:space="preserve">أمراء البيان</w:t>
      </w:r>
      <w:r>
        <w:rPr>
          <w:rFonts w:ascii="Times New Roman" w:cs="Traditional Arabic" w:hAnsi="Times New Roman"/>
          <w:b w:val="false"/>
          <w:sz w:val="32"/>
          <w:szCs w:val="32"/>
          <w:rtl/>
        </w:rPr>
        <w:t xml:space="preserve">. القاهرة: مطبعة لجنة التّأليف والتّرجمة والنّشر، 1937.</w:t>
      </w:r>
    </w:p>
    <w:p>
      <w:pPr>
        <w:bidi/>
        <w:spacing w:after="120" w:before="0" w:line="360" w:lineRule="auto"/>
        <w:jc w:val="both"/>
      </w:pPr>
      <w:r>
        <w:rPr>
          <w:rFonts w:ascii="Times New Roman" w:cs="Traditional Arabic" w:hAnsi="Times New Roman"/>
          <w:b w:val="false"/>
          <w:sz w:val="32"/>
          <w:szCs w:val="32"/>
          <w:rtl/>
        </w:rPr>
        <w:t xml:space="preserve">13. مبارك، زكي. </w:t>
      </w:r>
      <w:r>
        <w:rPr>
          <w:rFonts w:ascii="Times New Roman" w:cs="Traditional Arabic" w:hAnsi="Times New Roman"/>
          <w:b/>
          <w:bCs/>
          <w:sz w:val="32"/>
          <w:szCs w:val="32"/>
          <w:rtl/>
        </w:rPr>
        <w:t xml:space="preserve">النّثر الفنّيّ في القرن الرّابع</w:t>
      </w:r>
      <w:r>
        <w:rPr>
          <w:rFonts w:ascii="Times New Roman" w:cs="Traditional Arabic" w:hAnsi="Times New Roman"/>
          <w:b w:val="false"/>
          <w:sz w:val="32"/>
          <w:szCs w:val="32"/>
          <w:rtl/>
        </w:rPr>
        <w:t xml:space="preserve">. القاهرة: مؤسّسة هنداوي للتّعليم والثّقافة، 2013.</w:t>
      </w:r>
    </w:p>
    <w:p>
      <w:pPr>
        <w:bidi/>
        <w:spacing w:after="120" w:before="0" w:line="360" w:lineRule="auto"/>
        <w:jc w:val="both"/>
      </w:pPr>
      <w:r>
        <w:rPr>
          <w:rFonts w:ascii="Times New Roman" w:cs="Traditional Arabic" w:hAnsi="Times New Roman"/>
          <w:b w:val="false"/>
          <w:sz w:val="32"/>
          <w:szCs w:val="32"/>
          <w:rtl/>
        </w:rPr>
        <w:t xml:space="preserve">14. المعرّي، أبو العلاء. </w:t>
      </w:r>
      <w:r>
        <w:rPr>
          <w:rFonts w:ascii="Times New Roman" w:cs="Traditional Arabic" w:hAnsi="Times New Roman"/>
          <w:b/>
          <w:bCs/>
          <w:sz w:val="32"/>
          <w:szCs w:val="32"/>
          <w:rtl/>
        </w:rPr>
        <w:t xml:space="preserve">رسالة الغفران</w:t>
      </w:r>
      <w:r>
        <w:rPr>
          <w:rFonts w:ascii="Times New Roman" w:cs="Traditional Arabic" w:hAnsi="Times New Roman"/>
          <w:b w:val="false"/>
          <w:sz w:val="32"/>
          <w:szCs w:val="32"/>
          <w:rtl/>
        </w:rPr>
        <w:t xml:space="preserve">. تحقيق: عائشة عبد الرّحمن (بنت الشّاطئ). القاهرة: دار المعارف، 1963.</w:t>
      </w:r>
    </w:p>
    <w:p>
      <w:pPr>
        <w:bidi/>
        <w:spacing w:after="120" w:before="0" w:line="360" w:lineRule="auto"/>
        <w:jc w:val="both"/>
      </w:pPr>
      <w:r>
        <w:rPr>
          <w:rFonts w:ascii="Times New Roman" w:cs="Traditional Arabic" w:hAnsi="Times New Roman"/>
          <w:b w:val="false"/>
          <w:sz w:val="32"/>
          <w:szCs w:val="32"/>
          <w:rtl/>
        </w:rPr>
        <w:t xml:space="preserve">15. المعرّي، أبو العلاء. </w:t>
      </w:r>
      <w:r>
        <w:rPr>
          <w:rFonts w:ascii="Times New Roman" w:cs="Traditional Arabic" w:hAnsi="Times New Roman"/>
          <w:b/>
          <w:bCs/>
          <w:sz w:val="32"/>
          <w:szCs w:val="32"/>
          <w:rtl/>
        </w:rPr>
        <w:t xml:space="preserve">رسالة الغفران</w:t>
      </w:r>
      <w:r>
        <w:rPr>
          <w:rFonts w:ascii="Times New Roman" w:cs="Traditional Arabic" w:hAnsi="Times New Roman"/>
          <w:b w:val="false"/>
          <w:sz w:val="32"/>
          <w:szCs w:val="32"/>
          <w:rtl/>
        </w:rPr>
        <w:t xml:space="preserve">. تحقيق: كامل كيلاني. وندسور: مؤسّسة هنداوي، 2017.</w:t>
      </w:r>
    </w:p>
    <w:p>
      <w:pPr>
        <w:bidi/>
        <w:spacing w:after="120" w:before="0" w:line="360" w:lineRule="auto"/>
        <w:jc w:val="both"/>
      </w:pPr>
      <w:r>
        <w:rPr>
          <w:rFonts w:ascii="Times New Roman" w:cs="Traditional Arabic" w:hAnsi="Times New Roman"/>
          <w:b w:val="false"/>
          <w:sz w:val="32"/>
          <w:szCs w:val="32"/>
          <w:rtl/>
        </w:rPr>
        <w:t xml:space="preserve">16. المعرّي، أبو العلاء. </w:t>
      </w:r>
      <w:r>
        <w:rPr>
          <w:rFonts w:ascii="Times New Roman" w:cs="Traditional Arabic" w:hAnsi="Times New Roman"/>
          <w:b/>
          <w:bCs/>
          <w:sz w:val="32"/>
          <w:szCs w:val="32"/>
          <w:rtl/>
        </w:rPr>
        <w:t xml:space="preserve">لزوم ما لا يلزم (اللزوميّات)</w:t>
      </w:r>
      <w:r>
        <w:rPr>
          <w:rFonts w:ascii="Times New Roman" w:cs="Traditional Arabic" w:hAnsi="Times New Roman"/>
          <w:b w:val="false"/>
          <w:sz w:val="32"/>
          <w:szCs w:val="32"/>
          <w:rtl/>
        </w:rPr>
        <w:t xml:space="preserve">. بيروت: دار صادر، [د.ت].</w:t>
      </w:r>
    </w:p>
    <w:p>
      <w:pPr>
        <w:bidi/>
        <w:spacing w:after="120" w:before="0" w:line="360" w:lineRule="auto"/>
        <w:jc w:val="both"/>
      </w:pPr>
      <w:r>
        <w:rPr>
          <w:rFonts w:ascii="Times New Roman" w:cs="Traditional Arabic" w:hAnsi="Times New Roman"/>
          <w:b w:val="false"/>
          <w:sz w:val="32"/>
          <w:szCs w:val="32"/>
          <w:rtl/>
        </w:rPr>
        <w:t xml:space="preserve">17. المعرّي، أبو العلاء. </w:t>
      </w:r>
      <w:r>
        <w:rPr>
          <w:rFonts w:ascii="Times New Roman" w:cs="Traditional Arabic" w:hAnsi="Times New Roman"/>
          <w:b/>
          <w:bCs/>
          <w:sz w:val="32"/>
          <w:szCs w:val="32"/>
          <w:rtl/>
        </w:rPr>
        <w:t xml:space="preserve">مختارات من رسالة الغفران</w:t>
      </w:r>
      <w:r>
        <w:rPr>
          <w:rFonts w:ascii="Times New Roman" w:cs="Traditional Arabic" w:hAnsi="Times New Roman"/>
          <w:b w:val="false"/>
          <w:sz w:val="32"/>
          <w:szCs w:val="32"/>
          <w:rtl/>
        </w:rPr>
        <w:t xml:space="preserve">. اختيار وتقديم: أحمد رجب شلتوت. الجيزة: أزهى العربيّة للإعلام والفنون والدّراسات الإنسانيّة والنّشر، 2025.</w:t>
      </w:r>
    </w:p>
    <w:p>
      <w:pPr>
        <w:bidi/>
        <w:spacing w:after="120" w:before="0" w:line="360" w:lineRule="auto"/>
        <w:jc w:val="both"/>
      </w:pPr>
      <w:r>
        <w:rPr>
          <w:rFonts w:ascii="Times New Roman" w:cs="Traditional Arabic" w:hAnsi="Times New Roman"/>
          <w:b w:val="false"/>
          <w:sz w:val="32"/>
          <w:szCs w:val="32"/>
          <w:rtl/>
        </w:rPr>
        <w:t xml:space="preserve">18. المقدسي، أنيس. </w:t>
      </w:r>
      <w:r>
        <w:rPr>
          <w:rFonts w:ascii="Times New Roman" w:cs="Traditional Arabic" w:hAnsi="Times New Roman"/>
          <w:b/>
          <w:bCs/>
          <w:sz w:val="32"/>
          <w:szCs w:val="32"/>
          <w:rtl/>
        </w:rPr>
        <w:t xml:space="preserve">تطوّر الأساليب النّثريّة في الأدب العربيّ</w:t>
      </w:r>
      <w:r>
        <w:rPr>
          <w:rFonts w:ascii="Times New Roman" w:cs="Traditional Arabic" w:hAnsi="Times New Roman"/>
          <w:b w:val="false"/>
          <w:sz w:val="32"/>
          <w:szCs w:val="32"/>
          <w:rtl/>
        </w:rPr>
        <w:t xml:space="preserve">. ط 8. بيروت: دار العلم للملايين، 1989.</w:t>
      </w:r>
    </w:p>
    <w:p>
      <w:pPr>
        <w:bidi/>
        <w:spacing w:after="120" w:before="0" w:line="360" w:lineRule="auto"/>
        <w:jc w:val="both"/>
      </w:pPr>
      <w:r>
        <w:rPr>
          <w:rFonts w:ascii="Times New Roman" w:cs="Traditional Arabic" w:hAnsi="Times New Roman"/>
          <w:b w:val="false"/>
          <w:sz w:val="32"/>
          <w:szCs w:val="32"/>
          <w:rtl/>
        </w:rPr>
        <w:t xml:space="preserve">19. الواد، حسين. </w:t>
      </w:r>
      <w:r>
        <w:rPr>
          <w:rFonts w:ascii="Times New Roman" w:cs="Traditional Arabic" w:hAnsi="Times New Roman"/>
          <w:b/>
          <w:bCs/>
          <w:sz w:val="32"/>
          <w:szCs w:val="32"/>
          <w:rtl/>
        </w:rPr>
        <w:t xml:space="preserve">البنية القصصيّة في رسالة الغفران لأبي العلاء المعرّي</w:t>
      </w:r>
      <w:r>
        <w:rPr>
          <w:rFonts w:ascii="Times New Roman" w:cs="Traditional Arabic" w:hAnsi="Times New Roman"/>
          <w:b w:val="false"/>
          <w:sz w:val="32"/>
          <w:szCs w:val="32"/>
          <w:rtl/>
        </w:rPr>
        <w:t xml:space="preserve">. تونس: الدّار العربيّة للكتاب، 1975.</w:t>
      </w:r>
    </w:p>
    <w:p>
      <w:pPr>
        <w:spacing w:after="120" w:line="360" w:lineRule="auto"/>
        <w:jc w:val="left"/>
      </w:pPr>
      <w:r>
        <w:rPr>
          <w:rFonts w:ascii="Times New Roman" w:cs="Times New Roman" w:hAnsi="Times New Roman"/>
          <w:i w:val="false"/>
          <w:iCs w:val="false"/>
          <w:sz w:val="24"/>
          <w:szCs w:val="24"/>
        </w:rPr>
        <w:t xml:space="preserve">20. Al-Maʿarrī, Abū al-ʿAlāʾ. </w:t>
      </w:r>
      <w:r>
        <w:rPr>
          <w:rFonts w:ascii="Times New Roman" w:cs="Times New Roman" w:hAnsi="Times New Roman"/>
          <w:i/>
          <w:iCs/>
          <w:sz w:val="24"/>
          <w:szCs w:val="24"/>
        </w:rPr>
        <w:t xml:space="preserve">The Epistle of Forgiveness</w:t>
      </w:r>
      <w:r>
        <w:rPr>
          <w:rFonts w:ascii="Times New Roman" w:cs="Times New Roman" w:hAnsi="Times New Roman"/>
          <w:i w:val="false"/>
          <w:iCs w:val="false"/>
          <w:sz w:val="24"/>
          <w:szCs w:val="24"/>
        </w:rPr>
        <w:t xml:space="preserve">. Edited and translated by Geert Jan van Gelder and Gregor Schoeler. New York: New York University Press, 2013.</w:t>
      </w:r>
    </w:p>
    <w:p>
      <w:pPr>
        <w:spacing w:after="120" w:line="360" w:lineRule="auto"/>
        <w:jc w:val="left"/>
      </w:pPr>
      <w:r>
        <w:rPr>
          <w:rFonts w:ascii="Times New Roman" w:cs="Times New Roman" w:hAnsi="Times New Roman"/>
          <w:i w:val="false"/>
          <w:iCs w:val="false"/>
          <w:sz w:val="24"/>
          <w:szCs w:val="24"/>
        </w:rPr>
        <w:t xml:space="preserve">21. Nicholson, R. A. </w:t>
      </w:r>
      <w:r>
        <w:rPr>
          <w:rFonts w:ascii="Times New Roman" w:cs="Times New Roman" w:hAnsi="Times New Roman"/>
          <w:i/>
          <w:iCs/>
          <w:sz w:val="24"/>
          <w:szCs w:val="24"/>
        </w:rPr>
        <w:t xml:space="preserve">Studies in Islamic Poetry</w:t>
      </w:r>
      <w:r>
        <w:rPr>
          <w:rFonts w:ascii="Times New Roman" w:cs="Times New Roman" w:hAnsi="Times New Roman"/>
          <w:i w:val="false"/>
          <w:iCs w:val="false"/>
          <w:sz w:val="24"/>
          <w:szCs w:val="24"/>
        </w:rPr>
        <w:t xml:space="preserve">. Cambridge: Cambridge University Press, 1921.</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line="240" w:lineRule="auto"/>
        <w:jc w:val="right"/>
      </w:pPr>
      <w:r>
        <w:rPr>
          <w:rStyle w:val="FootnoteReference"/>
        </w:rPr>
        <w:footnoteRef/>
      </w:r>
      <w:r>
        <w:rPr>
          <w:rFonts w:ascii="Times New Roman" w:cs="Traditional Arabic" w:hAnsi="Times New Roman"/>
          <w:b w:val="false"/>
          <w:sz w:val="24"/>
          <w:szCs w:val="24"/>
          <w:rtl/>
        </w:rPr>
        <w:t xml:space="preserve"> المعرّي، أبو العلاء،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كامل كيلاني)؛ والمعرّي،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بنت الشّاطئ)؛ والمعرّي، </w:t>
      </w:r>
      <w:r>
        <w:rPr>
          <w:rFonts w:ascii="Times New Roman" w:cs="Traditional Arabic" w:hAnsi="Times New Roman"/>
          <w:b/>
          <w:bCs/>
          <w:sz w:val="24"/>
          <w:szCs w:val="24"/>
          <w:rtl/>
        </w:rPr>
        <w:t xml:space="preserve">مختارات من رسالة الغفران</w:t>
      </w:r>
      <w:r>
        <w:rPr>
          <w:rFonts w:ascii="Times New Roman" w:cs="Traditional Arabic" w:hAnsi="Times New Roman"/>
          <w:b w:val="false"/>
          <w:sz w:val="24"/>
          <w:szCs w:val="24"/>
          <w:rtl/>
        </w:rPr>
        <w:t xml:space="preserve"> (اختيار وتقديم أحمد رجب شلتوت).</w:t>
      </w:r>
    </w:p>
  </w:footnote>
  <w:footnote w:id="2">
    <w:p>
      <w:pPr>
        <w:bidi/>
        <w:spacing w:line="240" w:lineRule="auto"/>
        <w:jc w:val="right"/>
      </w:pPr>
      <w:r>
        <w:rPr>
          <w:rStyle w:val="FootnoteReference"/>
        </w:rPr>
        <w:footnoteRef/>
      </w:r>
      <w:r>
        <w:rPr>
          <w:rFonts w:ascii="Times New Roman" w:cs="Traditional Arabic" w:hAnsi="Times New Roman"/>
          <w:b w:val="false"/>
          <w:sz w:val="24"/>
          <w:szCs w:val="24"/>
          <w:rtl/>
        </w:rPr>
        <w:t xml:space="preserve"> كتّاني، سمير، "الأدب كإطار للمعارف في الموروث العربيّ الكلاسيكيّ"، </w:t>
      </w:r>
      <w:r>
        <w:rPr>
          <w:rFonts w:ascii="Times New Roman" w:cs="Traditional Arabic" w:hAnsi="Times New Roman"/>
          <w:b/>
          <w:bCs/>
          <w:sz w:val="24"/>
          <w:szCs w:val="24"/>
          <w:rtl/>
        </w:rPr>
        <w:t xml:space="preserve">المجمع</w:t>
      </w:r>
      <w:r>
        <w:rPr>
          <w:rFonts w:ascii="Times New Roman" w:cs="Traditional Arabic" w:hAnsi="Times New Roman"/>
          <w:b w:val="false"/>
          <w:sz w:val="24"/>
          <w:szCs w:val="24"/>
          <w:rtl/>
        </w:rPr>
        <w:t xml:space="preserve">، 1، 1-26.</w:t>
      </w:r>
    </w:p>
  </w:footnote>
  <w:footnote w:id="3">
    <w:p>
      <w:pPr>
        <w:bidi/>
        <w:spacing w:line="240" w:lineRule="auto"/>
        <w:jc w:val="right"/>
      </w:pPr>
      <w:r>
        <w:rPr>
          <w:rStyle w:val="FootnoteReference"/>
        </w:rPr>
        <w:footnoteRef/>
      </w:r>
      <w:r>
        <w:rPr>
          <w:rFonts w:ascii="Times New Roman" w:cs="Traditional Arabic" w:hAnsi="Times New Roman"/>
          <w:b w:val="false"/>
          <w:sz w:val="24"/>
          <w:szCs w:val="24"/>
          <w:rtl/>
        </w:rPr>
        <w:t xml:space="preserve"> كتّاني، "الأدب كإطار للمعارف في الموروث العربيّ الكلاسيكيّ"، 3.</w:t>
      </w:r>
    </w:p>
  </w:footnote>
  <w:footnote w:id="4">
    <w:p>
      <w:pPr>
        <w:bidi/>
        <w:spacing w:line="240" w:lineRule="auto"/>
        <w:jc w:val="right"/>
      </w:pPr>
      <w:r>
        <w:rPr>
          <w:rStyle w:val="FootnoteReference"/>
        </w:rPr>
        <w:footnoteRef/>
      </w:r>
      <w:r>
        <w:rPr>
          <w:rFonts w:ascii="Times New Roman" w:cs="Traditional Arabic" w:hAnsi="Times New Roman"/>
          <w:b w:val="false"/>
          <w:sz w:val="24"/>
          <w:szCs w:val="24"/>
          <w:rtl/>
        </w:rPr>
        <w:t xml:space="preserve"> مبارك، زكي، </w:t>
      </w:r>
      <w:r>
        <w:rPr>
          <w:rFonts w:ascii="Times New Roman" w:cs="Traditional Arabic" w:hAnsi="Times New Roman"/>
          <w:b/>
          <w:bCs/>
          <w:sz w:val="24"/>
          <w:szCs w:val="24"/>
          <w:rtl/>
        </w:rPr>
        <w:t xml:space="preserve">النّثر الفنّيّ في القرن الرّابع</w:t>
      </w:r>
      <w:r>
        <w:rPr>
          <w:rFonts w:ascii="Times New Roman" w:cs="Traditional Arabic" w:hAnsi="Times New Roman"/>
          <w:b w:val="false"/>
          <w:sz w:val="24"/>
          <w:szCs w:val="24"/>
          <w:rtl/>
        </w:rPr>
        <w:t xml:space="preserve">؛ وضيف، شوقي، </w:t>
      </w:r>
      <w:r>
        <w:rPr>
          <w:rFonts w:ascii="Times New Roman" w:cs="Traditional Arabic" w:hAnsi="Times New Roman"/>
          <w:b/>
          <w:bCs/>
          <w:sz w:val="24"/>
          <w:szCs w:val="24"/>
          <w:rtl/>
        </w:rPr>
        <w:t xml:space="preserve">الفنّ ومذاهبه في النّثر العربيّ</w:t>
      </w:r>
      <w:r>
        <w:rPr>
          <w:rFonts w:ascii="Times New Roman" w:cs="Traditional Arabic" w:hAnsi="Times New Roman"/>
          <w:b w:val="false"/>
          <w:sz w:val="24"/>
          <w:szCs w:val="24"/>
          <w:rtl/>
        </w:rPr>
        <w:t xml:space="preserve">.</w:t>
      </w:r>
    </w:p>
  </w:footnote>
  <w:footnote w:id="5">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في أعلام هذه الصّناعة: كرد علي، محمّد، </w:t>
      </w:r>
      <w:r>
        <w:rPr>
          <w:rFonts w:ascii="Times New Roman" w:cs="Traditional Arabic" w:hAnsi="Times New Roman"/>
          <w:b/>
          <w:bCs/>
          <w:sz w:val="24"/>
          <w:szCs w:val="24"/>
          <w:rtl/>
        </w:rPr>
        <w:t xml:space="preserve">أمراء البيان</w:t>
      </w:r>
      <w:r>
        <w:rPr>
          <w:rFonts w:ascii="Times New Roman" w:cs="Traditional Arabic" w:hAnsi="Times New Roman"/>
          <w:b w:val="false"/>
          <w:sz w:val="24"/>
          <w:szCs w:val="24"/>
          <w:rtl/>
        </w:rPr>
        <w:t xml:space="preserve">، حيث ترجم لعشرة من كبار الكتّاب منهم عبد الحميد وابن المقفّع والجاحظ وابن العميد.</w:t>
      </w:r>
    </w:p>
  </w:footnote>
  <w:footnote w:id="6">
    <w:p>
      <w:pPr>
        <w:bidi/>
        <w:spacing w:line="240" w:lineRule="auto"/>
        <w:jc w:val="right"/>
      </w:pPr>
      <w:r>
        <w:rPr>
          <w:rStyle w:val="FootnoteReference"/>
        </w:rPr>
        <w:footnoteRef/>
      </w:r>
      <w:r>
        <w:rPr>
          <w:rFonts w:ascii="Times New Roman" w:cs="Traditional Arabic" w:hAnsi="Times New Roman"/>
          <w:b w:val="false"/>
          <w:sz w:val="24"/>
          <w:szCs w:val="24"/>
          <w:rtl/>
        </w:rPr>
        <w:t xml:space="preserve"> المقدسي، أنيس، </w:t>
      </w:r>
      <w:r>
        <w:rPr>
          <w:rFonts w:ascii="Times New Roman" w:cs="Traditional Arabic" w:hAnsi="Times New Roman"/>
          <w:b/>
          <w:bCs/>
          <w:sz w:val="24"/>
          <w:szCs w:val="24"/>
          <w:rtl/>
        </w:rPr>
        <w:t xml:space="preserve">تطوّر الأساليب النّثريّة في الأدب العربيّ</w:t>
      </w:r>
      <w:r>
        <w:rPr>
          <w:rFonts w:ascii="Times New Roman" w:cs="Traditional Arabic" w:hAnsi="Times New Roman"/>
          <w:b w:val="false"/>
          <w:sz w:val="24"/>
          <w:szCs w:val="24"/>
          <w:rtl/>
        </w:rPr>
        <w:t xml:space="preserve">، في مواضع متفرّقة من الكتاب.</w:t>
      </w:r>
    </w:p>
  </w:footnote>
  <w:footnote w:id="7">
    <w:p>
      <w:pPr>
        <w:bidi/>
        <w:spacing w:line="240" w:lineRule="auto"/>
        <w:jc w:val="right"/>
      </w:pPr>
      <w:r>
        <w:rPr>
          <w:rStyle w:val="FootnoteReference"/>
        </w:rPr>
        <w:footnoteRef/>
      </w:r>
      <w:r>
        <w:rPr>
          <w:rFonts w:ascii="Times New Roman" w:cs="Traditional Arabic" w:hAnsi="Times New Roman"/>
          <w:b w:val="false"/>
          <w:sz w:val="24"/>
          <w:szCs w:val="24"/>
          <w:rtl/>
        </w:rPr>
        <w:t xml:space="preserve"> مبارك، </w:t>
      </w:r>
      <w:r>
        <w:rPr>
          <w:rFonts w:ascii="Times New Roman" w:cs="Traditional Arabic" w:hAnsi="Times New Roman"/>
          <w:b/>
          <w:bCs/>
          <w:sz w:val="24"/>
          <w:szCs w:val="24"/>
          <w:rtl/>
        </w:rPr>
        <w:t xml:space="preserve">النّثر الفنّيّ في القرن الرّابع</w:t>
      </w:r>
      <w:r>
        <w:rPr>
          <w:rFonts w:ascii="Times New Roman" w:cs="Traditional Arabic" w:hAnsi="Times New Roman"/>
          <w:b w:val="false"/>
          <w:sz w:val="24"/>
          <w:szCs w:val="24"/>
          <w:rtl/>
        </w:rPr>
        <w:t xml:space="preserve">، الباب الأوّل؛ وانظر: ضيف، </w:t>
      </w:r>
      <w:r>
        <w:rPr>
          <w:rFonts w:ascii="Times New Roman" w:cs="Traditional Arabic" w:hAnsi="Times New Roman"/>
          <w:b/>
          <w:bCs/>
          <w:sz w:val="24"/>
          <w:szCs w:val="24"/>
          <w:rtl/>
        </w:rPr>
        <w:t xml:space="preserve">الفنّ ومذاهبه في النّثر العربيّ</w:t>
      </w:r>
      <w:r>
        <w:rPr>
          <w:rFonts w:ascii="Times New Roman" w:cs="Traditional Arabic" w:hAnsi="Times New Roman"/>
          <w:b w:val="false"/>
          <w:sz w:val="24"/>
          <w:szCs w:val="24"/>
          <w:rtl/>
        </w:rPr>
        <w:t xml:space="preserve">.</w:t>
      </w:r>
    </w:p>
  </w:footnote>
  <w:footnote w:id="8">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في خصائص كتابة القرن الرّابع: مبارك، </w:t>
      </w:r>
      <w:r>
        <w:rPr>
          <w:rFonts w:ascii="Times New Roman" w:cs="Traditional Arabic" w:hAnsi="Times New Roman"/>
          <w:b/>
          <w:bCs/>
          <w:sz w:val="24"/>
          <w:szCs w:val="24"/>
          <w:rtl/>
        </w:rPr>
        <w:t xml:space="preserve">النّثر الفنّيّ في القرن الرّابع</w:t>
      </w:r>
      <w:r>
        <w:rPr>
          <w:rFonts w:ascii="Times New Roman" w:cs="Traditional Arabic" w:hAnsi="Times New Roman"/>
          <w:b w:val="false"/>
          <w:sz w:val="24"/>
          <w:szCs w:val="24"/>
          <w:rtl/>
        </w:rPr>
        <w:t xml:space="preserve">؛ وضيف، </w:t>
      </w:r>
      <w:r>
        <w:rPr>
          <w:rFonts w:ascii="Times New Roman" w:cs="Traditional Arabic" w:hAnsi="Times New Roman"/>
          <w:b/>
          <w:bCs/>
          <w:sz w:val="24"/>
          <w:szCs w:val="24"/>
          <w:rtl/>
        </w:rPr>
        <w:t xml:space="preserve">الفنّ ومذاهبه في النّثر العربيّ</w:t>
      </w:r>
      <w:r>
        <w:rPr>
          <w:rFonts w:ascii="Times New Roman" w:cs="Traditional Arabic" w:hAnsi="Times New Roman"/>
          <w:b w:val="false"/>
          <w:sz w:val="24"/>
          <w:szCs w:val="24"/>
          <w:rtl/>
        </w:rPr>
        <w:t xml:space="preserve">.</w:t>
      </w:r>
    </w:p>
  </w:footnote>
  <w:footnote w:id="9">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في هذا التّطوّر: ضيف، </w:t>
      </w:r>
      <w:r>
        <w:rPr>
          <w:rFonts w:ascii="Times New Roman" w:cs="Traditional Arabic" w:hAnsi="Times New Roman"/>
          <w:b/>
          <w:bCs/>
          <w:sz w:val="24"/>
          <w:szCs w:val="24"/>
          <w:rtl/>
        </w:rPr>
        <w:t xml:space="preserve">الفنّ ومذاهبه في النّثر العربيّ</w:t>
      </w:r>
      <w:r>
        <w:rPr>
          <w:rFonts w:ascii="Times New Roman" w:cs="Traditional Arabic" w:hAnsi="Times New Roman"/>
          <w:b w:val="false"/>
          <w:sz w:val="24"/>
          <w:szCs w:val="24"/>
          <w:rtl/>
        </w:rPr>
        <w:t xml:space="preserve">. ورسالة التّوابع والزّوابع سبقت الغفران بسنوات قليلة، ولا دليل على اطّلاع المعرّي عليها، ممّا يجعل التّشابه بينهما أقرب إلى توارد الخواطر الّذي تسمح به تقاليد القالب نفسه.</w:t>
      </w:r>
    </w:p>
  </w:footnote>
  <w:footnote w:id="10">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أحمد رجب،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10.</w:t>
      </w:r>
    </w:p>
  </w:footnote>
  <w:footnote w:id="11">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عناوين مصنّفاته في: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6.</w:t>
      </w:r>
    </w:p>
  </w:footnote>
  <w:footnote w:id="12">
    <w:p>
      <w:pPr>
        <w:bidi/>
        <w:spacing w:line="240" w:lineRule="auto"/>
        <w:jc w:val="right"/>
      </w:pPr>
      <w:r>
        <w:rPr>
          <w:rStyle w:val="FootnoteReference"/>
        </w:rPr>
        <w:footnoteRef/>
      </w:r>
      <w:r>
        <w:rPr>
          <w:rFonts w:ascii="Times New Roman" w:cs="Traditional Arabic" w:hAnsi="Times New Roman"/>
          <w:b w:val="false"/>
          <w:sz w:val="24"/>
          <w:szCs w:val="24"/>
          <w:rtl/>
        </w:rPr>
        <w:t xml:space="preserve"> الواد، حسين، </w:t>
      </w:r>
      <w:r>
        <w:rPr>
          <w:rFonts w:ascii="Times New Roman" w:cs="Traditional Arabic" w:hAnsi="Times New Roman"/>
          <w:b/>
          <w:bCs/>
          <w:sz w:val="24"/>
          <w:szCs w:val="24"/>
          <w:rtl/>
        </w:rPr>
        <w:t xml:space="preserve">البنية القصصيّة في رسالة الغفران لأبي العلاء المعرّي</w:t>
      </w:r>
      <w:r>
        <w:rPr>
          <w:rFonts w:ascii="Times New Roman" w:cs="Traditional Arabic" w:hAnsi="Times New Roman"/>
          <w:b w:val="false"/>
          <w:sz w:val="24"/>
          <w:szCs w:val="24"/>
          <w:rtl/>
        </w:rPr>
        <w:t xml:space="preserve">، في مواضع متفرّقة. وقد عدّ عمله من أوائل الدّراسات الّتي عالجت نصًّا تراثيًّا بالمنهج البنيويّ.</w:t>
      </w:r>
    </w:p>
  </w:footnote>
  <w:footnote w:id="13">
    <w:p>
      <w:pPr>
        <w:bidi/>
        <w:spacing w:line="240" w:lineRule="auto"/>
        <w:jc w:val="right"/>
      </w:pPr>
      <w:r>
        <w:rPr>
          <w:rStyle w:val="FootnoteReference"/>
        </w:rPr>
        <w:footnoteRef/>
      </w:r>
      <w:r>
        <w:rPr>
          <w:rFonts w:ascii="Times New Roman" w:cs="Traditional Arabic" w:hAnsi="Times New Roman"/>
          <w:b w:val="false"/>
          <w:sz w:val="24"/>
          <w:szCs w:val="24"/>
          <w:rtl/>
        </w:rPr>
        <w:t xml:space="preserve"> حسين، طه، </w:t>
      </w:r>
      <w:r>
        <w:rPr>
          <w:rFonts w:ascii="Times New Roman" w:cs="Traditional Arabic" w:hAnsi="Times New Roman"/>
          <w:b/>
          <w:bCs/>
          <w:sz w:val="24"/>
          <w:szCs w:val="24"/>
          <w:rtl/>
        </w:rPr>
        <w:t xml:space="preserve">تجديد ذكرى أبي العلاء</w:t>
      </w:r>
      <w:r>
        <w:rPr>
          <w:rFonts w:ascii="Times New Roman" w:cs="Traditional Arabic" w:hAnsi="Times New Roman"/>
          <w:b w:val="false"/>
          <w:sz w:val="24"/>
          <w:szCs w:val="24"/>
          <w:rtl/>
        </w:rPr>
        <w:t xml:space="preserve">؛ وانظر عرض ذلك في: توحيدي فر، نرجس، </w:t>
      </w:r>
      <w:r>
        <w:rPr>
          <w:rFonts w:ascii="Times New Roman" w:cs="Traditional Arabic" w:hAnsi="Times New Roman"/>
          <w:b/>
          <w:bCs/>
          <w:sz w:val="24"/>
          <w:szCs w:val="24"/>
          <w:rtl/>
        </w:rPr>
        <w:t xml:space="preserve">أبو العلاء المعرّي: دراسة في معتقداته الدّينيّة</w:t>
      </w:r>
      <w:r>
        <w:rPr>
          <w:rFonts w:ascii="Times New Roman" w:cs="Traditional Arabic" w:hAnsi="Times New Roman"/>
          <w:b w:val="false"/>
          <w:sz w:val="24"/>
          <w:szCs w:val="24"/>
          <w:rtl/>
        </w:rPr>
        <w:t xml:space="preserve">، 6.</w:t>
      </w:r>
    </w:p>
  </w:footnote>
  <w:footnote w:id="14">
    <w:p>
      <w:pPr>
        <w:bidi/>
        <w:spacing w:line="240" w:lineRule="auto"/>
        <w:jc w:val="right"/>
      </w:pPr>
      <w:r>
        <w:rPr>
          <w:rStyle w:val="FootnoteReference"/>
        </w:rPr>
        <w:footnoteRef/>
      </w:r>
      <w:r>
        <w:rPr>
          <w:rFonts w:ascii="Times New Roman" w:cs="Traditional Arabic" w:hAnsi="Times New Roman"/>
          <w:b w:val="false"/>
          <w:sz w:val="24"/>
          <w:szCs w:val="24"/>
          <w:rtl/>
        </w:rPr>
        <w:t xml:space="preserve"> توحيدي فر، </w:t>
      </w:r>
      <w:r>
        <w:rPr>
          <w:rFonts w:ascii="Times New Roman" w:cs="Traditional Arabic" w:hAnsi="Times New Roman"/>
          <w:b/>
          <w:bCs/>
          <w:sz w:val="24"/>
          <w:szCs w:val="24"/>
          <w:rtl/>
        </w:rPr>
        <w:t xml:space="preserve">أبو العلاء المعرّي</w:t>
      </w:r>
      <w:r>
        <w:rPr>
          <w:rFonts w:ascii="Times New Roman" w:cs="Traditional Arabic" w:hAnsi="Times New Roman"/>
          <w:b w:val="false"/>
          <w:sz w:val="24"/>
          <w:szCs w:val="24"/>
          <w:rtl/>
        </w:rPr>
        <w:t xml:space="preserve">، 3 (التّقديم)؛ وانظر تفصيل الحياة الاقتصاديّة في عهده وما أصاب البلاد من قحط ووباء سنة 448هـ: الجندي، </w:t>
      </w:r>
      <w:r>
        <w:rPr>
          <w:rFonts w:ascii="Times New Roman" w:cs="Traditional Arabic" w:hAnsi="Times New Roman"/>
          <w:b/>
          <w:bCs/>
          <w:sz w:val="24"/>
          <w:szCs w:val="24"/>
          <w:rtl/>
        </w:rPr>
        <w:t xml:space="preserve">الجامع في أخبار أبي العلاء المعرّي وآثاره</w:t>
      </w:r>
      <w:r>
        <w:rPr>
          <w:rFonts w:ascii="Times New Roman" w:cs="Traditional Arabic" w:hAnsi="Times New Roman"/>
          <w:b w:val="false"/>
          <w:sz w:val="24"/>
          <w:szCs w:val="24"/>
          <w:rtl/>
        </w:rPr>
        <w:t xml:space="preserve">، 1/ 117.</w:t>
      </w:r>
    </w:p>
  </w:footnote>
  <w:footnote w:id="15">
    <w:p>
      <w:pPr>
        <w:bidi/>
        <w:spacing w:line="240" w:lineRule="auto"/>
        <w:jc w:val="right"/>
      </w:pPr>
      <w:r>
        <w:rPr>
          <w:rStyle w:val="FootnoteReference"/>
        </w:rPr>
        <w:footnoteRef/>
      </w:r>
      <w:r>
        <w:rPr>
          <w:rFonts w:ascii="Times New Roman" w:cs="Traditional Arabic" w:hAnsi="Times New Roman"/>
          <w:b w:val="false"/>
          <w:sz w:val="24"/>
          <w:szCs w:val="24"/>
          <w:rtl/>
        </w:rPr>
        <w:t xml:space="preserve"> الجندي، </w:t>
      </w:r>
      <w:r>
        <w:rPr>
          <w:rFonts w:ascii="Times New Roman" w:cs="Traditional Arabic" w:hAnsi="Times New Roman"/>
          <w:b/>
          <w:bCs/>
          <w:sz w:val="24"/>
          <w:szCs w:val="24"/>
          <w:rtl/>
        </w:rPr>
        <w:t xml:space="preserve">الجامع في أخبار أبي العلاء المعرّي وآثاره</w:t>
      </w:r>
      <w:r>
        <w:rPr>
          <w:rFonts w:ascii="Times New Roman" w:cs="Traditional Arabic" w:hAnsi="Times New Roman"/>
          <w:b w:val="false"/>
          <w:sz w:val="24"/>
          <w:szCs w:val="24"/>
          <w:rtl/>
        </w:rPr>
        <w:t xml:space="preserve">، 1/ 37-38.</w:t>
      </w:r>
    </w:p>
  </w:footnote>
  <w:footnote w:id="16">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5.</w:t>
      </w:r>
    </w:p>
  </w:footnote>
  <w:footnote w:id="17">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5.</w:t>
      </w:r>
    </w:p>
  </w:footnote>
  <w:footnote w:id="18">
    <w:p>
      <w:pPr>
        <w:bidi/>
        <w:spacing w:line="240" w:lineRule="auto"/>
        <w:jc w:val="right"/>
      </w:pPr>
      <w:r>
        <w:rPr>
          <w:rStyle w:val="FootnoteReference"/>
        </w:rPr>
        <w:footnoteRef/>
      </w:r>
      <w:r>
        <w:rPr>
          <w:rFonts w:ascii="Times New Roman" w:cs="Traditional Arabic" w:hAnsi="Times New Roman"/>
          <w:b w:val="false"/>
          <w:sz w:val="24"/>
          <w:szCs w:val="24"/>
          <w:rtl/>
        </w:rPr>
        <w:t xml:space="preserve"> المعرّي، أبو العلاء، </w:t>
      </w:r>
      <w:r>
        <w:rPr>
          <w:rFonts w:ascii="Times New Roman" w:cs="Traditional Arabic" w:hAnsi="Times New Roman"/>
          <w:b/>
          <w:bCs/>
          <w:sz w:val="24"/>
          <w:szCs w:val="24"/>
          <w:rtl/>
        </w:rPr>
        <w:t xml:space="preserve">لزوم ما لا يلزم (اللزوميّات)</w:t>
      </w:r>
      <w:r>
        <w:rPr>
          <w:rFonts w:ascii="Times New Roman" w:cs="Traditional Arabic" w:hAnsi="Times New Roman"/>
          <w:b w:val="false"/>
          <w:sz w:val="24"/>
          <w:szCs w:val="24"/>
          <w:rtl/>
        </w:rPr>
        <w:t xml:space="preserve">.</w:t>
      </w:r>
    </w:p>
  </w:footnote>
  <w:footnote w:id="19">
    <w:p>
      <w:pPr>
        <w:bidi/>
        <w:spacing w:line="240" w:lineRule="auto"/>
        <w:jc w:val="right"/>
      </w:pPr>
      <w:r>
        <w:rPr>
          <w:rStyle w:val="FootnoteReference"/>
        </w:rPr>
        <w:footnoteRef/>
      </w:r>
      <w:r>
        <w:rPr>
          <w:rFonts w:ascii="Times New Roman" w:cs="Traditional Arabic" w:hAnsi="Times New Roman"/>
          <w:b w:val="false"/>
          <w:sz w:val="24"/>
          <w:szCs w:val="24"/>
          <w:rtl/>
        </w:rPr>
        <w:t xml:space="preserve"> حسين، طه، </w:t>
      </w:r>
      <w:r>
        <w:rPr>
          <w:rFonts w:ascii="Times New Roman" w:cs="Traditional Arabic" w:hAnsi="Times New Roman"/>
          <w:b/>
          <w:bCs/>
          <w:sz w:val="24"/>
          <w:szCs w:val="24"/>
          <w:rtl/>
        </w:rPr>
        <w:t xml:space="preserve">مع أبي العلاء في سجنه</w:t>
      </w:r>
      <w:r>
        <w:rPr>
          <w:rFonts w:ascii="Times New Roman" w:cs="Traditional Arabic" w:hAnsi="Times New Roman"/>
          <w:b w:val="false"/>
          <w:sz w:val="24"/>
          <w:szCs w:val="24"/>
          <w:rtl/>
        </w:rPr>
        <w:t xml:space="preserve">.</w:t>
      </w:r>
    </w:p>
  </w:footnote>
  <w:footnote w:id="20">
    <w:p>
      <w:pPr>
        <w:bidi/>
        <w:spacing w:line="240" w:lineRule="auto"/>
        <w:jc w:val="right"/>
      </w:pPr>
      <w:r>
        <w:rPr>
          <w:rStyle w:val="FootnoteReference"/>
        </w:rPr>
        <w:footnoteRef/>
      </w:r>
      <w:r>
        <w:rPr>
          <w:rFonts w:ascii="Times New Roman" w:cs="Traditional Arabic" w:hAnsi="Times New Roman"/>
          <w:b w:val="false"/>
          <w:sz w:val="24"/>
          <w:szCs w:val="24"/>
          <w:rtl/>
        </w:rPr>
        <w:t xml:space="preserve"> الجندي، محمّد سليم، </w:t>
      </w:r>
      <w:r>
        <w:rPr>
          <w:rFonts w:ascii="Times New Roman" w:cs="Traditional Arabic" w:hAnsi="Times New Roman"/>
          <w:b/>
          <w:bCs/>
          <w:sz w:val="24"/>
          <w:szCs w:val="24"/>
          <w:rtl/>
        </w:rPr>
        <w:t xml:space="preserve">الجامع في أخبار أبي العلاء المعرّي وآثاره</w:t>
      </w:r>
      <w:r>
        <w:rPr>
          <w:rFonts w:ascii="Times New Roman" w:cs="Traditional Arabic" w:hAnsi="Times New Roman"/>
          <w:b w:val="false"/>
          <w:sz w:val="24"/>
          <w:szCs w:val="24"/>
          <w:rtl/>
        </w:rPr>
        <w:t xml:space="preserve">، 1/ 57، حيث يناقش ما استنتجه المتأخّرون من كلام المعرّي من نتائج غريبة ويردّ عليها.</w:t>
      </w:r>
    </w:p>
  </w:footnote>
  <w:footnote w:id="21">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5.</w:t>
      </w:r>
    </w:p>
  </w:footnote>
  <w:footnote w:id="22">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5-6؛ وانظر ما جمعه الجندي ممّا قيل في فرط ذكائه وشدّة حفظه وضبطه لكلّ ما يسمع من أيّة لغة كانت: </w:t>
      </w:r>
      <w:r>
        <w:rPr>
          <w:rFonts w:ascii="Times New Roman" w:cs="Traditional Arabic" w:hAnsi="Times New Roman"/>
          <w:b/>
          <w:bCs/>
          <w:sz w:val="24"/>
          <w:szCs w:val="24"/>
          <w:rtl/>
        </w:rPr>
        <w:t xml:space="preserve">الجامع في أخبار أبي العلاء المعرّي وآثاره</w:t>
      </w:r>
      <w:r>
        <w:rPr>
          <w:rFonts w:ascii="Times New Roman" w:cs="Traditional Arabic" w:hAnsi="Times New Roman"/>
          <w:b w:val="false"/>
          <w:sz w:val="24"/>
          <w:szCs w:val="24"/>
          <w:rtl/>
        </w:rPr>
        <w:t xml:space="preserve">، 1/ 543-544.</w:t>
      </w:r>
    </w:p>
  </w:footnote>
  <w:footnote w:id="23">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6.</w:t>
      </w:r>
    </w:p>
  </w:footnote>
  <w:footnote w:id="24">
    <w:p>
      <w:pPr>
        <w:bidi/>
        <w:spacing w:line="240" w:lineRule="auto"/>
        <w:jc w:val="right"/>
      </w:pPr>
      <w:r>
        <w:rPr>
          <w:rStyle w:val="FootnoteReference"/>
        </w:rPr>
        <w:footnoteRef/>
      </w:r>
      <w:r>
        <w:rPr>
          <w:rFonts w:ascii="Times New Roman" w:cs="Traditional Arabic" w:hAnsi="Times New Roman"/>
          <w:b w:val="false"/>
          <w:sz w:val="24"/>
          <w:szCs w:val="24"/>
          <w:rtl/>
        </w:rPr>
        <w:t xml:space="preserve"> توحيدي فر، </w:t>
      </w:r>
      <w:r>
        <w:rPr>
          <w:rFonts w:ascii="Times New Roman" w:cs="Traditional Arabic" w:hAnsi="Times New Roman"/>
          <w:b/>
          <w:bCs/>
          <w:sz w:val="24"/>
          <w:szCs w:val="24"/>
          <w:rtl/>
        </w:rPr>
        <w:t xml:space="preserve">أبو العلاء المعرّي</w:t>
      </w:r>
      <w:r>
        <w:rPr>
          <w:rFonts w:ascii="Times New Roman" w:cs="Traditional Arabic" w:hAnsi="Times New Roman"/>
          <w:b w:val="false"/>
          <w:sz w:val="24"/>
          <w:szCs w:val="24"/>
          <w:rtl/>
        </w:rPr>
        <w:t xml:space="preserve">، 3-4 (التّقديم).</w:t>
      </w:r>
    </w:p>
  </w:footnote>
  <w:footnote w:id="25">
    <w:p>
      <w:pPr>
        <w:bidi/>
        <w:spacing w:line="240" w:lineRule="auto"/>
        <w:jc w:val="right"/>
      </w:pPr>
      <w:r>
        <w:rPr>
          <w:rStyle w:val="FootnoteReference"/>
        </w:rPr>
        <w:footnoteRef/>
      </w:r>
      <w:r>
        <w:rPr>
          <w:rFonts w:ascii="Times New Roman" w:cs="Traditional Arabic" w:hAnsi="Times New Roman"/>
          <w:b w:val="false"/>
          <w:sz w:val="24"/>
          <w:szCs w:val="24"/>
          <w:rtl/>
        </w:rPr>
        <w:t xml:space="preserve"> توحيدي فر، </w:t>
      </w:r>
      <w:r>
        <w:rPr>
          <w:rFonts w:ascii="Times New Roman" w:cs="Traditional Arabic" w:hAnsi="Times New Roman"/>
          <w:b/>
          <w:bCs/>
          <w:sz w:val="24"/>
          <w:szCs w:val="24"/>
          <w:rtl/>
        </w:rPr>
        <w:t xml:space="preserve">أبو العلاء المعرّي</w:t>
      </w:r>
      <w:r>
        <w:rPr>
          <w:rFonts w:ascii="Times New Roman" w:cs="Traditional Arabic" w:hAnsi="Times New Roman"/>
          <w:b w:val="false"/>
          <w:sz w:val="24"/>
          <w:szCs w:val="24"/>
          <w:rtl/>
        </w:rPr>
        <w:t xml:space="preserve">، 3 (التّقديم).</w:t>
      </w:r>
    </w:p>
  </w:footnote>
  <w:footnote w:id="26">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8؛ وقد جرد الجندي الكتب والرّسائل الّتي ألّفت في الطّعن فيه أو الرّدّ عليه ودفع الظّلم عنه: </w:t>
      </w:r>
      <w:r>
        <w:rPr>
          <w:rFonts w:ascii="Times New Roman" w:cs="Traditional Arabic" w:hAnsi="Times New Roman"/>
          <w:b/>
          <w:bCs/>
          <w:sz w:val="24"/>
          <w:szCs w:val="24"/>
          <w:rtl/>
        </w:rPr>
        <w:t xml:space="preserve">الجامع في أخبار أبي العلاء المعرّي وآثاره</w:t>
      </w:r>
      <w:r>
        <w:rPr>
          <w:rFonts w:ascii="Times New Roman" w:cs="Traditional Arabic" w:hAnsi="Times New Roman"/>
          <w:b w:val="false"/>
          <w:sz w:val="24"/>
          <w:szCs w:val="24"/>
          <w:rtl/>
        </w:rPr>
        <w:t xml:space="preserve">، 1/ 529-532.</w:t>
      </w:r>
    </w:p>
  </w:footnote>
  <w:footnote w:id="27">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6.</w:t>
      </w:r>
    </w:p>
  </w:footnote>
  <w:footnote w:id="28">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6؛ وانظر في خزانة كتبه وأخبارها: الجندي، </w:t>
      </w:r>
      <w:r>
        <w:rPr>
          <w:rFonts w:ascii="Times New Roman" w:cs="Traditional Arabic" w:hAnsi="Times New Roman"/>
          <w:b/>
          <w:bCs/>
          <w:sz w:val="24"/>
          <w:szCs w:val="24"/>
          <w:rtl/>
        </w:rPr>
        <w:t xml:space="preserve">الجامع في أخبار أبي العلاء المعرّي وآثاره</w:t>
      </w:r>
      <w:r>
        <w:rPr>
          <w:rFonts w:ascii="Times New Roman" w:cs="Traditional Arabic" w:hAnsi="Times New Roman"/>
          <w:b w:val="false"/>
          <w:sz w:val="24"/>
          <w:szCs w:val="24"/>
          <w:rtl/>
        </w:rPr>
        <w:t xml:space="preserve">، 1/ 563-564.</w:t>
      </w:r>
    </w:p>
  </w:footnote>
  <w:footnote w:id="29">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6.</w:t>
      </w:r>
    </w:p>
  </w:footnote>
  <w:footnote w:id="30">
    <w:p>
      <w:pPr>
        <w:bidi/>
        <w:spacing w:line="240" w:lineRule="auto"/>
        <w:jc w:val="right"/>
      </w:pPr>
      <w:r>
        <w:rPr>
          <w:rStyle w:val="FootnoteReference"/>
        </w:rPr>
        <w:footnoteRef/>
      </w:r>
      <w:r>
        <w:rPr>
          <w:rFonts w:ascii="Times New Roman" w:cs="Traditional Arabic" w:hAnsi="Times New Roman"/>
          <w:b w:val="false"/>
          <w:sz w:val="24"/>
          <w:szCs w:val="24"/>
          <w:rtl/>
        </w:rPr>
        <w:t xml:space="preserve"> توحيدي فر، </w:t>
      </w:r>
      <w:r>
        <w:rPr>
          <w:rFonts w:ascii="Times New Roman" w:cs="Traditional Arabic" w:hAnsi="Times New Roman"/>
          <w:b/>
          <w:bCs/>
          <w:sz w:val="24"/>
          <w:szCs w:val="24"/>
          <w:rtl/>
        </w:rPr>
        <w:t xml:space="preserve">أبو العلاء المعرّي</w:t>
      </w:r>
      <w:r>
        <w:rPr>
          <w:rFonts w:ascii="Times New Roman" w:cs="Traditional Arabic" w:hAnsi="Times New Roman"/>
          <w:b w:val="false"/>
          <w:sz w:val="24"/>
          <w:szCs w:val="24"/>
          <w:rtl/>
        </w:rPr>
        <w:t xml:space="preserve">، 3 (التّقديم).</w:t>
      </w:r>
    </w:p>
  </w:footnote>
  <w:footnote w:id="31">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6.</w:t>
      </w:r>
    </w:p>
  </w:footnote>
  <w:footnote w:id="32">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10.</w:t>
      </w:r>
    </w:p>
  </w:footnote>
  <w:footnote w:id="33">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7.</w:t>
      </w:r>
    </w:p>
  </w:footnote>
  <w:footnote w:id="34">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7. ويرى الباحث في هذه السّمة الأخيرة، أي الرّيبة من صورة الدّين لا من الدّين ذاته، مفتاحًا لفهم سخرية الرّسالة كلّها كما سيتّضح في الفصل الثّالث.</w:t>
      </w:r>
    </w:p>
  </w:footnote>
  <w:footnote w:id="35">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7؛ وانظر دراستها المستقلّة: عبد الرّحمن، عائشة (بنت الشّاطئ)، </w:t>
      </w:r>
      <w:r>
        <w:rPr>
          <w:rFonts w:ascii="Times New Roman" w:cs="Traditional Arabic" w:hAnsi="Times New Roman"/>
          <w:b/>
          <w:bCs/>
          <w:sz w:val="24"/>
          <w:szCs w:val="24"/>
          <w:rtl/>
        </w:rPr>
        <w:t xml:space="preserve">الغفران لأبي العلاء المعرّي: دراسة نقديّة</w:t>
      </w:r>
      <w:r>
        <w:rPr>
          <w:rFonts w:ascii="Times New Roman" w:cs="Traditional Arabic" w:hAnsi="Times New Roman"/>
          <w:b w:val="false"/>
          <w:sz w:val="24"/>
          <w:szCs w:val="24"/>
          <w:rtl/>
        </w:rPr>
        <w:t xml:space="preserve">.</w:t>
      </w:r>
    </w:p>
  </w:footnote>
  <w:footnote w:id="36">
    <w:p>
      <w:pPr>
        <w:bidi/>
        <w:spacing w:line="240" w:lineRule="auto"/>
        <w:jc w:val="right"/>
      </w:pPr>
      <w:r>
        <w:rPr>
          <w:rStyle w:val="FootnoteReference"/>
        </w:rPr>
        <w:footnoteRef/>
      </w:r>
      <w:r>
        <w:rPr>
          <w:rFonts w:ascii="Times New Roman" w:cs="Traditional Arabic" w:hAnsi="Times New Roman"/>
          <w:b w:val="false"/>
          <w:sz w:val="24"/>
          <w:szCs w:val="24"/>
          <w:rtl/>
        </w:rPr>
        <w:t xml:space="preserve"> Nicholson, R. A., </w:t>
      </w:r>
      <w:r>
        <w:rPr>
          <w:rFonts w:ascii="Times New Roman" w:cs="Traditional Arabic" w:hAnsi="Times New Roman"/>
          <w:b/>
          <w:bCs/>
          <w:sz w:val="24"/>
          <w:szCs w:val="24"/>
          <w:rtl/>
        </w:rPr>
        <w:t xml:space="preserve">Studies in Islamic Poetry</w:t>
      </w:r>
      <w:r>
        <w:rPr>
          <w:rFonts w:ascii="Times New Roman" w:cs="Traditional Arabic" w:hAnsi="Times New Roman"/>
          <w:b w:val="false"/>
          <w:sz w:val="24"/>
          <w:szCs w:val="24"/>
          <w:rtl/>
        </w:rPr>
        <w:t xml:space="preserve">.</w:t>
      </w:r>
    </w:p>
  </w:footnote>
  <w:footnote w:id="37">
    <w:p>
      <w:pPr>
        <w:bidi/>
        <w:spacing w:line="240" w:lineRule="auto"/>
        <w:jc w:val="right"/>
      </w:pPr>
      <w:r>
        <w:rPr>
          <w:rStyle w:val="FootnoteReference"/>
        </w:rPr>
        <w:footnoteRef/>
      </w:r>
      <w:r>
        <w:rPr>
          <w:rFonts w:ascii="Times New Roman" w:cs="Traditional Arabic" w:hAnsi="Times New Roman"/>
          <w:b w:val="false"/>
          <w:sz w:val="24"/>
          <w:szCs w:val="24"/>
          <w:rtl/>
        </w:rPr>
        <w:t xml:space="preserve"> Al-Maʿarrī, </w:t>
      </w:r>
      <w:r>
        <w:rPr>
          <w:rFonts w:ascii="Times New Roman" w:cs="Traditional Arabic" w:hAnsi="Times New Roman"/>
          <w:b/>
          <w:bCs/>
          <w:sz w:val="24"/>
          <w:szCs w:val="24"/>
          <w:rtl/>
        </w:rPr>
        <w:t xml:space="preserve">The Epistle of Forgiveness</w:t>
      </w:r>
      <w:r>
        <w:rPr>
          <w:rFonts w:ascii="Times New Roman" w:cs="Traditional Arabic" w:hAnsi="Times New Roman"/>
          <w:b w:val="false"/>
          <w:sz w:val="24"/>
          <w:szCs w:val="24"/>
          <w:rtl/>
        </w:rPr>
        <w:t xml:space="preserve"> (trans. van Gelder &amp; Schoeler).</w:t>
      </w:r>
    </w:p>
  </w:footnote>
  <w:footnote w:id="38">
    <w:p>
      <w:pPr>
        <w:bidi/>
        <w:spacing w:line="240" w:lineRule="auto"/>
        <w:jc w:val="right"/>
      </w:pPr>
      <w:r>
        <w:rPr>
          <w:rStyle w:val="FootnoteReference"/>
        </w:rPr>
        <w:footnoteRef/>
      </w:r>
      <w:r>
        <w:rPr>
          <w:rFonts w:ascii="Times New Roman" w:cs="Traditional Arabic" w:hAnsi="Times New Roman"/>
          <w:b w:val="false"/>
          <w:sz w:val="24"/>
          <w:szCs w:val="24"/>
          <w:rtl/>
        </w:rPr>
        <w:t xml:space="preserve"> أبو رحمة، عماد محمود، "أثر رسالة الغفران لأبي العلاء المعرّي في الكوميديا الإلهيّة لدانتي"، </w:t>
      </w:r>
      <w:r>
        <w:rPr>
          <w:rFonts w:ascii="Times New Roman" w:cs="Traditional Arabic" w:hAnsi="Times New Roman"/>
          <w:b/>
          <w:bCs/>
          <w:sz w:val="24"/>
          <w:szCs w:val="24"/>
          <w:rtl/>
        </w:rPr>
        <w:t xml:space="preserve">مجلّة الجامعة الإسلاميّة للبحوث الإنسانيّة</w:t>
      </w:r>
      <w:r>
        <w:rPr>
          <w:rFonts w:ascii="Times New Roman" w:cs="Traditional Arabic" w:hAnsi="Times New Roman"/>
          <w:b w:val="false"/>
          <w:sz w:val="24"/>
          <w:szCs w:val="24"/>
          <w:rtl/>
        </w:rPr>
        <w:t xml:space="preserve">، 23(2)، 1؛ وانظر: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6-7.</w:t>
      </w:r>
    </w:p>
  </w:footnote>
  <w:footnote w:id="39">
    <w:p>
      <w:pPr>
        <w:bidi/>
        <w:spacing w:line="240" w:lineRule="auto"/>
        <w:jc w:val="right"/>
      </w:pPr>
      <w:r>
        <w:rPr>
          <w:rStyle w:val="FootnoteReference"/>
        </w:rPr>
        <w:footnoteRef/>
      </w:r>
      <w:r>
        <w:rPr>
          <w:rFonts w:ascii="Times New Roman" w:cs="Traditional Arabic" w:hAnsi="Times New Roman"/>
          <w:b w:val="false"/>
          <w:sz w:val="24"/>
          <w:szCs w:val="24"/>
          <w:rtl/>
        </w:rPr>
        <w:t xml:space="preserve"> حسين، </w:t>
      </w:r>
      <w:r>
        <w:rPr>
          <w:rFonts w:ascii="Times New Roman" w:cs="Traditional Arabic" w:hAnsi="Times New Roman"/>
          <w:b/>
          <w:bCs/>
          <w:sz w:val="24"/>
          <w:szCs w:val="24"/>
          <w:rtl/>
        </w:rPr>
        <w:t xml:space="preserve">تجديد ذكرى أبي العلاء</w:t>
      </w:r>
      <w:r>
        <w:rPr>
          <w:rFonts w:ascii="Times New Roman" w:cs="Traditional Arabic" w:hAnsi="Times New Roman"/>
          <w:b w:val="false"/>
          <w:sz w:val="24"/>
          <w:szCs w:val="24"/>
          <w:rtl/>
        </w:rPr>
        <w:t xml:space="preserve">؛ وحسين، </w:t>
      </w:r>
      <w:r>
        <w:rPr>
          <w:rFonts w:ascii="Times New Roman" w:cs="Traditional Arabic" w:hAnsi="Times New Roman"/>
          <w:b/>
          <w:bCs/>
          <w:sz w:val="24"/>
          <w:szCs w:val="24"/>
          <w:rtl/>
        </w:rPr>
        <w:t xml:space="preserve">مع أبي العلاء في سجنه</w:t>
      </w:r>
      <w:r>
        <w:rPr>
          <w:rFonts w:ascii="Times New Roman" w:cs="Traditional Arabic" w:hAnsi="Times New Roman"/>
          <w:b w:val="false"/>
          <w:sz w:val="24"/>
          <w:szCs w:val="24"/>
          <w:rtl/>
        </w:rPr>
        <w:t xml:space="preserve">.</w:t>
      </w:r>
    </w:p>
  </w:footnote>
  <w:footnote w:id="40">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8.</w:t>
      </w:r>
    </w:p>
  </w:footnote>
  <w:footnote w:id="41">
    <w:p>
      <w:pPr>
        <w:bidi/>
        <w:spacing w:line="240" w:lineRule="auto"/>
        <w:jc w:val="right"/>
      </w:pPr>
      <w:r>
        <w:rPr>
          <w:rStyle w:val="FootnoteReference"/>
        </w:rPr>
        <w:footnoteRef/>
      </w:r>
      <w:r>
        <w:rPr>
          <w:rFonts w:ascii="Times New Roman" w:cs="Traditional Arabic" w:hAnsi="Times New Roman"/>
          <w:b w:val="false"/>
          <w:sz w:val="24"/>
          <w:szCs w:val="24"/>
          <w:rtl/>
        </w:rPr>
        <w:t xml:space="preserve"> توحيدي فر، </w:t>
      </w:r>
      <w:r>
        <w:rPr>
          <w:rFonts w:ascii="Times New Roman" w:cs="Traditional Arabic" w:hAnsi="Times New Roman"/>
          <w:b/>
          <w:bCs/>
          <w:sz w:val="24"/>
          <w:szCs w:val="24"/>
          <w:rtl/>
        </w:rPr>
        <w:t xml:space="preserve">أبو العلاء المعرّي</w:t>
      </w:r>
      <w:r>
        <w:rPr>
          <w:rFonts w:ascii="Times New Roman" w:cs="Traditional Arabic" w:hAnsi="Times New Roman"/>
          <w:b w:val="false"/>
          <w:sz w:val="24"/>
          <w:szCs w:val="24"/>
          <w:rtl/>
        </w:rPr>
        <w:t xml:space="preserve">، 4 (التّقديم).</w:t>
      </w:r>
    </w:p>
  </w:footnote>
  <w:footnote w:id="42">
    <w:p>
      <w:pPr>
        <w:bidi/>
        <w:spacing w:line="240" w:lineRule="auto"/>
        <w:jc w:val="right"/>
      </w:pPr>
      <w:r>
        <w:rPr>
          <w:rStyle w:val="FootnoteReference"/>
        </w:rPr>
        <w:footnoteRef/>
      </w:r>
      <w:r>
        <w:rPr>
          <w:rFonts w:ascii="Times New Roman" w:cs="Traditional Arabic" w:hAnsi="Times New Roman"/>
          <w:b w:val="false"/>
          <w:sz w:val="24"/>
          <w:szCs w:val="24"/>
          <w:rtl/>
        </w:rPr>
        <w:t xml:space="preserve"> Nicholson, </w:t>
      </w:r>
      <w:r>
        <w:rPr>
          <w:rFonts w:ascii="Times New Roman" w:cs="Traditional Arabic" w:hAnsi="Times New Roman"/>
          <w:b/>
          <w:bCs/>
          <w:sz w:val="24"/>
          <w:szCs w:val="24"/>
          <w:rtl/>
        </w:rPr>
        <w:t xml:space="preserve">Studies in Islamic Poetry</w:t>
      </w:r>
      <w:r>
        <w:rPr>
          <w:rFonts w:ascii="Times New Roman" w:cs="Traditional Arabic" w:hAnsi="Times New Roman"/>
          <w:b w:val="false"/>
          <w:sz w:val="24"/>
          <w:szCs w:val="24"/>
          <w:rtl/>
        </w:rPr>
        <w:t xml:space="preserve">.</w:t>
      </w:r>
    </w:p>
  </w:footnote>
  <w:footnote w:id="43">
    <w:p>
      <w:pPr>
        <w:bidi/>
        <w:spacing w:line="240" w:lineRule="auto"/>
        <w:jc w:val="right"/>
      </w:pPr>
      <w:r>
        <w:rPr>
          <w:rStyle w:val="FootnoteReference"/>
        </w:rPr>
        <w:footnoteRef/>
      </w:r>
      <w:r>
        <w:rPr>
          <w:rFonts w:ascii="Times New Roman" w:cs="Traditional Arabic" w:hAnsi="Times New Roman"/>
          <w:b w:val="false"/>
          <w:sz w:val="24"/>
          <w:szCs w:val="24"/>
          <w:rtl/>
        </w:rPr>
        <w:t xml:space="preserve"> بن قيراط، حنان، "فلسفة السّخرية في رسالة الغفران لأبي العلاء المعرّي"، </w:t>
      </w:r>
      <w:r>
        <w:rPr>
          <w:rFonts w:ascii="Times New Roman" w:cs="Traditional Arabic" w:hAnsi="Times New Roman"/>
          <w:b/>
          <w:bCs/>
          <w:sz w:val="24"/>
          <w:szCs w:val="24"/>
          <w:rtl/>
        </w:rPr>
        <w:t xml:space="preserve">مجلّة الحكمة للدّراسات الفلسفيّة</w:t>
      </w:r>
      <w:r>
        <w:rPr>
          <w:rFonts w:ascii="Times New Roman" w:cs="Traditional Arabic" w:hAnsi="Times New Roman"/>
          <w:b w:val="false"/>
          <w:sz w:val="24"/>
          <w:szCs w:val="24"/>
          <w:rtl/>
        </w:rPr>
        <w:t xml:space="preserve">، 1345-1346.</w:t>
      </w:r>
    </w:p>
  </w:footnote>
  <w:footnote w:id="44">
    <w:p>
      <w:pPr>
        <w:bidi/>
        <w:spacing w:line="240" w:lineRule="auto"/>
        <w:jc w:val="right"/>
      </w:pPr>
      <w:r>
        <w:rPr>
          <w:rStyle w:val="FootnoteReference"/>
        </w:rPr>
        <w:footnoteRef/>
      </w:r>
      <w:r>
        <w:rPr>
          <w:rFonts w:ascii="Times New Roman" w:cs="Traditional Arabic" w:hAnsi="Times New Roman"/>
          <w:b w:val="false"/>
          <w:sz w:val="24"/>
          <w:szCs w:val="24"/>
          <w:rtl/>
        </w:rPr>
        <w:t xml:space="preserve"> طه، نعمان محمّد أمين، </w:t>
      </w:r>
      <w:r>
        <w:rPr>
          <w:rFonts w:ascii="Times New Roman" w:cs="Traditional Arabic" w:hAnsi="Times New Roman"/>
          <w:b/>
          <w:bCs/>
          <w:sz w:val="24"/>
          <w:szCs w:val="24"/>
          <w:rtl/>
        </w:rPr>
        <w:t xml:space="preserve">السّخرية في الأدب العربيّ حتّى نهاية القرن الرّابع الهجريّ</w:t>
      </w:r>
      <w:r>
        <w:rPr>
          <w:rFonts w:ascii="Times New Roman" w:cs="Traditional Arabic" w:hAnsi="Times New Roman"/>
          <w:b w:val="false"/>
          <w:sz w:val="24"/>
          <w:szCs w:val="24"/>
          <w:rtl/>
        </w:rPr>
        <w:t xml:space="preserve">.</w:t>
      </w:r>
    </w:p>
  </w:footnote>
  <w:footnote w:id="45">
    <w:p>
      <w:pPr>
        <w:bidi/>
        <w:spacing w:line="240" w:lineRule="auto"/>
        <w:jc w:val="right"/>
      </w:pPr>
      <w:r>
        <w:rPr>
          <w:rStyle w:val="FootnoteReference"/>
        </w:rPr>
        <w:footnoteRef/>
      </w:r>
      <w:r>
        <w:rPr>
          <w:rFonts w:ascii="Times New Roman" w:cs="Traditional Arabic" w:hAnsi="Times New Roman"/>
          <w:b w:val="false"/>
          <w:sz w:val="24"/>
          <w:szCs w:val="24"/>
          <w:rtl/>
        </w:rPr>
        <w:t xml:space="preserve"> طه، </w:t>
      </w:r>
      <w:r>
        <w:rPr>
          <w:rFonts w:ascii="Times New Roman" w:cs="Traditional Arabic" w:hAnsi="Times New Roman"/>
          <w:b/>
          <w:bCs/>
          <w:sz w:val="24"/>
          <w:szCs w:val="24"/>
          <w:rtl/>
        </w:rPr>
        <w:t xml:space="preserve">السّخرية في الأدب العربيّ</w:t>
      </w:r>
      <w:r>
        <w:rPr>
          <w:rFonts w:ascii="Times New Roman" w:cs="Traditional Arabic" w:hAnsi="Times New Roman"/>
          <w:b w:val="false"/>
          <w:sz w:val="24"/>
          <w:szCs w:val="24"/>
          <w:rtl/>
        </w:rPr>
        <w:t xml:space="preserve">، في مواضع متفرّقة من الكتاب.</w:t>
      </w:r>
    </w:p>
  </w:footnote>
  <w:footnote w:id="46">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9.</w:t>
      </w:r>
    </w:p>
  </w:footnote>
  <w:footnote w:id="47">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8.</w:t>
      </w:r>
    </w:p>
  </w:footnote>
  <w:footnote w:id="48">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8.</w:t>
      </w:r>
    </w:p>
  </w:footnote>
  <w:footnote w:id="49">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9. ويتحفّظ شلتوت نفسه على إخضاع النّصّ كلّه للتّحليل النّفسيّ، لأنّ النّصّ يتجاوز في طبيعة الحال تلك الرّغبات.</w:t>
      </w:r>
    </w:p>
  </w:footnote>
  <w:footnote w:id="50">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9.</w:t>
      </w:r>
    </w:p>
  </w:footnote>
  <w:footnote w:id="51">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تفصيل هذه المشاهد في: المعرّي،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كيلاني)، 53-58 و63 (حكاية ابن القارح). ولعلّ القارئ المعاصر يلمح في مشهد القصيدة الّتي لا تنفع عند الملائكة وفي رحلة البحث عن الشّفاعات صورة مبكّرة لنقد الوساطات والمحسوبيّات، وهو ما يمنح النّصّ راهنيّة لافتة.</w:t>
      </w:r>
    </w:p>
  </w:footnote>
  <w:footnote w:id="52">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المعرّي،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كيلاني)، 53-72. وقارن: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9.</w:t>
      </w:r>
    </w:p>
  </w:footnote>
  <w:footnote w:id="53">
    <w:p>
      <w:pPr>
        <w:bidi/>
        <w:spacing w:line="240" w:lineRule="auto"/>
        <w:jc w:val="right"/>
      </w:pPr>
      <w:r>
        <w:rPr>
          <w:rStyle w:val="FootnoteReference"/>
        </w:rPr>
        <w:footnoteRef/>
      </w:r>
      <w:r>
        <w:rPr>
          <w:rFonts w:ascii="Times New Roman" w:cs="Traditional Arabic" w:hAnsi="Times New Roman"/>
          <w:b w:val="false"/>
          <w:sz w:val="24"/>
          <w:szCs w:val="24"/>
          <w:rtl/>
        </w:rPr>
        <w:t xml:space="preserve"> المعرّي،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كيلاني)، 28-29؛ والبيت من معلّقة زهير بن أبي سلمى.</w:t>
      </w:r>
    </w:p>
  </w:footnote>
  <w:footnote w:id="54">
    <w:p>
      <w:pPr>
        <w:bidi/>
        <w:spacing w:line="240" w:lineRule="auto"/>
        <w:jc w:val="right"/>
      </w:pPr>
      <w:r>
        <w:rPr>
          <w:rStyle w:val="FootnoteReference"/>
        </w:rPr>
        <w:footnoteRef/>
      </w:r>
      <w:r>
        <w:rPr>
          <w:rFonts w:ascii="Times New Roman" w:cs="Traditional Arabic" w:hAnsi="Times New Roman"/>
          <w:b w:val="false"/>
          <w:sz w:val="24"/>
          <w:szCs w:val="24"/>
          <w:rtl/>
        </w:rPr>
        <w:t xml:space="preserve"> المعرّي،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كيلاني)، 27-29. وفي هذا الغفران المنقوص سخرية بالغة: نعيم كامل إلّا من الشّيء الّذي عُرف به صاحبه في الدّنيا.</w:t>
      </w:r>
    </w:p>
  </w:footnote>
  <w:footnote w:id="55">
    <w:p>
      <w:pPr>
        <w:bidi/>
        <w:spacing w:line="240" w:lineRule="auto"/>
        <w:jc w:val="right"/>
      </w:pPr>
      <w:r>
        <w:rPr>
          <w:rStyle w:val="FootnoteReference"/>
        </w:rPr>
        <w:footnoteRef/>
      </w:r>
      <w:r>
        <w:rPr>
          <w:rFonts w:ascii="Times New Roman" w:cs="Traditional Arabic" w:hAnsi="Times New Roman"/>
          <w:b w:val="false"/>
          <w:sz w:val="24"/>
          <w:szCs w:val="24"/>
          <w:rtl/>
        </w:rPr>
        <w:t xml:space="preserve"> تعدّ محاورات ابن القارح مع الشّعراء والأدباء واللّغويّين الّتي تخيّلها المعرّي في العالم الآخر مصدرًا مهمًّا من مصادر دراسة النّقد الأدبيّ القديم، حيث حوت تلك المسامرات والمحاورات مباحث نقديّة مهمّة وأساسيّة في النّقد الأدبيّ. انظر: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7-8.</w:t>
      </w:r>
    </w:p>
  </w:footnote>
  <w:footnote w:id="56">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المعرّي،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كيلاني)، 36-38 (محاورة آدم)، و73-76 (جنّة العفاريت وأبو هدرش).</w:t>
      </w:r>
    </w:p>
  </w:footnote>
  <w:footnote w:id="57">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المعرّي،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كيلاني)، 34 (الإوزّة)، و23-52 (وصف الفردوس). وقد جعله يتشوّق إلى الجنّة بما نعتها من أوصاف أشجارها وخمرها وأباريقها وعسلها وسمكها، وجعله يطلّ على مجالس من العلماء الّذين سمع بذكرهم: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9-10.</w:t>
      </w:r>
    </w:p>
  </w:footnote>
  <w:footnote w:id="58">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المعرّي،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كيلاني)، 87-95 (الجحيم: محاورة إبليس واطّلالة الخنساء).</w:t>
      </w:r>
    </w:p>
  </w:footnote>
  <w:footnote w:id="59">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8.</w:t>
      </w:r>
    </w:p>
  </w:footnote>
  <w:footnote w:id="60">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المعرّي، </w:t>
      </w:r>
      <w:r>
        <w:rPr>
          <w:rFonts w:ascii="Times New Roman" w:cs="Traditional Arabic" w:hAnsi="Times New Roman"/>
          <w:b/>
          <w:bCs/>
          <w:sz w:val="24"/>
          <w:szCs w:val="24"/>
          <w:rtl/>
        </w:rPr>
        <w:t xml:space="preserve">رسالة الغفران</w:t>
      </w:r>
      <w:r>
        <w:rPr>
          <w:rFonts w:ascii="Times New Roman" w:cs="Traditional Arabic" w:hAnsi="Times New Roman"/>
          <w:b w:val="false"/>
          <w:sz w:val="24"/>
          <w:szCs w:val="24"/>
          <w:rtl/>
        </w:rPr>
        <w:t xml:space="preserve"> (تحقيق كيلاني)، 117 وما بعدها (الرّدّ على رسالة ابن القارح). وقد كان المعرّي يلقّب نفسه في رسائله بألقاب التّصاغر، وفي هذا التّصاغر المعلن وجه من وجوه سخريته المزدوجة.</w:t>
      </w:r>
    </w:p>
  </w:footnote>
  <w:footnote w:id="61">
    <w:p>
      <w:pPr>
        <w:bidi/>
        <w:spacing w:line="240" w:lineRule="auto"/>
        <w:jc w:val="right"/>
      </w:pPr>
      <w:r>
        <w:rPr>
          <w:rStyle w:val="FootnoteReference"/>
        </w:rPr>
        <w:footnoteRef/>
      </w:r>
      <w:r>
        <w:rPr>
          <w:rFonts w:ascii="Times New Roman" w:cs="Traditional Arabic" w:hAnsi="Times New Roman"/>
          <w:b w:val="false"/>
          <w:sz w:val="24"/>
          <w:szCs w:val="24"/>
          <w:rtl/>
        </w:rPr>
        <w:t xml:space="preserve"> طه، </w:t>
      </w:r>
      <w:r>
        <w:rPr>
          <w:rFonts w:ascii="Times New Roman" w:cs="Traditional Arabic" w:hAnsi="Times New Roman"/>
          <w:b/>
          <w:bCs/>
          <w:sz w:val="24"/>
          <w:szCs w:val="24"/>
          <w:rtl/>
        </w:rPr>
        <w:t xml:space="preserve">السّخرية في الأدب العربيّ</w:t>
      </w:r>
      <w:r>
        <w:rPr>
          <w:rFonts w:ascii="Times New Roman" w:cs="Traditional Arabic" w:hAnsi="Times New Roman"/>
          <w:b w:val="false"/>
          <w:sz w:val="24"/>
          <w:szCs w:val="24"/>
          <w:rtl/>
        </w:rPr>
        <w:t xml:space="preserve">؛ وانظر تطبيقه على مطلع الغفران: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9-10، حيث المقدّمة المادحة لرسالة ابن القارح "الكلمة الطّيّبة" تحمل في سياقها العامّ معنى الامتحان.</w:t>
      </w:r>
    </w:p>
  </w:footnote>
  <w:footnote w:id="62">
    <w:p>
      <w:pPr>
        <w:bidi/>
        <w:spacing w:line="240" w:lineRule="auto"/>
        <w:jc w:val="right"/>
      </w:pPr>
      <w:r>
        <w:rPr>
          <w:rStyle w:val="FootnoteReference"/>
        </w:rPr>
        <w:footnoteRef/>
      </w:r>
      <w:r>
        <w:rPr>
          <w:rFonts w:ascii="Times New Roman" w:cs="Traditional Arabic" w:hAnsi="Times New Roman"/>
          <w:b w:val="false"/>
          <w:sz w:val="24"/>
          <w:szCs w:val="24"/>
          <w:rtl/>
        </w:rPr>
        <w:t xml:space="preserve"> بن قيراط، حنان، "فلسفة السّخرية في رسالة الغفران لأبي العلاء المعرّي"، </w:t>
      </w:r>
      <w:r>
        <w:rPr>
          <w:rFonts w:ascii="Times New Roman" w:cs="Traditional Arabic" w:hAnsi="Times New Roman"/>
          <w:b/>
          <w:bCs/>
          <w:sz w:val="24"/>
          <w:szCs w:val="24"/>
          <w:rtl/>
        </w:rPr>
        <w:t xml:space="preserve">مجلّة الحكمة للدّراسات الفلسفيّة</w:t>
      </w:r>
      <w:r>
        <w:rPr>
          <w:rFonts w:ascii="Times New Roman" w:cs="Traditional Arabic" w:hAnsi="Times New Roman"/>
          <w:b w:val="false"/>
          <w:sz w:val="24"/>
          <w:szCs w:val="24"/>
          <w:rtl/>
        </w:rPr>
        <w:t xml:space="preserve">، 1344-1346.</w:t>
      </w:r>
    </w:p>
  </w:footnote>
  <w:footnote w:id="63">
    <w:p>
      <w:pPr>
        <w:bidi/>
        <w:spacing w:line="240" w:lineRule="auto"/>
        <w:jc w:val="right"/>
      </w:pPr>
      <w:r>
        <w:rPr>
          <w:rStyle w:val="FootnoteReference"/>
        </w:rPr>
        <w:footnoteRef/>
      </w:r>
      <w:r>
        <w:rPr>
          <w:rFonts w:ascii="Times New Roman" w:cs="Traditional Arabic" w:hAnsi="Times New Roman"/>
          <w:b w:val="false"/>
          <w:sz w:val="24"/>
          <w:szCs w:val="24"/>
          <w:rtl/>
        </w:rPr>
        <w:t xml:space="preserve"> العقّاد، عبّاس محمود، </w:t>
      </w:r>
      <w:r>
        <w:rPr>
          <w:rFonts w:ascii="Times New Roman" w:cs="Traditional Arabic" w:hAnsi="Times New Roman"/>
          <w:b/>
          <w:bCs/>
          <w:sz w:val="24"/>
          <w:szCs w:val="24"/>
          <w:rtl/>
        </w:rPr>
        <w:t xml:space="preserve">مطالعات في الكتب والحياة</w:t>
      </w:r>
      <w:r>
        <w:rPr>
          <w:rFonts w:ascii="Times New Roman" w:cs="Traditional Arabic" w:hAnsi="Times New Roman"/>
          <w:b w:val="false"/>
          <w:sz w:val="24"/>
          <w:szCs w:val="24"/>
          <w:rtl/>
        </w:rPr>
        <w:t xml:space="preserve">، فصل "السّخر في رسالة الغفران".</w:t>
      </w:r>
    </w:p>
  </w:footnote>
  <w:footnote w:id="64">
    <w:p>
      <w:pPr>
        <w:bidi/>
        <w:spacing w:line="240" w:lineRule="auto"/>
        <w:jc w:val="right"/>
      </w:pPr>
      <w:r>
        <w:rPr>
          <w:rStyle w:val="FootnoteReference"/>
        </w:rPr>
        <w:footnoteRef/>
      </w:r>
      <w:r>
        <w:rPr>
          <w:rFonts w:ascii="Times New Roman" w:cs="Traditional Arabic" w:hAnsi="Times New Roman"/>
          <w:b w:val="false"/>
          <w:sz w:val="24"/>
          <w:szCs w:val="24"/>
          <w:rtl/>
        </w:rPr>
        <w:t xml:space="preserve"> انظر في سخرية الجاحظ: طه، </w:t>
      </w:r>
      <w:r>
        <w:rPr>
          <w:rFonts w:ascii="Times New Roman" w:cs="Traditional Arabic" w:hAnsi="Times New Roman"/>
          <w:b/>
          <w:bCs/>
          <w:sz w:val="24"/>
          <w:szCs w:val="24"/>
          <w:rtl/>
        </w:rPr>
        <w:t xml:space="preserve">السّخرية في الأدب العربيّ</w:t>
      </w:r>
      <w:r>
        <w:rPr>
          <w:rFonts w:ascii="Times New Roman" w:cs="Traditional Arabic" w:hAnsi="Times New Roman"/>
          <w:b w:val="false"/>
          <w:sz w:val="24"/>
          <w:szCs w:val="24"/>
          <w:rtl/>
        </w:rPr>
        <w:t xml:space="preserve">. والموازنة المذكورة هنا من استنتاج الباحث بناءً على ما تقدّم في الفصل.</w:t>
      </w:r>
    </w:p>
  </w:footnote>
  <w:footnote w:id="65">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8-9.</w:t>
      </w:r>
    </w:p>
  </w:footnote>
  <w:footnote w:id="66">
    <w:p>
      <w:pPr>
        <w:bidi/>
        <w:spacing w:line="240" w:lineRule="auto"/>
        <w:jc w:val="right"/>
      </w:pPr>
      <w:r>
        <w:rPr>
          <w:rStyle w:val="FootnoteReference"/>
        </w:rPr>
        <w:footnoteRef/>
      </w:r>
      <w:r>
        <w:rPr>
          <w:rFonts w:ascii="Times New Roman" w:cs="Traditional Arabic" w:hAnsi="Times New Roman"/>
          <w:b w:val="false"/>
          <w:sz w:val="24"/>
          <w:szCs w:val="24"/>
          <w:rtl/>
        </w:rPr>
        <w:t xml:space="preserve"> شلتوت، </w:t>
      </w:r>
      <w:r>
        <w:rPr>
          <w:rFonts w:ascii="Times New Roman" w:cs="Traditional Arabic" w:hAnsi="Times New Roman"/>
          <w:b/>
          <w:bCs/>
          <w:sz w:val="24"/>
          <w:szCs w:val="24"/>
          <w:rtl/>
        </w:rPr>
        <w:t xml:space="preserve">تقديم مختارات من رسالة الغفران</w:t>
      </w:r>
      <w:r>
        <w:rPr>
          <w:rFonts w:ascii="Times New Roman" w:cs="Traditional Arabic" w:hAnsi="Times New Roman"/>
          <w:b w:val="false"/>
          <w:sz w:val="24"/>
          <w:szCs w:val="24"/>
          <w:rtl/>
        </w:rPr>
        <w:t xml:space="preserve">، 6-7. وهذا الاستنتاج في نقله عن شلتوت لا يعني تبنّيه؛ فالمسألة خلافيّة كما يتّضح تاليًا.</w:t>
      </w:r>
    </w:p>
  </w:footnote>
  <w:footnote w:id="67">
    <w:p>
      <w:pPr>
        <w:bidi/>
        <w:spacing w:line="240" w:lineRule="auto"/>
        <w:jc w:val="right"/>
      </w:pPr>
      <w:r>
        <w:rPr>
          <w:rStyle w:val="FootnoteReference"/>
        </w:rPr>
        <w:footnoteRef/>
      </w:r>
      <w:r>
        <w:rPr>
          <w:rFonts w:ascii="Times New Roman" w:cs="Traditional Arabic" w:hAnsi="Times New Roman"/>
          <w:b w:val="false"/>
          <w:sz w:val="24"/>
          <w:szCs w:val="24"/>
          <w:rtl/>
        </w:rPr>
        <w:t xml:space="preserve"> أبو رحمة، "أثر رسالة الغفران لأبي العلاء المعرّي في الكوميديا الإلهيّة لدانتي"، 1 (ملخّص البحث).</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rPr>
  </w:style>
  <w:style w:type="paragraph" w:styleId="Heading2">
    <w:name w:val="Heading 2"/>
    <w:basedOn w:val="Normal"/>
    <w:next w:val="Normal"/>
    <w:qFormat/>
    <w:rPr>
      <w:b/>
      <w:bCs/>
      <w:color w:val="000000"/>
    </w:rPr>
  </w:style>
  <w:style w:type="paragraph" w:styleId="Heading3">
    <w:name w:val="Heading 3"/>
    <w:basedOn w:val="Normal"/>
    <w:next w:val="Normal"/>
    <w:qFormat/>
    <w:rPr>
      <w:b/>
      <w:bCs/>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ecaf26581e153dde661010a0b6699c66e3a5ef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2026-08-15T12:23:06.725Z</dcterms:created>
  <dcterms:modified xsi:type="dcterms:W3CDTF">2026-08-15T12:23:06.739Z</dcterms:modified>
</cp:coreProperties>
</file>

<file path=docProps/custom.xml><?xml version="1.0" encoding="utf-8"?>
<Properties xmlns="http://schemas.openxmlformats.org/officeDocument/2006/custom-properties" xmlns:vt="http://schemas.openxmlformats.org/officeDocument/2006/docPropsVTypes"/>
</file>