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spacing w:after="0" w:line="360"/>
        <w:jc w:val="center"/>
      </w:pPr>
      <w:r>
        <w:rPr>
          <w:rFonts w:ascii="David" w:cs="David" w:eastAsia="David" w:hAnsi="David"/>
          <w:b w:val="false"/>
          <w:bCs w:val="false"/>
          <w:i w:val="false"/>
          <w:iCs w:val="false"/>
          <w:sz w:val="24"/>
          <w:szCs w:val="24"/>
          <w:rtl/>
        </w:rPr>
        <w:t xml:space="preserve">אוניברסיטת בר-אילן</w:t>
      </w:r>
    </w:p>
    <w:p>
      <w:pPr>
        <w:bidi/>
        <w:spacing w:after="0" w:line="360"/>
        <w:jc w:val="center"/>
      </w:pPr>
      <w:r>
        <w:rPr>
          <w:rFonts w:ascii="David" w:cs="David" w:eastAsia="David" w:hAnsi="David"/>
          <w:b w:val="false"/>
          <w:bCs w:val="false"/>
          <w:i w:val="false"/>
          <w:iCs w:val="false"/>
          <w:sz w:val="24"/>
          <w:szCs w:val="24"/>
          <w:rtl/>
        </w:rPr>
        <w:t xml:space="preserve">הפקולטה למדעי הרוח</w:t>
      </w:r>
    </w:p>
    <w:p>
      <w:pPr>
        <w:bidi/>
        <w:spacing w:after="900" w:line="360"/>
        <w:jc w:val="center"/>
      </w:pPr>
      <w:r>
        <w:rPr>
          <w:rFonts w:ascii="David" w:cs="David" w:eastAsia="David" w:hAnsi="David"/>
          <w:b w:val="false"/>
          <w:bCs w:val="false"/>
          <w:i w:val="false"/>
          <w:iCs w:val="false"/>
          <w:sz w:val="24"/>
          <w:szCs w:val="24"/>
          <w:rtl/>
        </w:rPr>
        <w:t xml:space="preserve">המחלקה לספרות משווה</w:t>
      </w:r>
    </w:p>
    <w:p>
      <w:pPr>
        <w:bidi/>
        <w:spacing w:after="0" w:line="360"/>
        <w:jc w:val="center"/>
      </w:pPr>
      <w:r>
        <w:rPr>
          <w:rFonts w:ascii="David" w:cs="David" w:eastAsia="David" w:hAnsi="David"/>
          <w:b w:val="false"/>
          <w:bCs w:val="false"/>
          <w:i w:val="false"/>
          <w:iCs w:val="false"/>
          <w:sz w:val="24"/>
          <w:szCs w:val="24"/>
          <w:rtl/>
        </w:rPr>
        <w:t xml:space="preserve">מיתוס ודרמה בגרמניה (33938)</w:t>
      </w:r>
    </w:p>
    <w:p>
      <w:pPr>
        <w:bidi/>
        <w:spacing w:after="900" w:line="360"/>
        <w:jc w:val="center"/>
      </w:pPr>
      <w:r>
        <w:rPr>
          <w:rFonts w:ascii="David" w:cs="David" w:eastAsia="David" w:hAnsi="David"/>
          <w:b w:val="false"/>
          <w:bCs w:val="false"/>
          <w:i w:val="false"/>
          <w:iCs w:val="false"/>
          <w:sz w:val="24"/>
          <w:szCs w:val="24"/>
          <w:rtl/>
        </w:rPr>
        <w:t xml:space="preserve">מרצה: פרופ' מיכל בן-חורין</w:t>
      </w:r>
    </w:p>
    <w:p>
      <w:pPr>
        <w:bidi/>
        <w:spacing w:after="120" w:line="360"/>
        <w:jc w:val="center"/>
      </w:pPr>
      <w:r>
        <w:rPr>
          <w:rFonts w:ascii="David" w:cs="David" w:eastAsia="David" w:hAnsi="David"/>
          <w:b/>
          <w:bCs/>
          <w:i w:val="false"/>
          <w:iCs w:val="false"/>
          <w:sz w:val="32"/>
          <w:szCs w:val="32"/>
          <w:rtl/>
        </w:rPr>
        <w:t xml:space="preserve">המילה במקום הדם</w:t>
      </w:r>
    </w:p>
    <w:p>
      <w:pPr>
        <w:bidi/>
        <w:spacing w:after="300" w:line="360"/>
        <w:jc w:val="center"/>
      </w:pPr>
      <w:r>
        <w:rPr>
          <w:rFonts w:ascii="David" w:cs="David" w:eastAsia="David" w:hAnsi="David"/>
          <w:b/>
          <w:bCs/>
          <w:i w:val="false"/>
          <w:iCs w:val="false"/>
          <w:sz w:val="26"/>
          <w:szCs w:val="26"/>
          <w:rtl/>
        </w:rPr>
        <w:t xml:space="preserve">מיתוס, קורבן ונאורות ב"איפיגניה בטאוריס" לגתה וב"ווייצק" לביכנר</w:t>
      </w:r>
    </w:p>
    <w:p>
      <w:pPr>
        <w:bidi/>
        <w:spacing w:after="1200" w:line="360"/>
        <w:jc w:val="center"/>
      </w:pPr>
      <w:r>
        <w:rPr>
          <w:rFonts w:ascii="David" w:cs="David" w:eastAsia="David" w:hAnsi="David"/>
          <w:b w:val="false"/>
          <w:bCs w:val="false"/>
          <w:i w:val="false"/>
          <w:iCs w:val="false"/>
          <w:sz w:val="24"/>
          <w:szCs w:val="24"/>
          <w:rtl/>
        </w:rPr>
        <w:t xml:space="preserve">עבודה מסכמת, אפשרות 2</w:t>
      </w:r>
    </w:p>
    <w:p>
      <w:pPr>
        <w:bidi/>
        <w:spacing w:after="0" w:line="360"/>
        <w:jc w:val="center"/>
      </w:pPr>
      <w:r>
        <w:rPr>
          <w:rFonts w:ascii="David" w:cs="David" w:eastAsia="David" w:hAnsi="David"/>
          <w:b w:val="false"/>
          <w:bCs w:val="false"/>
          <w:i w:val="false"/>
          <w:iCs w:val="false"/>
          <w:sz w:val="24"/>
          <w:szCs w:val="24"/>
          <w:rtl/>
        </w:rPr>
        <w:t xml:space="preserve">מגיש/ה: ____________________</w:t>
      </w:r>
    </w:p>
    <w:p>
      <w:pPr>
        <w:bidi/>
        <w:spacing w:after="400" w:line="360"/>
        <w:jc w:val="center"/>
      </w:pPr>
      <w:r>
        <w:rPr>
          <w:rFonts w:ascii="David" w:cs="David" w:eastAsia="David" w:hAnsi="David"/>
          <w:b w:val="false"/>
          <w:bCs w:val="false"/>
          <w:i w:val="false"/>
          <w:iCs w:val="false"/>
          <w:sz w:val="24"/>
          <w:szCs w:val="24"/>
          <w:rtl/>
        </w:rPr>
        <w:t xml:space="preserve">ת.ז.: ____________________</w:t>
      </w:r>
    </w:p>
    <w:p>
      <w:pPr>
        <w:bidi/>
        <w:spacing w:after="0" w:line="360"/>
        <w:jc w:val="center"/>
      </w:pPr>
      <w:r>
        <w:rPr>
          <w:rFonts w:ascii="David" w:cs="David" w:eastAsia="David" w:hAnsi="David"/>
          <w:b w:val="false"/>
          <w:bCs w:val="false"/>
          <w:i w:val="false"/>
          <w:iCs w:val="false"/>
          <w:sz w:val="24"/>
          <w:szCs w:val="24"/>
          <w:rtl/>
        </w:rPr>
        <w:t xml:space="preserve">תשפ"ו, 2026</w:t>
      </w:r>
    </w:p>
    <w:p>
      <w:r>
        <w:br w:type="page"/>
      </w:r>
    </w:p>
    <w:p>
      <w:pPr>
        <w:pStyle w:val="Heading1"/>
        <w:bidi/>
        <w:spacing w:after="120" w:before="300" w:line="360"/>
        <w:jc w:val="right"/>
      </w:pPr>
      <w:r>
        <w:rPr>
          <w:rFonts w:ascii="David" w:cs="David" w:eastAsia="David" w:hAnsi="David"/>
          <w:b/>
          <w:bCs/>
          <w:i w:val="false"/>
          <w:iCs w:val="false"/>
          <w:sz w:val="24"/>
          <w:szCs w:val="24"/>
          <w:rtl/>
        </w:rPr>
        <w:t xml:space="preserve">מבוא</w:t>
      </w:r>
    </w:p>
    <w:p>
      <w:pPr>
        <w:bidi/>
        <w:spacing w:after="0" w:line="360"/>
        <w:ind w:firstLine="453"/>
        <w:jc w:val="both"/>
      </w:pPr>
      <w:r>
        <w:rPr>
          <w:rFonts w:ascii="David" w:cs="David" w:eastAsia="David" w:hAnsi="David"/>
          <w:b w:val="false"/>
          <w:bCs w:val="false"/>
          <w:i w:val="false"/>
          <w:iCs w:val="false"/>
          <w:sz w:val="24"/>
          <w:szCs w:val="24"/>
          <w:rtl/>
        </w:rPr>
        <w:t xml:space="preserve">בתוך חודשים ספורים בשנת 2026 עלתה אנטיגונה על ארבע במות שונות בניו יורק, ושו (2026) מתארת את הנוכחות החוזרת הזאת כזרם של תאי דם לבנים הנשלח לכל מקום שבו יש זיהום. ההסבר שהיא מציעה הוא פוליטי במובהק: הטרגדיה שבה כאשר הגוף הפוליטי חולה. עבודה זו נשענת על התצפית הזאת אך משנה את כיוון השאלה. במקום לשאול מדוע חוזרים אל המיתוס, היא שואלת מהו הדבר שאליו חוזרים.</w:t>
      </w:r>
    </w:p>
    <w:p>
      <w:pPr>
        <w:bidi/>
        <w:spacing w:after="0" w:line="360"/>
        <w:ind w:firstLine="453"/>
        <w:jc w:val="both"/>
      </w:pPr>
      <w:r>
        <w:rPr>
          <w:rFonts w:ascii="David" w:cs="David" w:eastAsia="David" w:hAnsi="David"/>
          <w:b w:val="false"/>
          <w:bCs w:val="false"/>
          <w:i w:val="false"/>
          <w:iCs w:val="false"/>
          <w:sz w:val="24"/>
          <w:szCs w:val="24"/>
          <w:rtl/>
        </w:rPr>
        <w:t xml:space="preserve">שני המחזות שנבחנים כאן רחוקים זה מזה ככל שאפשר בתוך אותה תוכנית לימודים. איפיגניה בטאוריס (גתה, 1787/1981) היא דרמה קלאסיציסטית בחמש מערכות, כתובה במשקל שקול, ועלילתה לקוחה מאוריפידס. ווייצק (ביכנר, 1879/1982) הוא פרגמנט בפרוזה, עשרים ושבע תמונות קצרות שנותרו בעיזבון, ועלילתו נשענת על תיק רצח ועל חוות דעת פסיכיאטרית שהתפרסמו בגרמניה בשנות העשרים של המאה התשע-עשרה. בין השניים מפרידות כחמישים שנה, ובתוכן מתחולל שינוי בתפיסת הצורה הדרמטית עצמה (Klotz, 1960).</w:t>
      </w:r>
    </w:p>
    <w:p>
      <w:pPr>
        <w:bidi/>
        <w:spacing w:after="0" w:line="360"/>
        <w:ind w:firstLine="453"/>
        <w:jc w:val="both"/>
      </w:pPr>
      <w:r>
        <w:rPr>
          <w:rFonts w:ascii="David" w:cs="David" w:eastAsia="David" w:hAnsi="David"/>
          <w:b w:val="false"/>
          <w:bCs w:val="false"/>
          <w:i w:val="false"/>
          <w:iCs w:val="false"/>
          <w:sz w:val="24"/>
          <w:szCs w:val="24"/>
          <w:rtl/>
        </w:rPr>
        <w:t xml:space="preserve">הטענה המוצגת כאן היא שהמיתוס אינו מאגר של חומרי עלילה אלא דקדוק. מרכיביו הם חזרה, אשמה שקודמת למעשה ועוברת בירושה, קורבן שהקהילה נזקקת לו, ולשון שאין להשיב עליה. גתה נוטל חומר מיתולוגי מובהק ומפרק בעזרתו את הדקדוק הזה. ביכנר נוטל חומר תיעודי מבן זמנו ומראה שאותו דקדוק ממשיך לפעול, הפעם בשמה של התבונה הנאורה. העמדת שני המחזות זה מול זה מציגה את התנועה הכפולה שתיארו הורקהיימר ואדורנו (Horkheimer &amp; Adorno, 1944/1988), ומניבה גם קריטריון לשאלה מתי הדרמה מצליחה לעצור את הכפייה ומתי היא רק מתעדת אותה.</w:t>
      </w:r>
    </w:p>
    <w:p>
      <w:pPr>
        <w:bidi/>
        <w:spacing w:after="0" w:line="360"/>
        <w:ind w:firstLine="453"/>
        <w:jc w:val="both"/>
      </w:pPr>
      <w:r>
        <w:rPr>
          <w:rFonts w:ascii="David" w:cs="David" w:eastAsia="David" w:hAnsi="David"/>
          <w:b w:val="false"/>
          <w:bCs w:val="false"/>
          <w:i w:val="false"/>
          <w:iCs w:val="false"/>
          <w:sz w:val="24"/>
          <w:szCs w:val="24"/>
          <w:rtl/>
        </w:rPr>
        <w:t xml:space="preserve">הפרק הראשון מציג את הרשת המושגית שבאמצעותה נקראים המחזות. הפרק השני והשלישי מוקדשים לכל מחזה בנפרד, והפרק הרביעי עומד על מה שמניבה ההשוואה ביניהם.</w:t>
      </w:r>
    </w:p>
    <w:p>
      <w:pPr>
        <w:pStyle w:val="Heading1"/>
        <w:bidi/>
        <w:spacing w:after="120" w:before="300" w:line="360"/>
        <w:jc w:val="right"/>
      </w:pPr>
      <w:r>
        <w:rPr>
          <w:rFonts w:ascii="David" w:cs="David" w:eastAsia="David" w:hAnsi="David"/>
          <w:b/>
          <w:bCs/>
          <w:i w:val="false"/>
          <w:iCs w:val="false"/>
          <w:sz w:val="24"/>
          <w:szCs w:val="24"/>
          <w:rtl/>
        </w:rPr>
        <w:t xml:space="preserve">1. מיתוס, קורבן ונאורות: הרשת המושגית</w:t>
      </w:r>
    </w:p>
    <w:p>
      <w:pPr>
        <w:bidi/>
        <w:spacing w:after="0" w:line="360"/>
        <w:ind w:firstLine="453"/>
        <w:jc w:val="both"/>
      </w:pPr>
      <w:r>
        <w:rPr>
          <w:rFonts w:ascii="David" w:cs="David" w:eastAsia="David" w:hAnsi="David"/>
          <w:b w:val="false"/>
          <w:bCs w:val="false"/>
          <w:i w:val="false"/>
          <w:iCs w:val="false"/>
          <w:sz w:val="24"/>
          <w:szCs w:val="24"/>
          <w:rtl/>
        </w:rPr>
        <w:t xml:space="preserve">בלומנברג (Blumenberg, 1979) מציע לראות במיתוס לא את ניגודו של הלוגוס אלא תהליך נמשך של עבודה. עצם סיפורו החוזר של הסיפור, בגרסאות מתחרות ובהקשרים מתחלפים, מפחית בהדרגה את כוחו של המוחלט. מנקודת המבט הזאת הדרמה היא בית מלאכה של עבודה כזאת, והשאלה שיש לשאול על כל מחזה היא מה בדיוק הוא עושה לחומר שהוא מקבל.</w:t>
      </w:r>
    </w:p>
    <w:p>
      <w:pPr>
        <w:bidi/>
        <w:spacing w:after="0" w:line="360"/>
        <w:ind w:firstLine="453"/>
        <w:jc w:val="both"/>
      </w:pPr>
      <w:r>
        <w:rPr>
          <w:rFonts w:ascii="David" w:cs="David" w:eastAsia="David" w:hAnsi="David"/>
          <w:b w:val="false"/>
          <w:bCs w:val="false"/>
          <w:i w:val="false"/>
          <w:iCs w:val="false"/>
          <w:sz w:val="24"/>
          <w:szCs w:val="24"/>
          <w:rtl/>
        </w:rPr>
        <w:t xml:space="preserve">הורקהיימר ואדורנו (Horkheimer &amp; Adorno, 1944/1988) הוסיפו לכך תנועה כפולה. המיתוס נושא כבר בחובו את הדחף להסביר ולשלוט, ולכן הוא כבר נאורות. התבונה המכשירית, מצדה, חוזרת ונקרשת לטבע שני שאין להתווכח איתו, ולכן היא חוזרת ונהפכת למיתולוגיה. בנימין (1996) תיאר את הצד המשפטי של אותו מבנה כשהצביע על האלימות שמכוננת חוק ומטילה אשמה, ועל הגורל כקשר האשמה של החי. ז'יראר (Girard, 1972) הצביע על המנגנון: הקורבן ממיר אלימות שרירותית לסדר, וכוחו תלוי בכך שהקהילה לא תזהה את שרירותיותו.</w:t>
      </w:r>
    </w:p>
    <w:p>
      <w:pPr>
        <w:bidi/>
        <w:spacing w:after="0" w:line="360"/>
        <w:ind w:firstLine="453"/>
        <w:jc w:val="both"/>
      </w:pPr>
      <w:r>
        <w:rPr>
          <w:rFonts w:ascii="David" w:cs="David" w:eastAsia="David" w:hAnsi="David"/>
          <w:b w:val="false"/>
          <w:bCs w:val="false"/>
          <w:i w:val="false"/>
          <w:iCs w:val="false"/>
          <w:sz w:val="24"/>
          <w:szCs w:val="24"/>
          <w:rtl/>
        </w:rPr>
        <w:t xml:space="preserve">משלוש ההצעות האלה אפשר לגזור סימני היכר תפעוליים למיתי בדרמה. הראשון הוא חזרה ואשמה מורשת. השני הוא קורבן שמעמדו בקהילה פנימי וחיצוני בעת ובעונה אחת. השלישי, והוא החשוב לענייננו, הוא לשון שאין להשיב עליה: אורקל, שיר, קול, אבחנה. לכך מצטרפת ההנחה הברכטיאנית (Brecht, 1964) שהמיתוס מסוכן דווקא כשהוא נצרך כטבע, ושמלאכת התיאטרון היא להחזיר לו את זרותו. הניכור המימטי, כפי שנדון בשיעורי הקורס (בן-חורין, 2025), אינו טכניקה בימתית בלבד אלא עמדה ביחס לשאלה אם הצופה רשאי להזדהות עם מה שמוצג לפניו.</w:t>
      </w:r>
    </w:p>
    <w:p>
      <w:pPr>
        <w:pStyle w:val="Heading1"/>
        <w:bidi/>
        <w:spacing w:after="120" w:before="300" w:line="360"/>
        <w:jc w:val="right"/>
      </w:pPr>
      <w:r>
        <w:rPr>
          <w:rFonts w:ascii="David" w:cs="David" w:eastAsia="David" w:hAnsi="David"/>
          <w:b/>
          <w:bCs/>
          <w:i w:val="false"/>
          <w:iCs w:val="false"/>
          <w:sz w:val="24"/>
          <w:szCs w:val="24"/>
          <w:rtl/>
        </w:rPr>
        <w:t xml:space="preserve">2. "איפיגניה בטאוריס": המיתוס כטקסט שמצטטים אותו</w:t>
      </w:r>
    </w:p>
    <w:p>
      <w:pPr>
        <w:pStyle w:val="Heading2"/>
        <w:bidi/>
        <w:spacing w:after="100" w:before="220" w:line="360"/>
        <w:jc w:val="right"/>
      </w:pPr>
      <w:r>
        <w:rPr>
          <w:rFonts w:ascii="David" w:cs="David" w:eastAsia="David" w:hAnsi="David"/>
          <w:b/>
          <w:bCs/>
          <w:i w:val="false"/>
          <w:iCs w:val="false"/>
          <w:sz w:val="24"/>
          <w:szCs w:val="24"/>
          <w:rtl/>
        </w:rPr>
        <w:t xml:space="preserve">2.1 הניצולה בעמדת הכוהנת</w:t>
      </w:r>
    </w:p>
    <w:p>
      <w:pPr>
        <w:bidi/>
        <w:spacing w:after="0" w:line="360"/>
        <w:ind w:firstLine="453"/>
        <w:jc w:val="both"/>
      </w:pPr>
      <w:r>
        <w:rPr>
          <w:rFonts w:ascii="David" w:cs="David" w:eastAsia="David" w:hAnsi="David"/>
          <w:b w:val="false"/>
          <w:bCs w:val="false"/>
          <w:i w:val="false"/>
          <w:iCs w:val="false"/>
          <w:sz w:val="24"/>
          <w:szCs w:val="24"/>
          <w:rtl/>
        </w:rPr>
        <w:t xml:space="preserve">המחזה נפתח במי ששרדה את הקורבן. איפיגניה, שנועדה לשחיטה באאוליס וניצלה בידי דיאנה, משמשת עתה כוהנת בפולחן שנוהג להקריב זרים. הניצולה הוצבה ליד המזבח, ומבנה ההקרבה לא בוטל אלא הושהה בלבד. ארקס מזכיר לה מי "בטל במתק שפתותיו / שנה שנה את נהג הקדומים / האכזרי, כי על מזבח דיאנה / יגר דמו של כל איש זר למות" (גתה, 1787/1981, עמ' 12, שו' ‎123-126‎). ההישג מיוחס לשפה ולא לכוח, וזו הצהרת כוונות פואטית של המחזה כולו. ההשהיה שברירית: ברגע שתואס נתקל בסירוב הוא מחזיר את הפולחן על כנו (עמ' 31, שו' ‎535-537‎). הקורבן איננו עבר. הוא אפשרות פוליטית זמינה.</w:t>
      </w:r>
    </w:p>
    <w:p>
      <w:pPr>
        <w:bidi/>
        <w:spacing w:after="0" w:line="360"/>
        <w:ind w:firstLine="453"/>
        <w:jc w:val="both"/>
      </w:pPr>
      <w:r>
        <w:rPr>
          <w:rFonts w:ascii="David" w:cs="David" w:eastAsia="David" w:hAnsi="David"/>
          <w:b w:val="false"/>
          <w:bCs w:val="false"/>
          <w:i w:val="false"/>
          <w:iCs w:val="false"/>
          <w:sz w:val="24"/>
          <w:szCs w:val="24"/>
          <w:rtl/>
        </w:rPr>
        <w:t xml:space="preserve">המונולוג הפותח מציג גם את מחיר המקלט. איפיגניה מודה שאינה עובדת את האלה "בלב שלם" (עמ' 8, שו' ‎33-34‎), ומבקשת מן האלה שפדתה אותה מן המוות לפדות אותה גם מן החיים שנכפו עליה (עמ' 9, שו' ‎51-52‎). המשפט הכללי שהיא גוזרת מנסיונה, "עד מה צרים תחומי גורל אשה" (עמ' 8, שו' 28), יחזור ויעמוד במרכז המערכה החמישית.</w:t>
      </w:r>
    </w:p>
    <w:p>
      <w:pPr>
        <w:pStyle w:val="Heading2"/>
        <w:bidi/>
        <w:spacing w:after="100" w:before="220" w:line="360"/>
        <w:jc w:val="right"/>
      </w:pPr>
      <w:r>
        <w:rPr>
          <w:rFonts w:ascii="David" w:cs="David" w:eastAsia="David" w:hAnsi="David"/>
          <w:b/>
          <w:bCs/>
          <w:i w:val="false"/>
          <w:iCs w:val="false"/>
          <w:sz w:val="24"/>
          <w:szCs w:val="24"/>
          <w:rtl/>
        </w:rPr>
        <w:t xml:space="preserve">2.2 סיפור בית טנטלוס: המיתוס מוצג כמסירה</w:t>
      </w:r>
    </w:p>
    <w:p>
      <w:pPr>
        <w:bidi/>
        <w:spacing w:after="0" w:line="360"/>
        <w:ind w:firstLine="453"/>
        <w:jc w:val="both"/>
      </w:pPr>
      <w:r>
        <w:rPr>
          <w:rFonts w:ascii="David" w:cs="David" w:eastAsia="David" w:hAnsi="David"/>
          <w:b w:val="false"/>
          <w:bCs w:val="false"/>
          <w:i w:val="false"/>
          <w:iCs w:val="false"/>
          <w:sz w:val="24"/>
          <w:szCs w:val="24"/>
          <w:rtl/>
        </w:rPr>
        <w:t xml:space="preserve">המהלך הראשון והחשוב של גתה הוא הכנסת המיתוס אל תוך המחזה כסיפור מסופר. איפיגניה מגוללת באוזני תואס את תולדות בית טנטלוס (עמ' ‎21-25‎, שו' ‎306-400‎), ולא כרקע שהקהל אמור להכיר מראש אלא כנאום שיש לו תכלית רטורית, להרתיע את המלך מרעיון הנישואים. בתוך הסיפור משובצת ביקורת על האלים עצמם: "אולם אל לאלים לנהוג / בבני-תמותה כמו בשווים להם" (עמ' 21, שו' ‎315-316‎). הקללה מוסברת כאי-מידתיות של כוח, לא כצדק. חשובה מכך ההסתייגות "ומשוררים אמרו" (עמ' 22, שו' 323), שמציגה את המיתוס כמסירה שיש לה מוסרים ואינטרסים. זוהי בדיוק הפחתת הכוח שבלומנברג (Blumenberg, 1979) מתאר: המוחלט מתרכך ברגע שהוא הופך למשהו שמישהו מספר למישהו אחר ולמטרה מסוימת.</w:t>
      </w:r>
    </w:p>
    <w:p>
      <w:pPr>
        <w:pStyle w:val="Heading2"/>
        <w:bidi/>
        <w:spacing w:after="100" w:before="220" w:line="360"/>
        <w:jc w:val="right"/>
      </w:pPr>
      <w:r>
        <w:rPr>
          <w:rFonts w:ascii="David" w:cs="David" w:eastAsia="David" w:hAnsi="David"/>
          <w:b/>
          <w:bCs/>
          <w:i w:val="false"/>
          <w:iCs w:val="false"/>
          <w:sz w:val="24"/>
          <w:szCs w:val="24"/>
          <w:rtl/>
        </w:rPr>
        <w:t xml:space="preserve">2.3 ריפוי בפנייה, ושיר שאין להשיב עליו</w:t>
      </w:r>
    </w:p>
    <w:p>
      <w:pPr>
        <w:bidi/>
        <w:spacing w:after="0" w:line="360"/>
        <w:ind w:firstLine="453"/>
        <w:jc w:val="both"/>
      </w:pPr>
      <w:r>
        <w:rPr>
          <w:rFonts w:ascii="David" w:cs="David" w:eastAsia="David" w:hAnsi="David"/>
          <w:b w:val="false"/>
          <w:bCs w:val="false"/>
          <w:i w:val="false"/>
          <w:iCs w:val="false"/>
          <w:sz w:val="24"/>
          <w:szCs w:val="24"/>
          <w:rtl/>
        </w:rPr>
        <w:t xml:space="preserve">במערכה השלישית הופכת הקללה לתסמין. האריניות של אורסטס מובאות כהזיה ולא כדמויות, והריפוי מתרחש לא בבית דין, שכן גתה מוותר על האראופגוס האייסכילי, אלא ברגע של פנייה: "הכר, אורסטס, איפיגניה אני! / אני חיה!" (גתה, 1787/1981, עמ' 61, שו' ‎1173-1174‎). תשובתו של אורסטס, "האת?", היא כל מה שנדרש כדי שהשרשרת תיעצר. במונחיו של בנימין (1996), מה שמפסיק את קשר האשמה אינו חוק חדש אלא הכרה בין שניים. כאן גם נקודת התורפה של הפתרון, משום שהוא בין-אישי ולכן אינו ניתן להכללה מוסדית.</w:t>
      </w:r>
    </w:p>
    <w:p>
      <w:pPr>
        <w:bidi/>
        <w:spacing w:after="0" w:line="360"/>
        <w:ind w:firstLine="453"/>
        <w:jc w:val="both"/>
      </w:pPr>
      <w:r>
        <w:rPr>
          <w:rFonts w:ascii="David" w:cs="David" w:eastAsia="David" w:hAnsi="David"/>
          <w:b w:val="false"/>
          <w:bCs w:val="false"/>
          <w:i w:val="false"/>
          <w:iCs w:val="false"/>
          <w:sz w:val="24"/>
          <w:szCs w:val="24"/>
          <w:rtl/>
        </w:rPr>
        <w:t xml:space="preserve">בסוף המערכה הרביעית חוזר המיתוס במלוא כוחו, ודווקא בשינוי משקל. איפיגניה נזכרת בשיר הפרקות ששרה לה אומנתה (עמ' ‎88-89‎, שו' ‎1726-1766‎): "מורא האלים על / לב האדם! / ידם הרודה בו / ממנו לא חרד, / יוכלו לעשות בו / כטוב בעיניהם" (עמ' 88, שו' ‎1726-1731‎). האלים משחקים באדם, הטיטנים מוטלים בתהום, והסב הגולה מקשיב בלילה ונד בראשו (עמ' 89, שו' 1766). הצורה הסגורה פותחת כאן חלון אל מה שהיא מדירה. אדורנו (Adorno, 1974) טען שהקלאסיציזם של גתה אינו מתגבר על המיתוס אלא מעמיד את היצירה על הסף שבינו לבין הנאורות, ושמחיר ההומניות נגבה מן הדמות שעליה היא מוטלת. שיר הפרקות הוא הראיה הטקסטואלית לטענה, משום שהמחזה חייב לצטט את קולו של המיתוס במלואו כדי שיהיה לו למה להשיב.</w:t>
      </w:r>
    </w:p>
    <w:p>
      <w:pPr>
        <w:pStyle w:val="Heading2"/>
        <w:bidi/>
        <w:spacing w:after="100" w:before="220" w:line="360"/>
        <w:jc w:val="right"/>
      </w:pPr>
      <w:r>
        <w:rPr>
          <w:rFonts w:ascii="David" w:cs="David" w:eastAsia="David" w:hAnsi="David"/>
          <w:b/>
          <w:bCs/>
          <w:i w:val="false"/>
          <w:iCs w:val="false"/>
          <w:sz w:val="24"/>
          <w:szCs w:val="24"/>
          <w:rtl/>
        </w:rPr>
        <w:t xml:space="preserve">2.4 האמת כמעשה, והסיום כוויתור</w:t>
      </w:r>
    </w:p>
    <w:p>
      <w:pPr>
        <w:bidi/>
        <w:spacing w:after="0" w:line="360"/>
        <w:ind w:firstLine="453"/>
        <w:jc w:val="both"/>
      </w:pPr>
      <w:r>
        <w:rPr>
          <w:rFonts w:ascii="David" w:cs="David" w:eastAsia="David" w:hAnsi="David"/>
          <w:b w:val="false"/>
          <w:bCs w:val="false"/>
          <w:i w:val="false"/>
          <w:iCs w:val="false"/>
          <w:sz w:val="24"/>
          <w:szCs w:val="24"/>
          <w:rtl/>
        </w:rPr>
        <w:t xml:space="preserve">התשובה ניתנת במערכה החמישית. פילדס מציע פתרון מכשירי, תחבולה וגניבת הפסל, ומנמק אותו כך: "לא לנו המלאכה לשפט עצמנו: / ראש תפקידיו של האדם לפעל" (גתה, 1787/1981, עמ' 85, שו' ‎1660-1661‎). זוהי העורמה שהורקהיימר ואדורנו (Horkheimer &amp; Adorno, 1944/1988) מזהים כדרכו של הסובייקט הנאור להיחלץ מן המיתוס בלי לצאת מכלליו. איפיגניה מסרבת ומגלה לתואס את האמת, תוך שהיא מעמידה על כף אחת את חיי שלושתם. הסירוב הזה הוא גם סירוב תיאטרוני. מי שהוצע לה תפקיד לשחק מודיעה שמעולם לא הסכינה להיכנע ללשון עתק ולתוכחות של גבר (עמ' 93, שו' ‎1827-1830‎). פרדוקס השחקן, שנדון בקורס בהקשר של קלייסט (בן-חורין, 2025), מתהפך כאן: על הבמה של גתה דווקא אי-היכולת לשחק היא שמייצרת את הפעולה.</w:t>
      </w:r>
    </w:p>
    <w:p>
      <w:pPr>
        <w:bidi/>
        <w:spacing w:after="0" w:line="360"/>
        <w:ind w:firstLine="453"/>
        <w:jc w:val="both"/>
      </w:pPr>
      <w:r>
        <w:rPr>
          <w:rFonts w:ascii="David" w:cs="David" w:eastAsia="David" w:hAnsi="David"/>
          <w:b w:val="false"/>
          <w:bCs w:val="false"/>
          <w:i w:val="false"/>
          <w:iCs w:val="false"/>
          <w:sz w:val="24"/>
          <w:szCs w:val="24"/>
          <w:rtl/>
        </w:rPr>
        <w:t xml:space="preserve">משפט המפתח של הסצנה, "אני חפשית נולדת כגבר" (עמ' 94, שו' 1858), מנוסח על רקע ביוגרפיה של ציות, שהרי איפיגניה פותחת בהודאה "מילדות למדתי משמעת" (עמ' 93, שו' 1824), ומיד לאחריו היא מודה שאין בידה דבר מלבד הגורל, בעוד שבנו של אגממנון היה יכול להשיב בחרב. החירות מוצהרת ומותנית באותה נשימה. גם ההקרבה אינה מבוטלת אלא מופנמת: "המוות הוא? אם כן, אותי תחלה" (עמ' 98, שו' ‎1944-1945‎). הפתרון עובד משום שהקורבן מציע את עצמו מרצון.</w:t>
      </w:r>
    </w:p>
    <w:p>
      <w:pPr>
        <w:bidi/>
        <w:spacing w:after="0" w:line="360"/>
        <w:ind w:firstLine="453"/>
        <w:jc w:val="both"/>
      </w:pPr>
      <w:r>
        <w:rPr>
          <w:rFonts w:ascii="David" w:cs="David" w:eastAsia="David" w:hAnsi="David"/>
          <w:b w:val="false"/>
          <w:bCs w:val="false"/>
          <w:i w:val="false"/>
          <w:iCs w:val="false"/>
          <w:sz w:val="24"/>
          <w:szCs w:val="24"/>
          <w:rtl/>
        </w:rPr>
        <w:t xml:space="preserve">המחזה נחתם בשתי מחוות. הראשונה פרשנית. האורקל, שנדמה היה שהוא מצווה להביא את האחות, כלומר את פסל האלה, מתפרש מחדש ככוונה לאחותו של אורסטס (עמ' 107, שו' ‎2110-2116‎). המיתוס אינו מופרך אלא נקרא מחדש, ובכך מסתיימת עבודה על המיתוס ולא ניצחון עליו. השנייה פוליטית. תואס מוותר, ושתי המילים "היו שלום" (עמ' 110, שו' 2174) נושאות את כל האוטופיה של המחזה. אין כאן חוק, אין מוסד ואין ערובה, אלא רצונו הטוב של מי שהחרב בידו.</w:t>
      </w:r>
    </w:p>
    <w:p>
      <w:pPr>
        <w:pStyle w:val="Heading1"/>
        <w:bidi/>
        <w:spacing w:after="120" w:before="300" w:line="360"/>
        <w:jc w:val="right"/>
      </w:pPr>
      <w:r>
        <w:rPr>
          <w:rFonts w:ascii="David" w:cs="David" w:eastAsia="David" w:hAnsi="David"/>
          <w:b/>
          <w:bCs/>
          <w:i w:val="false"/>
          <w:iCs w:val="false"/>
          <w:sz w:val="24"/>
          <w:szCs w:val="24"/>
          <w:rtl/>
        </w:rPr>
        <w:t xml:space="preserve">3. "ווייצק": הנאורות בלבוש מיתוס</w:t>
      </w:r>
    </w:p>
    <w:p>
      <w:pPr>
        <w:pStyle w:val="Heading2"/>
        <w:bidi/>
        <w:spacing w:after="100" w:before="220" w:line="360"/>
        <w:jc w:val="right"/>
      </w:pPr>
      <w:r>
        <w:rPr>
          <w:rFonts w:ascii="David" w:cs="David" w:eastAsia="David" w:hAnsi="David"/>
          <w:b/>
          <w:bCs/>
          <w:i w:val="false"/>
          <w:iCs w:val="false"/>
          <w:sz w:val="24"/>
          <w:szCs w:val="24"/>
          <w:rtl/>
        </w:rPr>
        <w:t xml:space="preserve">3.1 עולם בלי מוסרים</w:t>
      </w:r>
    </w:p>
    <w:p>
      <w:pPr>
        <w:bidi/>
        <w:spacing w:after="0" w:line="360"/>
        <w:ind w:firstLine="453"/>
        <w:jc w:val="both"/>
      </w:pPr>
      <w:r>
        <w:rPr>
          <w:rFonts w:ascii="David" w:cs="David" w:eastAsia="David" w:hAnsi="David"/>
          <w:b w:val="false"/>
          <w:bCs w:val="false"/>
          <w:i w:val="false"/>
          <w:iCs w:val="false"/>
          <w:sz w:val="24"/>
          <w:szCs w:val="24"/>
          <w:rtl/>
        </w:rPr>
        <w:t xml:space="preserve">ביכנר פותח במקום שגתה מסיים בו, אלא שגיבורו הוא אדם שאין לו מילים. בתמונה הראשונה מגלה ווייצק שהאדמה חלולה, מדבר על הבונים החופשיים ורואה "אש מן השמיים וקול גדול כקול השופר" (ביכנר, 1879/1982, עמ' 27). אוצר המילים אפוקליפטי, אבל אין לו קהילה שתאשרר אותו. אנדרס משיב "אני מפחד" וממשיך לשיר. מה שאצל גתה היה מסירה תרבותית הוא כאן תסמין פרטי, והמיתוס שאיבד את מוסריו איבד גם את היכולת להתפרש.</w:t>
      </w:r>
    </w:p>
    <w:p>
      <w:pPr>
        <w:pStyle w:val="Heading2"/>
        <w:bidi/>
        <w:spacing w:after="100" w:before="220" w:line="360"/>
        <w:jc w:val="right"/>
      </w:pPr>
      <w:r>
        <w:rPr>
          <w:rFonts w:ascii="David" w:cs="David" w:eastAsia="David" w:hAnsi="David"/>
          <w:b/>
          <w:bCs/>
          <w:i w:val="false"/>
          <w:iCs w:val="false"/>
          <w:sz w:val="24"/>
          <w:szCs w:val="24"/>
          <w:rtl/>
        </w:rPr>
        <w:t xml:space="preserve">3.2 היריד: הגבול בין טבע לתרבות כמופע בתשלום</w:t>
      </w:r>
    </w:p>
    <w:p>
      <w:pPr>
        <w:bidi/>
        <w:spacing w:after="0" w:line="360"/>
        <w:ind w:firstLine="453"/>
        <w:jc w:val="both"/>
      </w:pPr>
      <w:r>
        <w:rPr>
          <w:rFonts w:ascii="David" w:cs="David" w:eastAsia="David" w:hAnsi="David"/>
          <w:b w:val="false"/>
          <w:bCs w:val="false"/>
          <w:i w:val="false"/>
          <w:iCs w:val="false"/>
          <w:sz w:val="24"/>
          <w:szCs w:val="24"/>
          <w:rtl/>
        </w:rPr>
        <w:t xml:space="preserve">התמונה השלישית היא הצהרה תיאורטית מוסווית. הכרוז מציג לקהל את הקוף שהולך זקוף במעיל ובחרב, ופותח במילים "ראו את הבריאה כמו שברא אותה אלוהים: כלום, לא כלום. עכשיו תראו את האמנות" (ביכנר, 1879/1982, עמ' 31). בהמשך הוא מוסיף כי "הבהמה היא עוד טבע, טבע בלתי אידיאלי" וקורא לצופים "בן-אדם, היה טבעי! נוצרת מעפר, חול ורפש" (עמ' 33). הגבול שבו השתמשה הנאורות כדי להגדיר את האדם מוצג כלהטוט יריד שגובים עליו כסף. זהו ניכור מימטי לפני זמנו (Brecht, 1964): המימזיס עצמו מועלה על הבמה כחיקוי מסחרי, והצופה נדרש לשאול מה מפריד בינו לבין הבהמה הלבושה, ומי מרוויח מן ההפרדה.</w:t>
      </w:r>
    </w:p>
    <w:p>
      <w:pPr>
        <w:pStyle w:val="Heading2"/>
        <w:bidi/>
        <w:spacing w:after="100" w:before="220" w:line="360"/>
        <w:jc w:val="right"/>
      </w:pPr>
      <w:r>
        <w:rPr>
          <w:rFonts w:ascii="David" w:cs="David" w:eastAsia="David" w:hAnsi="David"/>
          <w:b/>
          <w:bCs/>
          <w:i w:val="false"/>
          <w:iCs w:val="false"/>
          <w:sz w:val="24"/>
          <w:szCs w:val="24"/>
          <w:rtl/>
        </w:rPr>
        <w:t xml:space="preserve">3.3 הרופא והסרן: שתי רשויות מיתיות</w:t>
      </w:r>
    </w:p>
    <w:p>
      <w:pPr>
        <w:bidi/>
        <w:spacing w:after="0" w:line="360"/>
        <w:ind w:firstLine="453"/>
        <w:jc w:val="both"/>
      </w:pPr>
      <w:r>
        <w:rPr>
          <w:rFonts w:ascii="David" w:cs="David" w:eastAsia="David" w:hAnsi="David"/>
          <w:b w:val="false"/>
          <w:bCs w:val="false"/>
          <w:i w:val="false"/>
          <w:iCs w:val="false"/>
          <w:sz w:val="24"/>
          <w:szCs w:val="24"/>
          <w:rtl/>
        </w:rPr>
        <w:t xml:space="preserve">המדע והמוסר תופסים במחזה את מקום האורקל והפולחן. הרופא מכריז כי "האדם הוא בן-חורין, באדם מזדככת האינדיבידואליות לדרגת חירות" (ביכנר, 1879/1982, עמ' 41), ואומר זאת לאדם שהוא מרעיב בדיאטת אפונה. מיד לאחר מכן הוא ממחיר את הדברים ומבטיח "תקבל תוספת שכר" (עמ' 42). החירות מוזכרת בדיוק ברגע שבו הגוף מוכיח שאיננה קיימת. בתמונה השמונה-עשרה מוצג ווייצק לסטודנטים כהמחשה ל"שאלה החשובה של היחס בין הסובייקט לאובייקט" (עמ' 58). השעיר לעזאזל שתיאר ז'יראר (Girard, 1972) הומר כאן בחיית מעבדה, והקהילה שצורכת את הקורבן היא האקדמיה.</w:t>
      </w:r>
    </w:p>
    <w:p>
      <w:pPr>
        <w:bidi/>
        <w:spacing w:after="0" w:line="360"/>
        <w:ind w:firstLine="453"/>
        <w:jc w:val="both"/>
      </w:pPr>
      <w:r>
        <w:rPr>
          <w:rFonts w:ascii="David" w:cs="David" w:eastAsia="David" w:hAnsi="David"/>
          <w:b w:val="false"/>
          <w:bCs w:val="false"/>
          <w:i w:val="false"/>
          <w:iCs w:val="false"/>
          <w:sz w:val="24"/>
          <w:szCs w:val="24"/>
          <w:rtl/>
        </w:rPr>
        <w:t xml:space="preserve">הסרן מספק את החצי המשלים. בשיחה על מידות טובות משיב לו ווייצק: "אנחנו, פשוטי העם, אין לנו מידות טובות, רק מה שבא ככה מהטבע, אבל לו הייתי אדון והיה לי מגבעת ושעון ומעיל [...] אבל אני סתם אחד עני" (ביכנר, 1879/1982, עמ' 38). המוסר מתגלה כנכס מעמדי, והטבע מתגלה כשם שנותנים לאילוץ הכלכלי. הבטחות המאה, חירות ומוסר וטבע, פועלות כאן כפי שפועל אורקל בטרגדיה, כלשון שאין להשיב עליה, שמקצה לאדם מקום ומייצרת אשמה. זו הנקודה שבה הנאורות חוזרת ונהפכת למיתולוגיה (Horkheimer &amp; Adorno, 1944/1988), לא כמטפורה אלא כתיאור בימתי.</w:t>
      </w:r>
    </w:p>
    <w:p>
      <w:pPr>
        <w:pStyle w:val="Heading2"/>
        <w:bidi/>
        <w:spacing w:after="100" w:before="220" w:line="360"/>
        <w:jc w:val="right"/>
      </w:pPr>
      <w:r>
        <w:rPr>
          <w:rFonts w:ascii="David" w:cs="David" w:eastAsia="David" w:hAnsi="David"/>
          <w:b/>
          <w:bCs/>
          <w:i w:val="false"/>
          <w:iCs w:val="false"/>
          <w:sz w:val="24"/>
          <w:szCs w:val="24"/>
          <w:rtl/>
        </w:rPr>
        <w:t xml:space="preserve">3.4 הקולות, אגדת הסבתא והרצח</w:t>
      </w:r>
    </w:p>
    <w:p>
      <w:pPr>
        <w:bidi/>
        <w:spacing w:after="0" w:line="360"/>
        <w:ind w:firstLine="453"/>
        <w:jc w:val="both"/>
      </w:pPr>
      <w:r>
        <w:rPr>
          <w:rFonts w:ascii="David" w:cs="David" w:eastAsia="David" w:hAnsi="David"/>
          <w:b w:val="false"/>
          <w:bCs w:val="false"/>
          <w:i w:val="false"/>
          <w:iCs w:val="false"/>
          <w:sz w:val="24"/>
          <w:szCs w:val="24"/>
          <w:rtl/>
        </w:rPr>
        <w:t xml:space="preserve">בתמונה השתים-עשרה שומע ווייצק את הצו "דקור, דקור למות" (ביכנר, 1879/1982, עמ' 52). הקול הזה מקביל לאריניות, אלא שאורסטס נגאל מהן ברגע שאחותו פונה אליו בשמו, ואילו אל ווייצק איש אינו פונה. כל דיבור המופנה אליו הוא פקודה, הרצאה או בדיחה. השפה במחזה מתפרקת לציוויים ולחזרות, והפסוקים מן המקרא נמצאים תמיד בפיהם של אחרים. בתמונה התשע-עשרה מספרת הסבתא לילדים סיפור בריאה הפוך:</w:t>
      </w:r>
    </w:p>
    <w:p>
      <w:pPr>
        <w:bidi/>
        <w:spacing w:after="120" w:before="120" w:line="360"/>
        <w:ind w:right="708"/>
        <w:jc w:val="both"/>
      </w:pPr>
      <w:r>
        <w:rPr>
          <w:rFonts w:ascii="David" w:cs="David" w:eastAsia="David" w:hAnsi="David"/>
          <w:b w:val="false"/>
          <w:bCs w:val="false"/>
          <w:i w:val="false"/>
          <w:iCs w:val="false"/>
          <w:sz w:val="24"/>
          <w:szCs w:val="24"/>
          <w:rtl/>
        </w:rPr>
        <w:t xml:space="preserve">היה היתה ילדה ענייה ולא היה לה אבא ולא היתה לה אמא והכל מת ולא נשאר איש בעולם [...] וכשהגיעה סוף-סוף לירח, היה הירח גזר עץ רקוב, ואז הלכה לשמש, וכשהגיעה היתה השמש חמנית נבולה [...] וכשרצתה לחזור לאדמה, היתה האדמה סיר הפוך, והיא היתה לבדה, ואז ישבה ובכתה, והיא יושבת עד היום הזה, והיא לבדה לבדה. (ביכנר, 1879/1982, עמ' ‎60-61‎)</w:t>
      </w:r>
    </w:p>
    <w:p>
      <w:pPr>
        <w:bidi/>
        <w:spacing w:after="0" w:line="360"/>
        <w:ind w:firstLine="453"/>
        <w:jc w:val="both"/>
      </w:pPr>
      <w:r>
        <w:rPr>
          <w:rFonts w:ascii="David" w:cs="David" w:eastAsia="David" w:hAnsi="David"/>
          <w:b w:val="false"/>
          <w:bCs w:val="false"/>
          <w:i w:val="false"/>
          <w:iCs w:val="false"/>
          <w:sz w:val="24"/>
          <w:szCs w:val="24"/>
          <w:rtl/>
        </w:rPr>
        <w:t xml:space="preserve">מיד לאחר מכן נכנס ווייצק ולוקח את מאריה אל האגם. את הסיום מסכם שמש בית-הדין במילים "רצח טוב, רצח אמיתי, רצח יפה, יפה כמו שאפשר לדרוש. לא היה לנו כזה מזמן" (עמ' 70). האלימות אינה רק מוסדרת בדיעבד, היא נצרכת כהנאה, והביורוקרטיה מדרגת אותה כיצירת אמנות. השורה הזאת היא ביקורת המחזה על התיאטרון עצמו ועל הצופה בו.</w:t>
      </w:r>
    </w:p>
    <w:p>
      <w:pPr>
        <w:pStyle w:val="Heading2"/>
        <w:bidi/>
        <w:spacing w:after="100" w:before="220" w:line="360"/>
        <w:jc w:val="right"/>
      </w:pPr>
      <w:r>
        <w:rPr>
          <w:rFonts w:ascii="David" w:cs="David" w:eastAsia="David" w:hAnsi="David"/>
          <w:b/>
          <w:bCs/>
          <w:i w:val="false"/>
          <w:iCs w:val="false"/>
          <w:sz w:val="24"/>
          <w:szCs w:val="24"/>
          <w:rtl/>
        </w:rPr>
        <w:t xml:space="preserve">3.5 הצורה כטענה</w:t>
      </w:r>
    </w:p>
    <w:p>
      <w:pPr>
        <w:bidi/>
        <w:spacing w:after="0" w:line="360"/>
        <w:ind w:firstLine="453"/>
        <w:jc w:val="both"/>
      </w:pPr>
      <w:r>
        <w:rPr>
          <w:rFonts w:ascii="David" w:cs="David" w:eastAsia="David" w:hAnsi="David"/>
          <w:b w:val="false"/>
          <w:bCs w:val="false"/>
          <w:i w:val="false"/>
          <w:iCs w:val="false"/>
          <w:sz w:val="24"/>
          <w:szCs w:val="24"/>
          <w:rtl/>
        </w:rPr>
        <w:t xml:space="preserve">עשרים ושבע תמונות קצרות, בלי אקספוזיציה מחייבת, בלי סדר מקובע ובלי סיום. ווייצק אינו רק מחזה שלא הושלם, אלא מחזה שאי-השלמתו תואמת את טענתו. קלוץ (Klotz, 1960) העמיד את שתי היצירות הנדונות כאן כדגמים נגדיים של הצורה הסגורה והצורה הפתוחה, ואפשר להוסיף שההבדל אינו טכני. הצורה הסגורה מניחה שאפשר לכנס את העולם בטוטליות מפויסת, כלומר שאפשר לסיים את המיתוס. הצורה הפתוחה מניחה שאי אפשר, כל עוד התנאים נמשכים. גם גורלו של הטקסט מצטרף לטענה: הפרגמנט פורסם לראשונה ב-1879, ובמשך עשורים נודע בשם שגוי שנבע מקריאה מוטעית בכתב היד, ובכורתו הבימתית התקיימה רק ב-1913 (Patterson, 1990; Williams &amp; Hamburger, 2008). המחזה שתיאר את מי שאין מי שיענה לו נאלץ להמתין שמונים שנה לתשובה.</w:t>
      </w:r>
    </w:p>
    <w:p>
      <w:pPr>
        <w:pStyle w:val="Heading1"/>
        <w:bidi/>
        <w:spacing w:after="120" w:before="300" w:line="360"/>
        <w:jc w:val="right"/>
      </w:pPr>
      <w:r>
        <w:rPr>
          <w:rFonts w:ascii="David" w:cs="David" w:eastAsia="David" w:hAnsi="David"/>
          <w:b/>
          <w:bCs/>
          <w:i w:val="false"/>
          <w:iCs w:val="false"/>
          <w:sz w:val="24"/>
          <w:szCs w:val="24"/>
          <w:rtl/>
        </w:rPr>
        <w:t xml:space="preserve">4. מה מלמדת ההשוואה</w:t>
      </w:r>
    </w:p>
    <w:p>
      <w:pPr>
        <w:bidi/>
        <w:spacing w:after="0" w:line="360"/>
        <w:ind w:firstLine="453"/>
        <w:jc w:val="both"/>
      </w:pPr>
      <w:r>
        <w:rPr>
          <w:rFonts w:ascii="David" w:cs="David" w:eastAsia="David" w:hAnsi="David"/>
          <w:b/>
          <w:bCs/>
          <w:i w:val="false"/>
          <w:iCs w:val="false"/>
          <w:sz w:val="24"/>
          <w:szCs w:val="24"/>
          <w:rtl/>
        </w:rPr>
        <w:t xml:space="preserve">המיתוס אינו חומר אלא דקדוק.</w:t>
      </w:r>
      <w:r>
        <w:rPr>
          <w:rFonts w:ascii="David" w:cs="David" w:eastAsia="David" w:hAnsi="David"/>
          <w:b w:val="false"/>
          <w:bCs w:val="false"/>
          <w:i w:val="false"/>
          <w:iCs w:val="false"/>
          <w:sz w:val="24"/>
          <w:szCs w:val="24"/>
          <w:rtl/>
        </w:rPr>
        <w:t xml:space="preserve"> גתה נוטל חומר מיתולוגי ומפרק בעזרתו את התחביר המיתי. ביכנר נוטל חומר תיעודי מן העיתון ומגלה בו את אותו תחביר בפעולה מלאה. מכאן שאי אפשר להגדיר את המיתי לפי נוכחותם של אלים. המיתי מוגדר לפי מיקומו של הסובייקט מול לשון שאין הוא יכול להשיב עליה, בין שהיא אורקל דלפי ובין שהיא אבחנה של רופא צבאי.</w:t>
      </w:r>
    </w:p>
    <w:p>
      <w:pPr>
        <w:bidi/>
        <w:spacing w:after="0" w:line="360"/>
        <w:ind w:firstLine="453"/>
        <w:jc w:val="both"/>
      </w:pPr>
      <w:r>
        <w:rPr>
          <w:rFonts w:ascii="David" w:cs="David" w:eastAsia="David" w:hAnsi="David"/>
          <w:b/>
          <w:bCs/>
          <w:i w:val="false"/>
          <w:iCs w:val="false"/>
          <w:sz w:val="24"/>
          <w:szCs w:val="24"/>
          <w:rtl/>
        </w:rPr>
        <w:t xml:space="preserve">שני שירים, שתי תשובות.</w:t>
      </w:r>
      <w:r>
        <w:rPr>
          <w:rFonts w:ascii="David" w:cs="David" w:eastAsia="David" w:hAnsi="David"/>
          <w:b w:val="false"/>
          <w:bCs w:val="false"/>
          <w:i w:val="false"/>
          <w:iCs w:val="false"/>
          <w:sz w:val="24"/>
          <w:szCs w:val="24"/>
          <w:rtl/>
        </w:rPr>
        <w:t xml:space="preserve"> שיר הפרקות ואגדת הסבתא הם מוקדי הכובד של שני המחזות, וזהותם המבנית מאפשרת למדוד את המרחק בין 1787 ל-1836. שניהם קול ארכאי מצוטט, שניהם מושמעים ברגע של ייאוש, ושניהם מוסרים את אדישותו של היקום. אצל גתה הציטוט הוא תנאי להפרכה, ואיפיגניה משיבה לו במעשה האמת. אצל ביכנר איש אינו משיב, ומיד אחר כך בא הרצח. ההבדל אינו במזגם של המחברים אלא בשאלה אם קיים בעולם המחזה נמען שיכול לענות.</w:t>
      </w:r>
    </w:p>
    <w:p>
      <w:pPr>
        <w:bidi/>
        <w:spacing w:after="0" w:line="360"/>
        <w:ind w:firstLine="453"/>
        <w:jc w:val="both"/>
      </w:pPr>
      <w:r>
        <w:rPr>
          <w:rFonts w:ascii="David" w:cs="David" w:eastAsia="David" w:hAnsi="David"/>
          <w:b/>
          <w:bCs/>
          <w:i w:val="false"/>
          <w:iCs w:val="false"/>
          <w:sz w:val="24"/>
          <w:szCs w:val="24"/>
          <w:rtl/>
        </w:rPr>
        <w:t xml:space="preserve">מי משלם.</w:t>
      </w:r>
      <w:r>
        <w:rPr>
          <w:rFonts w:ascii="David" w:cs="David" w:eastAsia="David" w:hAnsi="David"/>
          <w:b w:val="false"/>
          <w:bCs w:val="false"/>
          <w:i w:val="false"/>
          <w:iCs w:val="false"/>
          <w:sz w:val="24"/>
          <w:szCs w:val="24"/>
          <w:rtl/>
        </w:rPr>
        <w:t xml:space="preserve"> שני המחזות רוכשים את פתרונם, או את היעדרו, מגופה של אישה. איפיגניה נושאת את ההומניות כמשימה ומשלמת בציות ובהצעה להיהרג ראשונה. מאריה היא הנרצחת. המחזה שנתן לגיבורתו את המשפט "אני חפשית נולדת כגבר" מתנה בכל זאת את חירותה בחסדו של מלך, והמחזה שנתן למאריה ראי ותנ"ך נותן לה בסוף סכין. מבנה ההקרבה שורד את הנאורות של עצמו בכך שהוא מחליף את זהות הקורבן ואת שמה של הרשות שדורשת אותו.</w:t>
      </w:r>
    </w:p>
    <w:p>
      <w:pPr>
        <w:bidi/>
        <w:spacing w:after="0" w:line="360"/>
        <w:ind w:firstLine="453"/>
        <w:jc w:val="both"/>
      </w:pPr>
      <w:r>
        <w:rPr>
          <w:rFonts w:ascii="David" w:cs="David" w:eastAsia="David" w:hAnsi="David"/>
          <w:b/>
          <w:bCs/>
          <w:i w:val="false"/>
          <w:iCs w:val="false"/>
          <w:sz w:val="24"/>
          <w:szCs w:val="24"/>
          <w:rtl/>
        </w:rPr>
        <w:t xml:space="preserve">קריטריון פוליטי לדרמה.</w:t>
      </w:r>
      <w:r>
        <w:rPr>
          <w:rFonts w:ascii="David" w:cs="David" w:eastAsia="David" w:hAnsi="David"/>
          <w:b w:val="false"/>
          <w:bCs w:val="false"/>
          <w:i w:val="false"/>
          <w:iCs w:val="false"/>
          <w:sz w:val="24"/>
          <w:szCs w:val="24"/>
          <w:rtl/>
        </w:rPr>
        <w:t xml:space="preserve"> העמדת שתי הסצנות המכריעות זו מול זו, "הכר, אורסטס, איפיגניה אני" מול "דקור, דקור למות", מניבה מדד שאינו נוגע לנושא אלא לחלוקת המשאבים הבימתיים: מי רשאי לדבר, ומי זוכה שיענו לו. הפוליטי בדרמה אינו התוכן שהיא מייצגת אלא ארכיטקטורת הפנייה שהיא מאפשרת. במובן הזה ווייצק אינו מחזה על עוני אלא מחזה על שלילת הנמענוּת.</w:t>
      </w:r>
    </w:p>
    <w:p>
      <w:pPr>
        <w:bidi/>
        <w:spacing w:after="0" w:line="360"/>
        <w:ind w:firstLine="453"/>
        <w:jc w:val="both"/>
      </w:pPr>
      <w:r>
        <w:rPr>
          <w:rFonts w:ascii="David" w:cs="David" w:eastAsia="David" w:hAnsi="David"/>
          <w:b/>
          <w:bCs/>
          <w:i w:val="false"/>
          <w:iCs w:val="false"/>
          <w:sz w:val="24"/>
          <w:szCs w:val="24"/>
          <w:rtl/>
        </w:rPr>
        <w:t xml:space="preserve">המשך הקו אל התיאטרון שאחריהם.</w:t>
      </w:r>
      <w:r>
        <w:rPr>
          <w:rFonts w:ascii="David" w:cs="David" w:eastAsia="David" w:hAnsi="David"/>
          <w:b w:val="false"/>
          <w:bCs w:val="false"/>
          <w:i w:val="false"/>
          <w:iCs w:val="false"/>
          <w:sz w:val="24"/>
          <w:szCs w:val="24"/>
          <w:rtl/>
        </w:rPr>
        <w:t xml:space="preserve"> סונדי (Szondi, 1956) תיאר את משבר הדרמה המודרנית כמשברו של היחס הבין-אישי כחומר בימתי, ושני המחזות מסמנים את שני קצותיו. בהעלבת הקהל (הנדקה, 1966/1990) מתקבלת המסקנה הקיצונית: המחזה מודיע לצופים "אתם לא תראו כאן הצגה [...] אתם תראו הצגה בלי תמונות" (עמ' 15) ומצהיר "אנחנו לא משחקים שום גורלות" (עמ' 17). ביטול הפבולה הוא גם ביטול הגורל, כלומר סילוקו של המרכיב שבו נאחז המיתוס, ומה שנשאר על הבמה הוא מעשה הפנייה עצמו, אותו יסוד שנשלל מווייצק. הדיון העכשווי בתיאטרון הגרמני ממשיך לעסוק בשאלה מי נכלל במעגל הפנייה הזה ומי נותר מחוצה לו (Cornish &amp; Savran, 2023).</w:t>
      </w:r>
    </w:p>
    <w:p>
      <w:pPr>
        <w:pStyle w:val="Heading1"/>
        <w:bidi/>
        <w:spacing w:after="120" w:before="300" w:line="360"/>
        <w:jc w:val="right"/>
      </w:pPr>
      <w:r>
        <w:rPr>
          <w:rFonts w:ascii="David" w:cs="David" w:eastAsia="David" w:hAnsi="David"/>
          <w:b/>
          <w:bCs/>
          <w:i w:val="false"/>
          <w:iCs w:val="false"/>
          <w:sz w:val="24"/>
          <w:szCs w:val="24"/>
          <w:rtl/>
        </w:rPr>
        <w:t xml:space="preserve">סיכום ומסקנות</w:t>
      </w:r>
    </w:p>
    <w:p>
      <w:pPr>
        <w:bidi/>
        <w:spacing w:after="0" w:line="360"/>
        <w:ind w:firstLine="453"/>
        <w:jc w:val="both"/>
      </w:pPr>
      <w:r>
        <w:rPr>
          <w:rFonts w:ascii="David" w:cs="David" w:eastAsia="David" w:hAnsi="David"/>
          <w:b w:val="false"/>
          <w:bCs w:val="false"/>
          <w:i w:val="false"/>
          <w:iCs w:val="false"/>
          <w:sz w:val="24"/>
          <w:szCs w:val="24"/>
          <w:rtl/>
        </w:rPr>
        <w:t xml:space="preserve">השאלה שהוצבה במבוא היתה מהו הדבר שאליו חוזרת הדרמה כשהיא חוזרת אל המיתוס. הקריאה בשני המחזות מראה שהתשובה אינה חומר עלילה אלא מבנה של כפייה, שסימנו המובהק הוא לשון שאין להשיב עליה. איפיגניה בטאוריס מדגימה את עבודתו של המיתוס עד גבולה, כשהיא מצטטת את הקללה, מפרשת מחדש את האורקל וממירה את הדם במילה, אך תולה את ההמרה בוויתור אישי של בעל הכוח ולכן משאירה אותה חשופה. ווייצק מראה מה קורה כשהוויתור אינו מגיע: הכוח אינו נעלם אלא מחליף שפה, מתחפש לתבונה ולמוסר ולטבע, ומייצר קורבן חדש שאיש אינו מזהה ככזה.</w:t>
      </w:r>
    </w:p>
    <w:p>
      <w:pPr>
        <w:bidi/>
        <w:spacing w:after="0" w:line="360"/>
        <w:ind w:firstLine="453"/>
        <w:jc w:val="both"/>
      </w:pPr>
      <w:r>
        <w:rPr>
          <w:rFonts w:ascii="David" w:cs="David" w:eastAsia="David" w:hAnsi="David"/>
          <w:b w:val="false"/>
          <w:bCs w:val="false"/>
          <w:i w:val="false"/>
          <w:iCs w:val="false"/>
          <w:sz w:val="24"/>
          <w:szCs w:val="24"/>
          <w:rtl/>
        </w:rPr>
        <w:t xml:space="preserve">מכאן שתי מסקנות שאפשר להפעיל מעבר לשני המחזות. הראשונה נוגעת לקריאה: כדי לזהות מיתוס בטקסט דרמטי אין די באיתור שמות של אלים או של גיבורים עתיקים, ויש לבדוק אילו אמירות במחזה אינן ניתנות לערעור ומי הדמות שאיננה יכולה להשיב עליהן. הבדיקה הזאת ישימה גם למחזות שאין בהם חומר מיתולוגי כלל. השנייה נוגעת להעמדה על הבמה: מכיוון שההפרש בין שני המחזות מתמצה בקיומו או בהיעדרו של נמען, כל הכרעה בימתית הנוגעת לחלוקת הפנייה, ובכלל זה שאלת מיקומו של הקהל ביחס לדמות המוקרבת, היא הכרעה פרשנית ולא עיצובית. אלה גם הקווים שלאורם אפשר להמשיך ולבחון את שאר המחזות שנקראו בקורס.</w:t>
      </w:r>
    </w:p>
    <w:p>
      <w:r>
        <w:br w:type="page"/>
      </w:r>
    </w:p>
    <w:p>
      <w:pPr>
        <w:pStyle w:val="Heading1"/>
        <w:bidi/>
        <w:spacing w:after="120" w:before="300" w:line="360"/>
        <w:jc w:val="right"/>
      </w:pPr>
      <w:r>
        <w:rPr>
          <w:rFonts w:ascii="David" w:cs="David" w:eastAsia="David" w:hAnsi="David"/>
          <w:b/>
          <w:bCs/>
          <w:i w:val="false"/>
          <w:iCs w:val="false"/>
          <w:sz w:val="24"/>
          <w:szCs w:val="24"/>
          <w:rtl/>
        </w:rPr>
        <w:t xml:space="preserve">רשימת מקורות</w:t>
      </w:r>
    </w:p>
    <w:p>
      <w:pPr>
        <w:bidi/>
        <w:spacing w:after="120" w:line="360"/>
        <w:ind w:right="0" w:hanging="708"/>
        <w:jc w:val="right"/>
      </w:pPr>
      <w:r>
        <w:rPr>
          <w:rFonts w:ascii="David" w:cs="David" w:eastAsia="David" w:hAnsi="David"/>
          <w:b w:val="false"/>
          <w:bCs w:val="false"/>
          <w:i w:val="false"/>
          <w:iCs w:val="false"/>
          <w:sz w:val="24"/>
          <w:szCs w:val="24"/>
          <w:rtl/>
        </w:rPr>
        <w:t xml:space="preserve">ביכנר, ג' (1982). </w:t>
      </w:r>
      <w:r>
        <w:rPr>
          <w:rFonts w:ascii="David" w:cs="David" w:eastAsia="David" w:hAnsi="David"/>
          <w:b w:val="false"/>
          <w:bCs w:val="false"/>
          <w:i/>
          <w:iCs/>
          <w:sz w:val="24"/>
          <w:szCs w:val="24"/>
          <w:rtl/>
        </w:rPr>
        <w:t xml:space="preserve">ווייצק</w:t>
      </w:r>
      <w:r>
        <w:rPr>
          <w:rFonts w:ascii="David" w:cs="David" w:eastAsia="David" w:hAnsi="David"/>
          <w:b w:val="false"/>
          <w:bCs w:val="false"/>
          <w:i w:val="false"/>
          <w:iCs w:val="false"/>
          <w:sz w:val="24"/>
          <w:szCs w:val="24"/>
          <w:rtl/>
        </w:rPr>
        <w:t xml:space="preserve"> (ש' זנדבנק מתרגם). אור עם. (פורסם במקור בשנת 1879)</w:t>
      </w:r>
    </w:p>
    <w:p>
      <w:pPr>
        <w:bidi/>
        <w:spacing w:after="120" w:line="360"/>
        <w:ind w:right="0" w:hanging="708"/>
        <w:jc w:val="right"/>
      </w:pPr>
      <w:r>
        <w:rPr>
          <w:rFonts w:ascii="David" w:cs="David" w:eastAsia="David" w:hAnsi="David"/>
          <w:b w:val="false"/>
          <w:bCs w:val="false"/>
          <w:i w:val="false"/>
          <w:iCs w:val="false"/>
          <w:sz w:val="24"/>
          <w:szCs w:val="24"/>
          <w:rtl/>
        </w:rPr>
        <w:t xml:space="preserve">בן-חורין, מ' (2025). </w:t>
      </w:r>
      <w:r>
        <w:rPr>
          <w:rFonts w:ascii="David" w:cs="David" w:eastAsia="David" w:hAnsi="David"/>
          <w:b w:val="false"/>
          <w:bCs w:val="false"/>
          <w:i/>
          <w:iCs/>
          <w:sz w:val="24"/>
          <w:szCs w:val="24"/>
          <w:rtl/>
        </w:rPr>
        <w:t xml:space="preserve">מיתוס ודרמה בגרמניה</w:t>
      </w:r>
      <w:r>
        <w:rPr>
          <w:rFonts w:ascii="David" w:cs="David" w:eastAsia="David" w:hAnsi="David"/>
          <w:b w:val="false"/>
          <w:bCs w:val="false"/>
          <w:i w:val="false"/>
          <w:iCs w:val="false"/>
          <w:sz w:val="24"/>
          <w:szCs w:val="24"/>
          <w:rtl/>
        </w:rPr>
        <w:t xml:space="preserve"> [מצגות הקורס]. אוניברסיטת בר-אילן.</w:t>
      </w:r>
    </w:p>
    <w:p>
      <w:pPr>
        <w:bidi/>
        <w:spacing w:after="120" w:line="360"/>
        <w:ind w:right="0" w:hanging="708"/>
        <w:jc w:val="right"/>
      </w:pPr>
      <w:r>
        <w:rPr>
          <w:rFonts w:ascii="David" w:cs="David" w:eastAsia="David" w:hAnsi="David"/>
          <w:b w:val="false"/>
          <w:bCs w:val="false"/>
          <w:i w:val="false"/>
          <w:iCs w:val="false"/>
          <w:sz w:val="24"/>
          <w:szCs w:val="24"/>
          <w:rtl/>
        </w:rPr>
        <w:t xml:space="preserve">בנימין, ו' (1996). </w:t>
      </w:r>
      <w:r>
        <w:rPr>
          <w:rFonts w:ascii="David" w:cs="David" w:eastAsia="David" w:hAnsi="David"/>
          <w:b w:val="false"/>
          <w:bCs w:val="false"/>
          <w:i/>
          <w:iCs/>
          <w:sz w:val="24"/>
          <w:szCs w:val="24"/>
          <w:rtl/>
        </w:rPr>
        <w:t xml:space="preserve">מבחר כתבים, כרך ב: הרהורים</w:t>
      </w:r>
      <w:r>
        <w:rPr>
          <w:rFonts w:ascii="David" w:cs="David" w:eastAsia="David" w:hAnsi="David"/>
          <w:b w:val="false"/>
          <w:bCs w:val="false"/>
          <w:i w:val="false"/>
          <w:iCs w:val="false"/>
          <w:sz w:val="24"/>
          <w:szCs w:val="24"/>
          <w:rtl/>
        </w:rPr>
        <w:t xml:space="preserve"> (ד' זינגר מתרגם). הקיבוץ המאוחד.</w:t>
      </w:r>
    </w:p>
    <w:p>
      <w:pPr>
        <w:bidi/>
        <w:spacing w:after="120" w:line="360"/>
        <w:ind w:right="0" w:hanging="708"/>
        <w:jc w:val="right"/>
      </w:pPr>
      <w:r>
        <w:rPr>
          <w:rFonts w:ascii="David" w:cs="David" w:eastAsia="David" w:hAnsi="David"/>
          <w:b w:val="false"/>
          <w:bCs w:val="false"/>
          <w:i w:val="false"/>
          <w:iCs w:val="false"/>
          <w:sz w:val="24"/>
          <w:szCs w:val="24"/>
          <w:rtl/>
        </w:rPr>
        <w:t xml:space="preserve">גתה, י' ו' (1981). </w:t>
      </w:r>
      <w:r>
        <w:rPr>
          <w:rFonts w:ascii="David" w:cs="David" w:eastAsia="David" w:hAnsi="David"/>
          <w:b w:val="false"/>
          <w:bCs w:val="false"/>
          <w:i/>
          <w:iCs/>
          <w:sz w:val="24"/>
          <w:szCs w:val="24"/>
          <w:rtl/>
        </w:rPr>
        <w:t xml:space="preserve">איפיגניה בטאוריס</w:t>
      </w:r>
      <w:r>
        <w:rPr>
          <w:rFonts w:ascii="David" w:cs="David" w:eastAsia="David" w:hAnsi="David"/>
          <w:b w:val="false"/>
          <w:bCs w:val="false"/>
          <w:i w:val="false"/>
          <w:iCs w:val="false"/>
          <w:sz w:val="24"/>
          <w:szCs w:val="24"/>
          <w:rtl/>
        </w:rPr>
        <w:t xml:space="preserve"> (י' כפכפי מתרגם). דביר. (פורסם במקור בשנת 1787)</w:t>
      </w:r>
    </w:p>
    <w:p>
      <w:pPr>
        <w:bidi/>
        <w:spacing w:after="120" w:line="360"/>
        <w:ind w:right="0" w:hanging="708"/>
        <w:jc w:val="right"/>
      </w:pPr>
      <w:r>
        <w:rPr>
          <w:rFonts w:ascii="David" w:cs="David" w:eastAsia="David" w:hAnsi="David"/>
          <w:b w:val="false"/>
          <w:bCs w:val="false"/>
          <w:i w:val="false"/>
          <w:iCs w:val="false"/>
          <w:sz w:val="24"/>
          <w:szCs w:val="24"/>
          <w:rtl/>
        </w:rPr>
        <w:t xml:space="preserve">הנדקה, פ' (1990). </w:t>
      </w:r>
      <w:r>
        <w:rPr>
          <w:rFonts w:ascii="David" w:cs="David" w:eastAsia="David" w:hAnsi="David"/>
          <w:b w:val="false"/>
          <w:bCs w:val="false"/>
          <w:i/>
          <w:iCs/>
          <w:sz w:val="24"/>
          <w:szCs w:val="24"/>
          <w:rtl/>
        </w:rPr>
        <w:t xml:space="preserve">העלבת הקהל</w:t>
      </w:r>
      <w:r>
        <w:rPr>
          <w:rFonts w:ascii="David" w:cs="David" w:eastAsia="David" w:hAnsi="David"/>
          <w:b w:val="false"/>
          <w:bCs w:val="false"/>
          <w:i w:val="false"/>
          <w:iCs w:val="false"/>
          <w:sz w:val="24"/>
          <w:szCs w:val="24"/>
          <w:rtl/>
        </w:rPr>
        <w:t xml:space="preserve"> (ש' לוי מתרגם). אור עם. (פורסם במקור בשנת 1966)</w:t>
      </w:r>
    </w:p>
    <w:p>
      <w:pPr>
        <w:bidi/>
        <w:spacing w:after="120" w:line="360"/>
        <w:ind w:right="0" w:hanging="708"/>
        <w:jc w:val="right"/>
      </w:pPr>
      <w:r>
        <w:rPr>
          <w:rFonts w:ascii="David" w:cs="David" w:eastAsia="David" w:hAnsi="David"/>
          <w:b w:val="false"/>
          <w:bCs w:val="false"/>
          <w:i w:val="false"/>
          <w:iCs w:val="false"/>
          <w:sz w:val="24"/>
          <w:szCs w:val="24"/>
          <w:rtl/>
        </w:rPr>
        <w:t xml:space="preserve">שו, ה' (2026, 29 במרס). כך הפכה אנטיגונה לגיבורה בת 2,500 שלא מתיישנת לעולם. </w:t>
      </w:r>
      <w:r>
        <w:rPr>
          <w:rFonts w:ascii="David" w:cs="David" w:eastAsia="David" w:hAnsi="David"/>
          <w:b w:val="false"/>
          <w:bCs w:val="false"/>
          <w:i/>
          <w:iCs/>
          <w:sz w:val="24"/>
          <w:szCs w:val="24"/>
          <w:rtl/>
        </w:rPr>
        <w:t xml:space="preserve">ניו יורק טיימס</w:t>
      </w:r>
      <w:r>
        <w:rPr>
          <w:rFonts w:ascii="David" w:cs="David" w:eastAsia="David" w:hAnsi="David"/>
          <w:b w:val="false"/>
          <w:bCs w:val="false"/>
          <w:i w:val="false"/>
          <w:iCs w:val="false"/>
          <w:sz w:val="24"/>
          <w:szCs w:val="24"/>
          <w:rtl/>
        </w:rPr>
        <w:t xml:space="preserve">.</w:t>
      </w:r>
    </w:p>
    <w:p>
      <w:pPr>
        <w:spacing w:after="120" w:line="360"/>
        <w:ind w:left="708" w:hanging="708"/>
        <w:jc w:val="left"/>
      </w:pPr>
      <w:r>
        <w:rPr>
          <w:rFonts w:ascii="Times New Roman" w:cs="Times New Roman" w:eastAsia="Times New Roman" w:hAnsi="Times New Roman"/>
          <w:b w:val="false"/>
          <w:bCs w:val="false"/>
          <w:i w:val="false"/>
          <w:iCs w:val="false"/>
          <w:sz w:val="24"/>
          <w:szCs w:val="24"/>
        </w:rPr>
        <w:t xml:space="preserve">Adorno, T. W. (1974). Zum Klassizismus von Goethes Iphigenie. In </w:t>
      </w:r>
      <w:r>
        <w:rPr>
          <w:rFonts w:ascii="Times New Roman" w:cs="Times New Roman" w:eastAsia="Times New Roman" w:hAnsi="Times New Roman"/>
          <w:b w:val="false"/>
          <w:bCs w:val="false"/>
          <w:i/>
          <w:iCs/>
          <w:sz w:val="24"/>
          <w:szCs w:val="24"/>
        </w:rPr>
        <w:t xml:space="preserve">Noten zur Literatur</w:t>
      </w:r>
      <w:r>
        <w:rPr>
          <w:rFonts w:ascii="Times New Roman" w:cs="Times New Roman" w:eastAsia="Times New Roman" w:hAnsi="Times New Roman"/>
          <w:b w:val="false"/>
          <w:bCs w:val="false"/>
          <w:i w:val="false"/>
          <w:iCs w:val="false"/>
          <w:sz w:val="24"/>
          <w:szCs w:val="24"/>
        </w:rPr>
        <w:t xml:space="preserve"> (pp. 495-514). Suhrkamp.</w:t>
      </w:r>
    </w:p>
    <w:p>
      <w:pPr>
        <w:spacing w:after="120" w:line="360"/>
        <w:ind w:left="708" w:hanging="708"/>
        <w:jc w:val="left"/>
      </w:pPr>
      <w:r>
        <w:rPr>
          <w:rFonts w:ascii="Times New Roman" w:cs="Times New Roman" w:eastAsia="Times New Roman" w:hAnsi="Times New Roman"/>
          <w:b w:val="false"/>
          <w:bCs w:val="false"/>
          <w:i w:val="false"/>
          <w:iCs w:val="false"/>
          <w:sz w:val="24"/>
          <w:szCs w:val="24"/>
        </w:rPr>
        <w:t xml:space="preserve">Blumenberg, H. (1979). </w:t>
      </w:r>
      <w:r>
        <w:rPr>
          <w:rFonts w:ascii="Times New Roman" w:cs="Times New Roman" w:eastAsia="Times New Roman" w:hAnsi="Times New Roman"/>
          <w:b w:val="false"/>
          <w:bCs w:val="false"/>
          <w:i/>
          <w:iCs/>
          <w:sz w:val="24"/>
          <w:szCs w:val="24"/>
        </w:rPr>
        <w:t xml:space="preserve">Arbeit am Mythos</w:t>
      </w:r>
      <w:r>
        <w:rPr>
          <w:rFonts w:ascii="Times New Roman" w:cs="Times New Roman" w:eastAsia="Times New Roman" w:hAnsi="Times New Roman"/>
          <w:b w:val="false"/>
          <w:bCs w:val="false"/>
          <w:i w:val="false"/>
          <w:iCs w:val="false"/>
          <w:sz w:val="24"/>
          <w:szCs w:val="24"/>
        </w:rPr>
        <w:t xml:space="preserve">. Suhrkamp.</w:t>
      </w:r>
    </w:p>
    <w:p>
      <w:pPr>
        <w:spacing w:after="120" w:line="360"/>
        <w:ind w:left="708" w:hanging="708"/>
        <w:jc w:val="left"/>
      </w:pPr>
      <w:r>
        <w:rPr>
          <w:rFonts w:ascii="Times New Roman" w:cs="Times New Roman" w:eastAsia="Times New Roman" w:hAnsi="Times New Roman"/>
          <w:b w:val="false"/>
          <w:bCs w:val="false"/>
          <w:i w:val="false"/>
          <w:iCs w:val="false"/>
          <w:sz w:val="24"/>
          <w:szCs w:val="24"/>
        </w:rPr>
        <w:t xml:space="preserve">Brecht, B. (1964). </w:t>
      </w:r>
      <w:r>
        <w:rPr>
          <w:rFonts w:ascii="Times New Roman" w:cs="Times New Roman" w:eastAsia="Times New Roman" w:hAnsi="Times New Roman"/>
          <w:b w:val="false"/>
          <w:bCs w:val="false"/>
          <w:i/>
          <w:iCs/>
          <w:sz w:val="24"/>
          <w:szCs w:val="24"/>
        </w:rPr>
        <w:t xml:space="preserve">Brecht on theatre: The development of an aesthetic</w:t>
      </w:r>
      <w:r>
        <w:rPr>
          <w:rFonts w:ascii="Times New Roman" w:cs="Times New Roman" w:eastAsia="Times New Roman" w:hAnsi="Times New Roman"/>
          <w:b w:val="false"/>
          <w:bCs w:val="false"/>
          <w:i w:val="false"/>
          <w:iCs w:val="false"/>
          <w:sz w:val="24"/>
          <w:szCs w:val="24"/>
        </w:rPr>
        <w:t xml:space="preserve"> (J. Willett, Ed. &amp; Trans.). Hill and Wang.</w:t>
      </w:r>
    </w:p>
    <w:p>
      <w:pPr>
        <w:spacing w:after="120" w:line="360"/>
        <w:ind w:left="708" w:hanging="708"/>
        <w:jc w:val="left"/>
      </w:pPr>
      <w:r>
        <w:rPr>
          <w:rFonts w:ascii="Times New Roman" w:cs="Times New Roman" w:eastAsia="Times New Roman" w:hAnsi="Times New Roman"/>
          <w:b w:val="false"/>
          <w:bCs w:val="false"/>
          <w:i w:val="false"/>
          <w:iCs w:val="false"/>
          <w:sz w:val="24"/>
          <w:szCs w:val="24"/>
        </w:rPr>
        <w:t xml:space="preserve">Cornish, M., &amp; Savran, D. (2023). Introduction: A dialogue on contemporary German theatre. </w:t>
      </w:r>
      <w:r>
        <w:rPr>
          <w:rFonts w:ascii="Times New Roman" w:cs="Times New Roman" w:eastAsia="Times New Roman" w:hAnsi="Times New Roman"/>
          <w:b w:val="false"/>
          <w:bCs w:val="false"/>
          <w:i/>
          <w:iCs/>
          <w:sz w:val="24"/>
          <w:szCs w:val="24"/>
        </w:rPr>
        <w:t xml:space="preserve">TDR: The Drama Review, 67</w:t>
      </w:r>
      <w:r>
        <w:rPr>
          <w:rFonts w:ascii="Times New Roman" w:cs="Times New Roman" w:eastAsia="Times New Roman" w:hAnsi="Times New Roman"/>
          <w:b w:val="false"/>
          <w:bCs w:val="false"/>
          <w:i w:val="false"/>
          <w:iCs w:val="false"/>
          <w:sz w:val="24"/>
          <w:szCs w:val="24"/>
        </w:rPr>
        <w:t xml:space="preserve">(2), 6-13.</w:t>
      </w:r>
    </w:p>
    <w:p>
      <w:pPr>
        <w:spacing w:after="120" w:line="360"/>
        <w:ind w:left="708" w:hanging="708"/>
        <w:jc w:val="left"/>
      </w:pPr>
      <w:r>
        <w:rPr>
          <w:rFonts w:ascii="Times New Roman" w:cs="Times New Roman" w:eastAsia="Times New Roman" w:hAnsi="Times New Roman"/>
          <w:b w:val="false"/>
          <w:bCs w:val="false"/>
          <w:i w:val="false"/>
          <w:iCs w:val="false"/>
          <w:sz w:val="24"/>
          <w:szCs w:val="24"/>
        </w:rPr>
        <w:t xml:space="preserve">Girard, R. (1972). </w:t>
      </w:r>
      <w:r>
        <w:rPr>
          <w:rFonts w:ascii="Times New Roman" w:cs="Times New Roman" w:eastAsia="Times New Roman" w:hAnsi="Times New Roman"/>
          <w:b w:val="false"/>
          <w:bCs w:val="false"/>
          <w:i/>
          <w:iCs/>
          <w:sz w:val="24"/>
          <w:szCs w:val="24"/>
        </w:rPr>
        <w:t xml:space="preserve">La violence et le sacré</w:t>
      </w:r>
      <w:r>
        <w:rPr>
          <w:rFonts w:ascii="Times New Roman" w:cs="Times New Roman" w:eastAsia="Times New Roman" w:hAnsi="Times New Roman"/>
          <w:b w:val="false"/>
          <w:bCs w:val="false"/>
          <w:i w:val="false"/>
          <w:iCs w:val="false"/>
          <w:sz w:val="24"/>
          <w:szCs w:val="24"/>
        </w:rPr>
        <w:t xml:space="preserve">. Grasset.</w:t>
      </w:r>
    </w:p>
    <w:p>
      <w:pPr>
        <w:spacing w:after="120" w:line="360"/>
        <w:ind w:left="708" w:hanging="708"/>
        <w:jc w:val="left"/>
      </w:pPr>
      <w:r>
        <w:rPr>
          <w:rFonts w:ascii="Times New Roman" w:cs="Times New Roman" w:eastAsia="Times New Roman" w:hAnsi="Times New Roman"/>
          <w:b w:val="false"/>
          <w:bCs w:val="false"/>
          <w:i w:val="false"/>
          <w:iCs w:val="false"/>
          <w:sz w:val="24"/>
          <w:szCs w:val="24"/>
        </w:rPr>
        <w:t xml:space="preserve">Horkheimer, M., &amp; Adorno, T. W. (1988). </w:t>
      </w:r>
      <w:r>
        <w:rPr>
          <w:rFonts w:ascii="Times New Roman" w:cs="Times New Roman" w:eastAsia="Times New Roman" w:hAnsi="Times New Roman"/>
          <w:b w:val="false"/>
          <w:bCs w:val="false"/>
          <w:i/>
          <w:iCs/>
          <w:sz w:val="24"/>
          <w:szCs w:val="24"/>
        </w:rPr>
        <w:t xml:space="preserve">Dialektik der Aufklärung: Philosophische Fragmente</w:t>
      </w:r>
      <w:r>
        <w:rPr>
          <w:rFonts w:ascii="Times New Roman" w:cs="Times New Roman" w:eastAsia="Times New Roman" w:hAnsi="Times New Roman"/>
          <w:b w:val="false"/>
          <w:bCs w:val="false"/>
          <w:i w:val="false"/>
          <w:iCs w:val="false"/>
          <w:sz w:val="24"/>
          <w:szCs w:val="24"/>
        </w:rPr>
        <w:t xml:space="preserve">. Fischer. (Original work published 1944)</w:t>
      </w:r>
    </w:p>
    <w:p>
      <w:pPr>
        <w:spacing w:after="120" w:line="360"/>
        <w:ind w:left="708" w:hanging="708"/>
        <w:jc w:val="left"/>
      </w:pPr>
      <w:r>
        <w:rPr>
          <w:rFonts w:ascii="Times New Roman" w:cs="Times New Roman" w:eastAsia="Times New Roman" w:hAnsi="Times New Roman"/>
          <w:b w:val="false"/>
          <w:bCs w:val="false"/>
          <w:i w:val="false"/>
          <w:iCs w:val="false"/>
          <w:sz w:val="24"/>
          <w:szCs w:val="24"/>
        </w:rPr>
        <w:t xml:space="preserve">Klotz, V. (1960). </w:t>
      </w:r>
      <w:r>
        <w:rPr>
          <w:rFonts w:ascii="Times New Roman" w:cs="Times New Roman" w:eastAsia="Times New Roman" w:hAnsi="Times New Roman"/>
          <w:b w:val="false"/>
          <w:bCs w:val="false"/>
          <w:i/>
          <w:iCs/>
          <w:sz w:val="24"/>
          <w:szCs w:val="24"/>
        </w:rPr>
        <w:t xml:space="preserve">Geschlossene und offene Form im Drama</w:t>
      </w:r>
      <w:r>
        <w:rPr>
          <w:rFonts w:ascii="Times New Roman" w:cs="Times New Roman" w:eastAsia="Times New Roman" w:hAnsi="Times New Roman"/>
          <w:b w:val="false"/>
          <w:bCs w:val="false"/>
          <w:i w:val="false"/>
          <w:iCs w:val="false"/>
          <w:sz w:val="24"/>
          <w:szCs w:val="24"/>
        </w:rPr>
        <w:t xml:space="preserve">. Hanser.</w:t>
      </w:r>
    </w:p>
    <w:p>
      <w:pPr>
        <w:spacing w:after="120" w:line="360"/>
        <w:ind w:left="708" w:hanging="708"/>
        <w:jc w:val="left"/>
      </w:pPr>
      <w:r>
        <w:rPr>
          <w:rFonts w:ascii="Times New Roman" w:cs="Times New Roman" w:eastAsia="Times New Roman" w:hAnsi="Times New Roman"/>
          <w:b w:val="false"/>
          <w:bCs w:val="false"/>
          <w:i w:val="false"/>
          <w:iCs w:val="false"/>
          <w:sz w:val="24"/>
          <w:szCs w:val="24"/>
        </w:rPr>
        <w:t xml:space="preserve">Patterson, M. (1990). </w:t>
      </w:r>
      <w:r>
        <w:rPr>
          <w:rFonts w:ascii="Times New Roman" w:cs="Times New Roman" w:eastAsia="Times New Roman" w:hAnsi="Times New Roman"/>
          <w:b w:val="false"/>
          <w:bCs w:val="false"/>
          <w:i/>
          <w:iCs/>
          <w:sz w:val="24"/>
          <w:szCs w:val="24"/>
        </w:rPr>
        <w:t xml:space="preserve">The first German theatre: Schiller, Goethe, Kleist and Büchner in performance</w:t>
      </w:r>
      <w:r>
        <w:rPr>
          <w:rFonts w:ascii="Times New Roman" w:cs="Times New Roman" w:eastAsia="Times New Roman" w:hAnsi="Times New Roman"/>
          <w:b w:val="false"/>
          <w:bCs w:val="false"/>
          <w:i w:val="false"/>
          <w:iCs w:val="false"/>
          <w:sz w:val="24"/>
          <w:szCs w:val="24"/>
        </w:rPr>
        <w:t xml:space="preserve">. Routledge.</w:t>
      </w:r>
    </w:p>
    <w:p>
      <w:pPr>
        <w:spacing w:after="120" w:line="360"/>
        <w:ind w:left="708" w:hanging="708"/>
        <w:jc w:val="left"/>
      </w:pPr>
      <w:r>
        <w:rPr>
          <w:rFonts w:ascii="Times New Roman" w:cs="Times New Roman" w:eastAsia="Times New Roman" w:hAnsi="Times New Roman"/>
          <w:b w:val="false"/>
          <w:bCs w:val="false"/>
          <w:i w:val="false"/>
          <w:iCs w:val="false"/>
          <w:sz w:val="24"/>
          <w:szCs w:val="24"/>
        </w:rPr>
        <w:t xml:space="preserve">Szondi, P. (1956). </w:t>
      </w:r>
      <w:r>
        <w:rPr>
          <w:rFonts w:ascii="Times New Roman" w:cs="Times New Roman" w:eastAsia="Times New Roman" w:hAnsi="Times New Roman"/>
          <w:b w:val="false"/>
          <w:bCs w:val="false"/>
          <w:i/>
          <w:iCs/>
          <w:sz w:val="24"/>
          <w:szCs w:val="24"/>
        </w:rPr>
        <w:t xml:space="preserve">Theorie des modernen Dramas</w:t>
      </w:r>
      <w:r>
        <w:rPr>
          <w:rFonts w:ascii="Times New Roman" w:cs="Times New Roman" w:eastAsia="Times New Roman" w:hAnsi="Times New Roman"/>
          <w:b w:val="false"/>
          <w:bCs w:val="false"/>
          <w:i w:val="false"/>
          <w:iCs w:val="false"/>
          <w:sz w:val="24"/>
          <w:szCs w:val="24"/>
        </w:rPr>
        <w:t xml:space="preserve">. Suhrkamp.</w:t>
      </w:r>
    </w:p>
    <w:p>
      <w:pPr>
        <w:spacing w:after="120" w:line="360"/>
        <w:ind w:left="708" w:hanging="708"/>
        <w:jc w:val="left"/>
      </w:pPr>
      <w:r>
        <w:rPr>
          <w:rFonts w:ascii="Times New Roman" w:cs="Times New Roman" w:eastAsia="Times New Roman" w:hAnsi="Times New Roman"/>
          <w:b w:val="false"/>
          <w:bCs w:val="false"/>
          <w:i w:val="false"/>
          <w:iCs w:val="false"/>
          <w:sz w:val="24"/>
          <w:szCs w:val="24"/>
        </w:rPr>
        <w:t xml:space="preserve">Williams, S., &amp; Hamburger, M. (Eds.). (2008). </w:t>
      </w:r>
      <w:r>
        <w:rPr>
          <w:rFonts w:ascii="Times New Roman" w:cs="Times New Roman" w:eastAsia="Times New Roman" w:hAnsi="Times New Roman"/>
          <w:b w:val="false"/>
          <w:bCs w:val="false"/>
          <w:i/>
          <w:iCs/>
          <w:sz w:val="24"/>
          <w:szCs w:val="24"/>
        </w:rPr>
        <w:t xml:space="preserve">A history of German theatre</w:t>
      </w:r>
      <w:r>
        <w:rPr>
          <w:rFonts w:ascii="Times New Roman" w:cs="Times New Roman" w:eastAsia="Times New Roman" w:hAnsi="Times New Roman"/>
          <w:b w:val="false"/>
          <w:bCs w:val="false"/>
          <w:i w:val="false"/>
          <w:iCs w:val="false"/>
          <w:sz w:val="24"/>
          <w:szCs w:val="24"/>
        </w:rPr>
        <w:t xml:space="preserve">. Cambridge University Press.</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avid" w:cs="David" w:eastAsia="David" w:hAnsi="David"/>
      <w:b/>
      <w:bCs/>
      <w:color w:val="000000"/>
      <w:sz w:val="24"/>
      <w:szCs w:val="24"/>
    </w:rPr>
  </w:style>
  <w:style w:type="paragraph" w:styleId="Heading2">
    <w:name w:val="Heading 2"/>
    <w:basedOn w:val="Normal"/>
    <w:next w:val="Normal"/>
    <w:qFormat/>
    <w:rPr>
      <w:rFonts w:ascii="David" w:cs="David" w:eastAsia="David" w:hAnsi="David"/>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2026-09-01T08:52:13.742Z</dcterms:created>
  <dcterms:modified xsi:type="dcterms:W3CDTF">2026-09-01T08:52:13.742Z</dcterms:modified>
</cp:coreProperties>
</file>

<file path=docProps/custom.xml><?xml version="1.0" encoding="utf-8"?>
<Properties xmlns="http://schemas.openxmlformats.org/officeDocument/2006/custom-properties" xmlns:vt="http://schemas.openxmlformats.org/officeDocument/2006/docPropsVTypes"/>
</file>