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720" w:after="120"/>
        <w:jc w:val="center"/>
      </w:pPr>
      <w:r>
        <w:rPr>
          <w:rFonts w:ascii="David" w:hAnsi="David" w:cs="David"/>
          <w:b/>
          <w:sz w:val="32"/>
          <w:rtl/>
          <w:szCs w:val="32"/>
          <w:bCs/>
        </w:rPr>
        <w:t>המכללה האקדמית סכנין</w:t>
      </w:r>
    </w:p>
    <w:p>
      <w:pPr>
        <w:bidi w:val="1"/>
        <w:spacing w:line="360" w:lineRule="auto" w:before="0" w:after="1200"/>
        <w:jc w:val="center"/>
      </w:pPr>
      <w:r>
        <w:rPr>
          <w:rFonts w:ascii="David" w:hAnsi="David" w:cs="David"/>
          <w:b w:val="0"/>
          <w:sz w:val="26"/>
          <w:rtl/>
          <w:szCs w:val="26"/>
        </w:rPr>
        <w:t>להכשרת עובדי הוראה</w:t>
      </w:r>
    </w:p>
    <w:p>
      <w:pPr>
        <w:bidi w:val="1"/>
        <w:spacing w:line="360" w:lineRule="auto" w:before="0" w:after="200"/>
        <w:jc w:val="center"/>
      </w:pPr>
      <w:r>
        <w:rPr>
          <w:rFonts w:ascii="David" w:hAnsi="David" w:cs="David"/>
          <w:b/>
          <w:sz w:val="32"/>
          <w:rtl/>
          <w:szCs w:val="32"/>
          <w:bCs/>
        </w:rPr>
        <w:t>מטלה סופית לקורס שיטות ואסטרטגיות הוראה</w:t>
      </w:r>
    </w:p>
    <w:p>
      <w:pPr>
        <w:bidi w:val="1"/>
        <w:spacing w:line="360" w:lineRule="auto" w:before="0" w:after="280"/>
        <w:jc w:val="center"/>
      </w:pPr>
      <w:r>
        <w:rPr>
          <w:rFonts w:ascii="David" w:hAnsi="David" w:cs="David"/>
          <w:b w:val="0"/>
          <w:sz w:val="26"/>
          <w:rtl/>
          <w:szCs w:val="26"/>
        </w:rPr>
        <w:t>השלב השני: העבודה המסכמת</w:t>
      </w:r>
    </w:p>
    <w:p>
      <w:pPr>
        <w:bidi w:val="1"/>
        <w:spacing w:line="360" w:lineRule="auto" w:before="0" w:after="40"/>
        <w:jc w:val="center"/>
      </w:pPr>
      <w:r>
        <w:rPr>
          <w:rFonts w:ascii="David" w:hAnsi="David" w:cs="David"/>
          <w:b/>
          <w:sz w:val="30"/>
          <w:rtl/>
          <w:szCs w:val="30"/>
          <w:bCs/>
        </w:rPr>
        <w:t>שיטות הוראה בראייה בין-תרבותית:</w:t>
      </w:r>
    </w:p>
    <w:p>
      <w:pPr>
        <w:bidi w:val="1"/>
        <w:spacing w:line="360" w:lineRule="auto" w:before="0" w:after="1400"/>
        <w:jc w:val="center"/>
      </w:pPr>
      <w:r>
        <w:rPr>
          <w:rFonts w:ascii="David" w:hAnsi="David" w:cs="David"/>
          <w:b/>
          <w:sz w:val="30"/>
          <w:rtl/>
          <w:szCs w:val="30"/>
          <w:bCs/>
        </w:rPr>
        <w:t>מה אפשר ללמוד מהשוואה בין ישראל לסין?</w:t>
      </w:r>
    </w:p>
    <w:p>
      <w:pPr>
        <w:bidi w:val="1"/>
        <w:spacing w:line="360" w:lineRule="auto" w:before="0" w:after="40"/>
        <w:jc w:val="center"/>
      </w:pPr>
      <w:r>
        <w:rPr>
          <w:rFonts w:ascii="David" w:hAnsi="David" w:cs="David"/>
          <w:b w:val="0"/>
          <w:sz w:val="26"/>
          <w:rtl/>
          <w:szCs w:val="26"/>
        </w:rPr>
        <w:t>מגישה: רנא אבו לטיף</w:t>
      </w:r>
    </w:p>
    <w:p>
      <w:pPr>
        <w:bidi w:val="1"/>
        <w:spacing w:line="360" w:lineRule="auto" w:before="0" w:after="480"/>
        <w:jc w:val="center"/>
      </w:pPr>
      <w:r>
        <w:rPr>
          <w:rFonts w:ascii="David" w:hAnsi="David" w:cs="David"/>
          <w:b w:val="0"/>
          <w:sz w:val="26"/>
          <w:rtl/>
          <w:szCs w:val="26"/>
        </w:rPr>
        <w:t>ת.ז: 318891280</w:t>
      </w:r>
    </w:p>
    <w:p>
      <w:pPr>
        <w:bidi w:val="1"/>
        <w:spacing w:line="360" w:lineRule="auto" w:before="0" w:after="120"/>
        <w:jc w:val="center"/>
      </w:pPr>
      <w:r>
        <w:rPr>
          <w:rFonts w:ascii="David" w:hAnsi="David" w:cs="David"/>
          <w:b w:val="0"/>
          <w:sz w:val="26"/>
          <w:rtl/>
          <w:szCs w:val="26"/>
        </w:rPr>
        <w:t>מרצה: גמאל עישאן</w:t>
      </w:r>
    </w:p>
    <w:p>
      <w:r>
        <w:br w:type="page"/>
      </w:r>
    </w:p>
    <w:p>
      <w:pPr>
        <w:bidi w:val="1"/>
        <w:spacing w:line="360" w:lineRule="auto" w:before="240" w:after="160"/>
        <w:jc w:val="right"/>
      </w:pPr>
      <w:r>
        <w:rPr>
          <w:rFonts w:ascii="David" w:hAnsi="David" w:cs="David"/>
          <w:b/>
          <w:sz w:val="28"/>
          <w:rtl/>
          <w:szCs w:val="28"/>
          <w:bCs/>
        </w:rPr>
        <w:t>מבוא</w:t>
      </w:r>
    </w:p>
    <w:p>
      <w:pPr>
        <w:bidi w:val="1"/>
        <w:spacing w:line="360" w:lineRule="auto" w:before="0" w:after="120"/>
        <w:jc w:val="both"/>
      </w:pPr>
      <w:r>
        <w:rPr>
          <w:rFonts w:ascii="David" w:hAnsi="David" w:cs="David"/>
          <w:b w:val="0"/>
          <w:sz w:val="24"/>
          <w:rtl/>
          <w:szCs w:val="24"/>
        </w:rPr>
        <w:t>מה הופך שיעור לשיעור טוב? זו השאלה שליוותה אותי לאורך הקורס, והיא גם השאלה שעומדת במרכז העבודה הזאת. בשלב הראשון של המטלה בחרתי שני מאמרים משתי תרבויות שונות: מחקר ישראלי שהשווה בין מורים יהודים לערבים בתקופת ההוראה המקוונת של הקורונה (מסרי-הרזאללה, 2022), ומחקר סיני רחב היקף שבחן כיצד אסטרטגיות ההוראה של המורה מתורגמות למעורבות של תלמידים בלמידה (Zhang, Yang &amp; Liu, 2024). בעבודה המסכמת אני מבקשת לקחת את ההשוואה הזאת צעד קדימה: לקרוא את שני המחקרים דרך המושגים והתיאוריות שלמדנו בקורס, ולשאול מה ההשוואה מלמדת אותנו, כמורים לעתיד, על הוראה אפקטיבית.</w:t>
      </w:r>
    </w:p>
    <w:p>
      <w:pPr>
        <w:bidi w:val="1"/>
        <w:spacing w:line="360" w:lineRule="auto" w:before="0" w:after="120"/>
        <w:jc w:val="both"/>
      </w:pPr>
      <w:r>
        <w:rPr>
          <w:rFonts w:ascii="David" w:hAnsi="David" w:cs="David"/>
          <w:b w:val="0"/>
          <w:sz w:val="24"/>
          <w:rtl/>
          <w:szCs w:val="24"/>
        </w:rPr>
        <w:t>טענתי המרכזית היא ששני המאמרים מספרים יחד סיפור אחד: שיטת הוראה אינה עומדת בפני עצמה. האפקטיביות שלה תלויה בשני תנאים שנלמדו בקורס לעומק, גיוון השיטות והתאמתן ללומדים מצד אחד, והממד הרגשי והמנהיגותי של המורה מצד שני. אפתח ברקע תיאורטי קצר מתוך חומרי הקורס, אמשיך בהצגת שני המחקרים, ואז אקשור ביניהם בדיון. בסוף אציע המלצות מעשיות, בדגש על מערכת החינוך בחברה הערבית שממנה אני מגיעה ושבה אני מתעתדת ללמד.</w:t>
      </w:r>
    </w:p>
    <w:p>
      <w:pPr>
        <w:bidi w:val="1"/>
        <w:spacing w:line="360" w:lineRule="auto" w:before="240" w:after="160"/>
        <w:jc w:val="right"/>
      </w:pPr>
      <w:r>
        <w:rPr>
          <w:rFonts w:ascii="David" w:hAnsi="David" w:cs="David"/>
          <w:b/>
          <w:sz w:val="28"/>
          <w:rtl/>
          <w:szCs w:val="28"/>
          <w:bCs/>
        </w:rPr>
        <w:t>פרק 1: שיטות הוראה ואסטרטגיות למידה: מסגרת מושגית</w:t>
      </w:r>
    </w:p>
    <w:p>
      <w:pPr>
        <w:bidi w:val="1"/>
        <w:spacing w:line="360" w:lineRule="auto" w:before="0" w:after="120"/>
        <w:jc w:val="both"/>
      </w:pPr>
      <w:r>
        <w:rPr>
          <w:rFonts w:ascii="David" w:hAnsi="David" w:cs="David"/>
          <w:b w:val="0"/>
          <w:sz w:val="24"/>
          <w:rtl/>
          <w:szCs w:val="24"/>
        </w:rPr>
        <w:t>בקורס למדנו ששיטת הוראה היא תהליך המורכב מרצף של פעולות שנועדו להשיג מטרות מוגדרות, והיא כוללת פעילויות הוראה ולמידה ומגייסת את כל משאבי הלמידה הזמינים. ההבחנה המרכזית שעברה כחוט השני בהרצאות היא בין שיטות הממוקדות במורה, כמו ההרצאה, הדיון המונחה וההדגמה, לבין שיטות הממוקדות בלומד, כמו למידה בדרך של פתרון בעיות, סיעור מוחות, למידת חקר, למידה עצמית, למידה בשילוב מחשב ולמידה דרך משחק. בשיטות מהסוג הראשון המורה הוא מקור הידע והתלמיד קולט; בשיטות מהסוג השני המורה הופך למארגן של הלמידה, והתלמיד נעשה שותף פעיל.</w:t>
      </w:r>
    </w:p>
    <w:p>
      <w:pPr>
        <w:bidi w:val="1"/>
        <w:spacing w:line="360" w:lineRule="auto" w:before="0" w:after="120"/>
        <w:jc w:val="both"/>
      </w:pPr>
      <w:r>
        <w:rPr>
          <w:rFonts w:ascii="David" w:hAnsi="David" w:cs="David"/>
          <w:b w:val="0"/>
          <w:sz w:val="24"/>
          <w:rtl/>
          <w:szCs w:val="24"/>
        </w:rPr>
        <w:t>דוגמה מובהקת לשיטה ממוקדת לומד היא פתרון בעיות. על פי השלבים של דיואי שנלמדו בקורס, התלמיד חש בבעיה, מגדיר אותה, אוסף מידע, מעלה השערות, בוחן אותן ומגיע למסקנות שאפשר ליישם במצבים דומים. שיטה זו מקנה לתלמיד חשיבה מדעית, עצמאות וריאליות בחשיבה, אך היא דורשת מהמורה השקעה גדולה של זמן ומאמץ. גם סיעור המוחות שנלמד בקורס בנוי על עיקרון דומה של העברת מרכז הכובד אל הלומדים: דחיית השיפוט, חופש מחשבה, וכמות לפני איכות, מתוך הנחה שהרעיונות המקוריים באים אחרי שנשלפו כל הרעיונות השגרתיים.</w:t>
      </w:r>
    </w:p>
    <w:p>
      <w:pPr>
        <w:bidi w:val="1"/>
        <w:spacing w:line="360" w:lineRule="auto" w:before="0" w:after="120"/>
        <w:jc w:val="both"/>
      </w:pPr>
      <w:r>
        <w:rPr>
          <w:rFonts w:ascii="David" w:hAnsi="David" w:cs="David"/>
          <w:b w:val="0"/>
          <w:sz w:val="24"/>
          <w:rtl/>
          <w:szCs w:val="24"/>
        </w:rPr>
        <w:t>לצד שיטות ההוראה עסקנו גם בצד של הלומד. אסטרטגיות למידה הוגדרו בקורס כפרוצדורות קוגניטיביות שהלומד מפעיל כדי להשיג מטרת למידה, ורכישת אסטרטגיה כוללת גם את הידע מתי להשתמש בה. תלמידים נבדלים זה מזה בסגנון הלמידה שלהם: יש הלומדים טוב יותר בערוץ השמיעתי, יש בערוץ החזותי ויש בערוץ הקינסתטי, ולכל סגנון מתאימות דרכי הוראה אחרות. תיאוריית האינטליגנציות המרובות של גרדנר (Gardner, 1983), שנלמדה בקורס, מרחיבה את הרעיון: לכל אדם פרופיל ייחודי של אינטליגנציות, לשונית, לוגית-מתמטית, מרחבית, מוזיקלית, גופנית-תנועתית, טבעית, תוך-אישית ובין-אישית, ולכן מבחני שאלה-תשובה קצרים אינם מודדים הבנה עמוקה, והוראה טובה חייבת לגוון את דרכי ההוראה וההערכה כך שכל תלמיד יוכל לבטא את חוזקותיו.</w:t>
      </w:r>
    </w:p>
    <w:p>
      <w:pPr>
        <w:bidi w:val="1"/>
        <w:spacing w:line="360" w:lineRule="auto" w:before="240" w:after="160"/>
        <w:jc w:val="right"/>
      </w:pPr>
      <w:r>
        <w:rPr>
          <w:rFonts w:ascii="David" w:hAnsi="David" w:cs="David"/>
          <w:b/>
          <w:sz w:val="28"/>
          <w:rtl/>
          <w:szCs w:val="28"/>
          <w:bCs/>
        </w:rPr>
        <w:t>פרק 2: המורה כמנהיג הכיתה והממד הרגשי של הלמידה</w:t>
      </w:r>
    </w:p>
    <w:p>
      <w:pPr>
        <w:bidi w:val="1"/>
        <w:spacing w:line="360" w:lineRule="auto" w:before="0" w:after="120"/>
        <w:jc w:val="both"/>
      </w:pPr>
      <w:r>
        <w:rPr>
          <w:rFonts w:ascii="David" w:hAnsi="David" w:cs="David"/>
          <w:b w:val="0"/>
          <w:sz w:val="24"/>
          <w:rtl/>
          <w:szCs w:val="24"/>
        </w:rPr>
        <w:t>נושא נוסף שנלמד בקורס הוא הקאדה אלצפיה, מנהיגות המורה בכיתה. המורה אינו רק מעביר ידע אלא מנהיג חינוכי: הוא מתכנן ומארגן, שומר על משמעת שאינה מבוססת על פחד אלא על תמריצים וחיזוקים, מאזן בין תקיפות לגמישות, ומקפיד על יחסי אנוש טובים ועל התחשבות ברגשות התלמידים. אחד העקרונות שנחרתו בי מההרצאה הוא שמורה שרוצה למנוע שעמום ונדידת מחשבות חייב לגוון את השיטות בתוך השיעור האחד עצמו.</w:t>
      </w:r>
    </w:p>
    <w:p>
      <w:pPr>
        <w:bidi w:val="1"/>
        <w:spacing w:line="360" w:lineRule="auto" w:before="0" w:after="120"/>
        <w:jc w:val="both"/>
      </w:pPr>
      <w:r>
        <w:rPr>
          <w:rFonts w:ascii="David" w:hAnsi="David" w:cs="David"/>
          <w:b w:val="0"/>
          <w:sz w:val="24"/>
          <w:rtl/>
          <w:szCs w:val="24"/>
        </w:rPr>
        <w:t>העיקרון הזה מתחבר ישירות להרצאות על ההיבטים הרגשיים של הלמידה. למדנו שהרגשות משפיעים באופן משמעותי על הלמידה ועל הזיכרון, ושהם מספקים את המוטיבציה ואת האנרגיה להתמודדות היומיומית. חוויות רגשיות חיוביות בכיתה אינן קישוט; הן תנאי ללמידה. גם המודל הסלוטוגני שהוצג בקורס מדגיש שלושה מרכיבים שהלומד זקוק להם: מובנות, כלומר הבנה של המטרות והתהליכים; נהילות, כלומר תחושה שיש בידיו משאבים להתמודד; ומשמעות, כלומר מוטיבציה וערך אישי בלמידה. ולבסוף, למדנו על כוחן של ציפיות המורה: אפקט פיגמליון (Rosenthal &amp; Jacobson, 1968) מראה שציפיות גבוהות של מורים מתלמידיהם מתורגמות בפועל להישגים גבוהים יותר.</w:t>
      </w:r>
    </w:p>
    <w:p>
      <w:pPr>
        <w:bidi w:val="1"/>
        <w:spacing w:line="360" w:lineRule="auto" w:before="240" w:after="160"/>
        <w:jc w:val="right"/>
      </w:pPr>
      <w:r>
        <w:rPr>
          <w:rFonts w:ascii="David" w:hAnsi="David" w:cs="David"/>
          <w:b/>
          <w:sz w:val="28"/>
          <w:rtl/>
          <w:szCs w:val="28"/>
          <w:bCs/>
        </w:rPr>
        <w:t>פרק 3: שני מחקרים, שתי תרבויות</w:t>
      </w:r>
    </w:p>
    <w:p>
      <w:pPr>
        <w:bidi w:val="1"/>
        <w:spacing w:line="360" w:lineRule="auto" w:before="0" w:after="120"/>
        <w:jc w:val="both"/>
      </w:pPr>
      <w:r>
        <w:rPr>
          <w:rFonts w:ascii="David" w:hAnsi="David" w:cs="David"/>
          <w:b w:val="0"/>
          <w:sz w:val="24"/>
          <w:rtl/>
          <w:szCs w:val="24"/>
        </w:rPr>
        <w:t>המחקר הישראלי (מסרי-הרזאללה, 2022) בחן את תפיסות האפקטיביות של 295 מורים, יהודים וערבים, בהוראה המקוונת בתקופת הקורונה, בשילוב ראיונות עם 22 מורים. הממצאים העלו שהאפקטיביות הנתפסת נובאה על ידי המעמד הסוציו-אקונומי של התלמידים, גיל המורה, הכשירות הטכנולוגית, תדירות ההוראה הסינכרונית ושביעות הרצון מהמקצוע. מורים יהודים לימדו בממוצע 10.78 שעות סינכרוניות בשבוע לעומת 8.50 בקרב מורים ערבים, ודיווחו על כשירות טכנולוגית גבוהה יותר ועל ניסיון קודם בשילוב טכנולוגיה. מעבר לפערי התשתית, המחקר הצביע על הבדל פדגוגי מהותי: בחברה הערבית ההוראה הסינכרונית שימשה בעיקר תחליף להוראה הפרונטלית המסורתית, ואילו מורים יהודים רבים ניצלו אותה לחדשנות פדגוגית וללמידה פעילה ושיתופית.</w:t>
      </w:r>
    </w:p>
    <w:p>
      <w:pPr>
        <w:bidi w:val="1"/>
        <w:spacing w:line="360" w:lineRule="auto" w:before="0" w:after="120"/>
        <w:jc w:val="both"/>
      </w:pPr>
      <w:r>
        <w:rPr>
          <w:rFonts w:ascii="David" w:hAnsi="David" w:cs="David"/>
          <w:b w:val="0"/>
          <w:sz w:val="24"/>
          <w:rtl/>
          <w:szCs w:val="24"/>
        </w:rPr>
        <w:t>המחקר הסיני (Zhang et al., 2024) נערך בקרב 8,974 תלמידים בחבל הובי, ובחן מודל תיווך ממותן. נמצא שאסטרטגיות ההוראה של המורה משפיעות על מעורבות התלמידים בלמידה בשני מסלולים: מסלול ישיר, ומסלול עקיף שעובר דרך תפיסת התלמידים את המעורבות הרגשית של המורה. המסלול העקיף היווה 54.63% מסך ההשפעה, יותר מהמסלול הישיר. כלומר, כשהמורה מציב יעדים ברורים, מנחה באופן מעורר השראה, מעריך ונותן משוב, התלמידים קוראים את זה קודם כול כאכפתיות רגשית, והאכפתיות הזאת היא שמניעה את המעורבות שלהם. עוד נמצא שציפיות גבוהות של המורה מעצימות את הקשר הזה, ממצא שהחוקרים קושרים במפורש לאפקט פיגמליון.</w:t>
      </w:r>
    </w:p>
    <w:p>
      <w:pPr>
        <w:bidi w:val="1"/>
        <w:spacing w:line="360" w:lineRule="auto" w:before="240" w:after="160"/>
        <w:jc w:val="right"/>
      </w:pPr>
      <w:r>
        <w:rPr>
          <w:rFonts w:ascii="David" w:hAnsi="David" w:cs="David"/>
          <w:b/>
          <w:sz w:val="28"/>
          <w:rtl/>
          <w:szCs w:val="28"/>
          <w:bCs/>
        </w:rPr>
        <w:t>פרק 4: דיון: קריאה של שני המחקרים דרך חומר הקורס</w:t>
      </w:r>
    </w:p>
    <w:p>
      <w:pPr>
        <w:bidi w:val="1"/>
        <w:spacing w:line="360" w:lineRule="auto" w:before="0" w:after="120"/>
        <w:jc w:val="both"/>
      </w:pPr>
      <w:r>
        <w:rPr>
          <w:rFonts w:ascii="David" w:hAnsi="David" w:cs="David"/>
          <w:b w:val="0"/>
          <w:sz w:val="24"/>
          <w:rtl/>
          <w:szCs w:val="24"/>
        </w:rPr>
        <w:t>כשמניחים את שני המחקרים זה לצד זה דרך המשקפיים של הקורס, ההשוואה נעשית מעניינת באמת. הממצא הישראלי על ההוראה במגזר הערבי הוא בעצם תיאור מדויק של הוראה ממוקדת מורה: השיעור הפרונטלי הועתק כמו שהוא אל הזום. משבר הקורונה חשף את מה שהקורס לימד אותנו ברמה העקרונית, ששיטה אחת ויחידה היא שיטה שבירה. מורה שכל כלי עבודתו הוא ההרצאה הפרונטלית נשאר בלי כלים ברגע שהתנאים משתנים, בעוד שמורה שמחזיק מגוון שיטות, דיון, חקר, למידה שיתופית, משחק, יכול להמיר אותן לסביבה החדשה. הפער בין המגזרים אינו רק פער של מחשבים ותשתיות אלא גם פער של רפרטואר פדגוגי, וזה בדיוק מה שהקורס שלנו מנסה לתת.</w:t>
      </w:r>
    </w:p>
    <w:p>
      <w:pPr>
        <w:bidi w:val="1"/>
        <w:spacing w:line="360" w:lineRule="auto" w:before="0" w:after="120"/>
        <w:jc w:val="both"/>
      </w:pPr>
      <w:r>
        <w:rPr>
          <w:rFonts w:ascii="David" w:hAnsi="David" w:cs="David"/>
          <w:b w:val="0"/>
          <w:sz w:val="24"/>
          <w:rtl/>
          <w:szCs w:val="24"/>
        </w:rPr>
        <w:t>המחקר הסיני מוסיף את הנדבך השני, הרגשי. הממצא ש-54.63% מהשפעת האסטרטגיות עוברים דרך התפיסה הרגשית של התלמידים הוא אישוש כמותי מרשים לרעיון שנלמד בהרצאות על ההיבטים הרגשיים: הרגש אינו תוצר לוואי של הלמידה אלא המנוע שלה. הוא גם מתחבר למודל הסלוטוגני, שכן מורה שמציב יעדים ברורים מייצר מובנות, מורה שנותן משוב בונה מייצר נהילות, ומורה שמעביר התלהבות מייצר משמעות. והממצא על ציפיות המורים סוגר את המעגל עם אפקט פיגמליון שנלמד בקורס. במילים אחרות, מה שהמחקר הסיני מודד הוא בדיוק מה שהקורס מכנה מנהיגות כיתתית: לא טכניקה, אלא נוכחות אנושית שמנהיגה את הלמידה.</w:t>
      </w:r>
    </w:p>
    <w:p>
      <w:pPr>
        <w:bidi w:val="1"/>
        <w:spacing w:line="360" w:lineRule="auto" w:before="0" w:after="120"/>
        <w:jc w:val="both"/>
      </w:pPr>
      <w:r>
        <w:rPr>
          <w:rFonts w:ascii="David" w:hAnsi="David" w:cs="David"/>
          <w:b w:val="0"/>
          <w:sz w:val="24"/>
          <w:rtl/>
          <w:szCs w:val="24"/>
        </w:rPr>
        <w:t>נקודה שלישית נוגעת להתאמה התרבותית. יהיה זה פשטני להסיק שצריך פשוט להעתיק את הגישה הסינית לישראל או את החדשנות של מגזר אחד למגזר אחר. כפי שלמדנו בהקשר של אינטליגנציות מרובות וסגנונות למידה, התאמה היא לב העניין: מה שנכון ללומד אחד אינו נכון לאחר, ומה שנכון לחברה אחת אינו בהכרח נכון לאחרת. סגנון ההוראה הפרונטלי בחברה הערבית אינו רק "פיגור" שיש לתקן; הוא קשור למבנה תרבותי שבו למורה מעמד של סמכות, והשינוי צריך להיעשות מתוך התרבות ולא נגדה. אבל המחקר הסיני דווקא מעודד מהבחינה הזאת: גם בתרבות היררכית מאוד, שבה מעמד המורה מרכזי, נמצא שהממד הרגשי והציפיות הגבוהות הם המפתח. כלומר, אין סתירה בין מורה סמכותי ומכובד לבין מורה חם, מגוון ומעורב רגשית. זה בדיוק האיזון בין תקיפות לגמישות שנלמד בהרצאה על מנהיגות המורה.</w:t>
      </w:r>
    </w:p>
    <w:p>
      <w:pPr>
        <w:bidi w:val="1"/>
        <w:spacing w:line="360" w:lineRule="auto" w:before="240" w:after="160"/>
        <w:jc w:val="right"/>
      </w:pPr>
      <w:r>
        <w:rPr>
          <w:rFonts w:ascii="David" w:hAnsi="David" w:cs="David"/>
          <w:b/>
          <w:sz w:val="28"/>
          <w:rtl/>
          <w:szCs w:val="28"/>
          <w:bCs/>
        </w:rPr>
        <w:t>פרק 5: מסקנות והמלצות</w:t>
      </w:r>
    </w:p>
    <w:p>
      <w:pPr>
        <w:bidi w:val="1"/>
        <w:spacing w:line="360" w:lineRule="auto" w:before="0" w:after="120"/>
        <w:jc w:val="both"/>
      </w:pPr>
      <w:r>
        <w:rPr>
          <w:rFonts w:ascii="David" w:hAnsi="David" w:cs="David"/>
          <w:b w:val="0"/>
          <w:sz w:val="24"/>
          <w:rtl/>
          <w:szCs w:val="24"/>
        </w:rPr>
        <w:t>מההשוואה עולות בעיניי ארבע המלצות מעשיות. ראשית, הרחבת הרפרטואר הפדגוגי של מורים בחברה הערבית: הכשרות שמקנות לא רק כלים טכנולוגיים אלא שיטות הוראה ממוקדות לומד, פתרון בעיות, סיעור מוחות ולמידה שיתופית, כך שהטכנולוגיה תשמש לחדשנות ולא לשעתוק ההרצאה. שנית, פיתוח מודע של הממד הרגשי בהוראה: מורה צריך לדעת שהמשוב, ההתלהבות והאכפתיות שלו הם כלי הוראה ממש, לא תוספת. שלישית, טיפוח ציפיות גבוהות מכל תלמיד ותלמידה, ברוח אפקט פיגמליון, דווקא בקהילות שבהן הפערים הסוציו-אקונומיים מזמינים ציפיות נמוכות. ורביעית, תכנון שיעורים מגוון המבוסס על סגנונות למידה ואינטליגנציות מרובות, כך שכל שיעור יכלול יותר מערוץ אחד ויותר משיטה אחת.</w:t>
      </w:r>
    </w:p>
    <w:p>
      <w:pPr>
        <w:bidi w:val="1"/>
        <w:spacing w:line="360" w:lineRule="auto" w:before="240" w:after="160"/>
        <w:jc w:val="right"/>
      </w:pPr>
      <w:r>
        <w:rPr>
          <w:rFonts w:ascii="David" w:hAnsi="David" w:cs="David"/>
          <w:b/>
          <w:sz w:val="28"/>
          <w:rtl/>
          <w:szCs w:val="28"/>
          <w:bCs/>
        </w:rPr>
        <w:t>סיכום</w:t>
      </w:r>
    </w:p>
    <w:p>
      <w:pPr>
        <w:bidi w:val="1"/>
        <w:spacing w:line="360" w:lineRule="auto" w:before="0" w:after="120"/>
        <w:jc w:val="both"/>
      </w:pPr>
      <w:r>
        <w:rPr>
          <w:rFonts w:ascii="David" w:hAnsi="David" w:cs="David"/>
          <w:b w:val="0"/>
          <w:sz w:val="24"/>
          <w:rtl/>
          <w:szCs w:val="24"/>
        </w:rPr>
        <w:t>יצאתי לעבודה הזאת עם שאלה על שיטות הוראה וסיימתי אותה עם תובנה על מורים. שני המחקרים, כל אחד מתרבותו, מצביעים על אותה מסקנה: השיטה חשובה, אבל היא פועלת רק דרך האדם שמפעיל אותה. מורה עם ארגז כלים מגוון, מעורבות רגשית אמיתית וציפיות גבוהות מתלמידיו יצליח כמעט בכל תנאי, גם במשבר עולמי. זו התובנה שאני לוקחת איתי מהקורס אל הכיתה שלי.</w:t>
      </w:r>
    </w:p>
    <w:p>
      <w:r>
        <w:br w:type="page"/>
      </w:r>
    </w:p>
    <w:p>
      <w:pPr>
        <w:bidi w:val="1"/>
        <w:spacing w:line="360" w:lineRule="auto" w:before="240" w:after="160"/>
        <w:jc w:val="right"/>
      </w:pPr>
      <w:r>
        <w:rPr>
          <w:rFonts w:ascii="David" w:hAnsi="David" w:cs="David"/>
          <w:b/>
          <w:sz w:val="28"/>
          <w:rtl/>
          <w:szCs w:val="28"/>
          <w:bCs/>
        </w:rPr>
        <w:t>מקורות</w:t>
      </w:r>
    </w:p>
    <w:p>
      <w:pPr>
        <w:spacing w:line="360" w:lineRule="auto" w:after="200"/>
        <w:jc w:val="left"/>
      </w:pPr>
      <w:r>
        <w:rPr>
          <w:rFonts w:ascii="David" w:hAnsi="David" w:cs="David"/>
          <w:rFonts w:ascii="David" w:hAnsi="David"/>
          <w:sz w:val="24"/>
        </w:rPr>
        <w:t>Gardner, H. (1983). Frames of mind: The theory of multiple intelligences. Basic Books.</w:t>
      </w:r>
    </w:p>
    <w:p>
      <w:pPr>
        <w:spacing w:line="360" w:lineRule="auto" w:after="200"/>
        <w:jc w:val="left"/>
      </w:pPr>
      <w:r>
        <w:rPr>
          <w:rFonts w:ascii="David" w:hAnsi="David" w:cs="David"/>
          <w:rFonts w:ascii="David" w:hAnsi="David"/>
          <w:sz w:val="24"/>
        </w:rPr>
        <w:t>Masry-Herzallah, A. (2022). Teachers' perceived effectiveness in online teaching during Covid-19 crisis: Comparing Jewish/Arab teachers in Israel. International Journal of Instruction, 15(3), 649-676. https://doi.org/10.29333/iji.2022.15336a</w:t>
      </w:r>
    </w:p>
    <w:p>
      <w:pPr>
        <w:spacing w:line="360" w:lineRule="auto" w:after="200"/>
        <w:jc w:val="left"/>
      </w:pPr>
      <w:r>
        <w:rPr>
          <w:rFonts w:ascii="David" w:hAnsi="David" w:cs="David"/>
          <w:rFonts w:ascii="David" w:hAnsi="David"/>
          <w:sz w:val="24"/>
        </w:rPr>
        <w:t>Rosenthal, R., &amp; Jacobson, L. (1968). Pygmalion in the classroom: Teacher expectation and pupils' intellectual development. Holt, Rinehart &amp; Winston.</w:t>
      </w:r>
    </w:p>
    <w:p>
      <w:pPr>
        <w:spacing w:line="360" w:lineRule="auto" w:after="200"/>
        <w:jc w:val="left"/>
      </w:pPr>
      <w:r>
        <w:rPr>
          <w:rFonts w:ascii="David" w:hAnsi="David" w:cs="David"/>
          <w:rFonts w:ascii="David" w:hAnsi="David"/>
          <w:sz w:val="24"/>
        </w:rPr>
        <w:t>Zhang, H., Yang, J., &amp; Liu, Z. (2024). Effect of teachers' teaching strategies on students' learning engagement: Moderated mediation model. Frontiers in Psychology, 15, 1475048. https://doi.org/10.3389/fpsyg.2024.1475048</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