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24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נשים ופשיעה: הפער המגדרי בעבריינות</w:t>
      </w:r>
    </w:p>
    <w:p>
      <w:pPr>
        <w:bidi/>
        <w:spacing w:after="400" w:line="360"/>
        <w:jc w:val="center"/>
      </w:pPr>
      <w:r>
        <w:rPr>
          <w:rFonts w:ascii="David" w:cs="David" w:eastAsia="David" w:hAnsi="David"/>
          <w:b/>
          <w:bCs/>
          <w:sz w:val="32"/>
          <w:szCs w:val="32"/>
          <w:rtl/>
        </w:rPr>
        <w:t xml:space="preserve">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24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p>
      <w:pPr>
        <w:tabs>
          <w:tab w:val="right" w:pos="9026" w:leader="dot"/>
        </w:tabs>
        <w:bidi/>
        <w:spacing w:after="60" w:line="480"/>
        <w:jc w:val="left"/>
      </w:pPr>
      <w:r>
        <w:rPr>
          <w:rFonts w:ascii="David" w:cs="David" w:eastAsia="David" w:hAnsi="David"/>
          <w:sz w:val="24"/>
          <w:szCs w:val="24"/>
          <w:rtl/>
        </w:rPr>
        <w:t xml:space="preserve">תקציר</w:t>
      </w:r>
      <w:r>
        <w:rPr>
          <w:rFonts w:ascii="David" w:cs="David" w:eastAsia="David" w:hAnsi="David"/>
          <w:sz w:val="24"/>
          <w:szCs w:val="24"/>
        </w:rPr>
        <w:t xml:space="preserve">	</w:t>
      </w:r>
      <w:r>
        <w:rPr>
          <w:rFonts w:ascii="David" w:cs="David" w:eastAsia="David" w:hAnsi="David"/>
          <w:sz w:val="24"/>
          <w:szCs w:val="24"/>
        </w:rPr>
        <w:t xml:space="preserve">3</w:t>
      </w:r>
    </w:p>
    <w:p>
      <w:pPr>
        <w:tabs>
          <w:tab w:val="right" w:pos="9026" w:leader="dot"/>
        </w:tabs>
        <w:bidi/>
        <w:spacing w:after="60" w:line="480"/>
        <w:jc w:val="left"/>
      </w:pPr>
      <w:r>
        <w:rPr>
          <w:rFonts w:ascii="David" w:cs="David" w:eastAsia="David" w:hAnsi="David"/>
          <w:sz w:val="24"/>
          <w:szCs w:val="24"/>
          <w:rtl/>
        </w:rPr>
        <w:t xml:space="preserve">מבוא</w:t>
      </w:r>
      <w:r>
        <w:rPr>
          <w:rFonts w:ascii="David" w:cs="David" w:eastAsia="David" w:hAnsi="David"/>
          <w:sz w:val="24"/>
          <w:szCs w:val="24"/>
        </w:rPr>
        <w:t xml:space="preserve">	</w:t>
      </w:r>
      <w:r>
        <w:rPr>
          <w:rFonts w:ascii="David" w:cs="David" w:eastAsia="David" w:hAnsi="David"/>
          <w:sz w:val="24"/>
          <w:szCs w:val="24"/>
        </w:rPr>
        <w:t xml:space="preserve">4</w:t>
      </w:r>
    </w:p>
    <w:p>
      <w:pPr>
        <w:tabs>
          <w:tab w:val="right" w:pos="9026" w:leader="dot"/>
        </w:tabs>
        <w:bidi/>
        <w:spacing w:after="60" w:line="480"/>
        <w:jc w:val="left"/>
      </w:pPr>
      <w:r>
        <w:rPr>
          <w:rFonts w:ascii="David" w:cs="David" w:eastAsia="David" w:hAnsi="David"/>
          <w:sz w:val="24"/>
          <w:szCs w:val="24"/>
          <w:rtl/>
        </w:rPr>
        <w:t xml:space="preserve">פרק ראשון: הגדרות ומאפיינים של התופעה</w:t>
      </w:r>
      <w:r>
        <w:rPr>
          <w:rFonts w:ascii="David" w:cs="David" w:eastAsia="David" w:hAnsi="David"/>
          <w:sz w:val="24"/>
          <w:szCs w:val="24"/>
        </w:rPr>
        <w:t xml:space="preserve">	</w:t>
      </w:r>
      <w:r>
        <w:rPr>
          <w:rFonts w:ascii="David" w:cs="David" w:eastAsia="David" w:hAnsi="David"/>
          <w:sz w:val="24"/>
          <w:szCs w:val="24"/>
        </w:rPr>
        <w:t xml:space="preserve">5</w:t>
      </w:r>
    </w:p>
    <w:p>
      <w:pPr>
        <w:tabs>
          <w:tab w:val="right" w:pos="9026" w:leader="dot"/>
        </w:tabs>
        <w:bidi/>
        <w:spacing w:after="60" w:line="480"/>
        <w:jc w:val="left"/>
      </w:pPr>
      <w:r>
        <w:rPr>
          <w:rFonts w:ascii="David" w:cs="David" w:eastAsia="David" w:hAnsi="David"/>
          <w:sz w:val="24"/>
          <w:szCs w:val="24"/>
          <w:rtl/>
        </w:rPr>
        <w:t xml:space="preserve">פרק שני: היחס ביהדות לנושא</w:t>
      </w:r>
      <w:r>
        <w:rPr>
          <w:rFonts w:ascii="David" w:cs="David" w:eastAsia="David" w:hAnsi="David"/>
          <w:sz w:val="24"/>
          <w:szCs w:val="24"/>
        </w:rPr>
        <w:t xml:space="preserve">	</w:t>
      </w:r>
      <w:r>
        <w:rPr>
          <w:rFonts w:ascii="David" w:cs="David" w:eastAsia="David" w:hAnsi="David"/>
          <w:sz w:val="24"/>
          <w:szCs w:val="24"/>
        </w:rPr>
        <w:t xml:space="preserve">7</w:t>
      </w:r>
    </w:p>
    <w:p>
      <w:pPr>
        <w:tabs>
          <w:tab w:val="right" w:pos="9026" w:leader="dot"/>
        </w:tabs>
        <w:bidi/>
        <w:spacing w:after="60" w:line="480"/>
        <w:jc w:val="left"/>
      </w:pPr>
      <w:r>
        <w:rPr>
          <w:rFonts w:ascii="David" w:cs="David" w:eastAsia="David" w:hAnsi="David"/>
          <w:sz w:val="24"/>
          <w:szCs w:val="24"/>
          <w:rtl/>
        </w:rPr>
        <w:t xml:space="preserve">פרק שלישי: גישות בקרימינולוגיה המסבירות את הנושא</w:t>
      </w:r>
      <w:r>
        <w:rPr>
          <w:rFonts w:ascii="David" w:cs="David" w:eastAsia="David" w:hAnsi="David"/>
          <w:sz w:val="24"/>
          <w:szCs w:val="24"/>
        </w:rPr>
        <w:t xml:space="preserve">	</w:t>
      </w:r>
      <w:r>
        <w:rPr>
          <w:rFonts w:ascii="David" w:cs="David" w:eastAsia="David" w:hAnsi="David"/>
          <w:sz w:val="24"/>
          <w:szCs w:val="24"/>
        </w:rPr>
        <w:t xml:space="preserve">10</w:t>
      </w:r>
    </w:p>
    <w:p>
      <w:pPr>
        <w:tabs>
          <w:tab w:val="right" w:pos="9026" w:leader="dot"/>
        </w:tabs>
        <w:bidi/>
        <w:spacing w:after="60" w:line="480"/>
        <w:jc w:val="left"/>
      </w:pPr>
      <w:r>
        <w:rPr>
          <w:rFonts w:ascii="David" w:cs="David" w:eastAsia="David" w:hAnsi="David"/>
          <w:sz w:val="24"/>
          <w:szCs w:val="24"/>
          <w:rtl/>
        </w:rPr>
        <w:t xml:space="preserve">פרק רביעי: מחקרים בקרימינולוגיה על הנושא</w:t>
      </w:r>
      <w:r>
        <w:rPr>
          <w:rFonts w:ascii="David" w:cs="David" w:eastAsia="David" w:hAnsi="David"/>
          <w:sz w:val="24"/>
          <w:szCs w:val="24"/>
        </w:rPr>
        <w:t xml:space="preserve">	</w:t>
      </w:r>
      <w:r>
        <w:rPr>
          <w:rFonts w:ascii="David" w:cs="David" w:eastAsia="David" w:hAnsi="David"/>
          <w:sz w:val="24"/>
          <w:szCs w:val="24"/>
        </w:rPr>
        <w:t xml:space="preserve">13</w:t>
      </w:r>
    </w:p>
    <w:p>
      <w:pPr>
        <w:tabs>
          <w:tab w:val="right" w:pos="9026" w:leader="dot"/>
        </w:tabs>
        <w:bidi/>
        <w:spacing w:after="60" w:line="480"/>
        <w:jc w:val="left"/>
      </w:pPr>
      <w:r>
        <w:rPr>
          <w:rFonts w:ascii="David" w:cs="David" w:eastAsia="David" w:hAnsi="David"/>
          <w:sz w:val="24"/>
          <w:szCs w:val="24"/>
          <w:rtl/>
        </w:rPr>
        <w:t xml:space="preserve">פרק חמישי: דיון ומסקנות</w:t>
      </w:r>
      <w:r>
        <w:rPr>
          <w:rFonts w:ascii="David" w:cs="David" w:eastAsia="David" w:hAnsi="David"/>
          <w:sz w:val="24"/>
          <w:szCs w:val="24"/>
        </w:rPr>
        <w:t xml:space="preserve">	</w:t>
      </w:r>
      <w:r>
        <w:rPr>
          <w:rFonts w:ascii="David" w:cs="David" w:eastAsia="David" w:hAnsi="David"/>
          <w:sz w:val="24"/>
          <w:szCs w:val="24"/>
        </w:rPr>
        <w:t xml:space="preserve">16</w:t>
      </w:r>
    </w:p>
    <w:p>
      <w:pPr>
        <w:tabs>
          <w:tab w:val="right" w:pos="9026" w:leader="dot"/>
        </w:tabs>
        <w:bidi/>
        <w:spacing w:after="60" w:line="480"/>
        <w:jc w:val="left"/>
      </w:pPr>
      <w:r>
        <w:rPr>
          <w:rFonts w:ascii="David" w:cs="David" w:eastAsia="David" w:hAnsi="David"/>
          <w:sz w:val="24"/>
          <w:szCs w:val="24"/>
          <w:rtl/>
        </w:rPr>
        <w:t xml:space="preserve">ביבליוגרפיה</w:t>
      </w:r>
      <w:r>
        <w:rPr>
          <w:rFonts w:ascii="David" w:cs="David" w:eastAsia="David" w:hAnsi="David"/>
          <w:sz w:val="24"/>
          <w:szCs w:val="24"/>
        </w:rPr>
        <w:t xml:space="preserve">	</w:t>
      </w:r>
      <w:r>
        <w:rPr>
          <w:rFonts w:ascii="David" w:cs="David" w:eastAsia="David" w:hAnsi="David"/>
          <w:sz w:val="24"/>
          <w:szCs w:val="24"/>
        </w:rPr>
        <w:t xml:space="preserve">19</w:t>
      </w:r>
    </w:p>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סטפנסמייר ואלן קבעו כי "מגדר הוא המנבא החזק ביותר של מעורבות בפשיעה", חזק יותר מגיל, ממעמד חברתי-כלכלי, מהשכלה ומכל משתנה דמוגרפי אחר (Steffensmeier &amp; Allan, 1996).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(Kruttschnitt, 2013; Sela-Shayovitz, 2017).</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(גוד, 2002).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(Chesney-Lind, 1989).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(Steffensmeier &amp; Allan, 1996).</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(Kruttschnitt, 2013). באוכלוסיית האסירים הפער בולט עוד יותר: נשים מהוות בעולם כחמישה אחוזים בלבד מכלל הכלואים, ובישראל אף פחות מכך.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(Kruttschnitt, 2013).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(Steffensmeier &amp; Allan, 1996).</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(Chesney-Lind, 1989; פרישטוק, 2019). רביעית, מאפייני רקע: נשים כלואות מתאפיינות בשיעורים גבוהים של עוני, אימהוּת יחידנית, תחלואה נפשית והתמכרויות, ריבוי פגיעויות המבחין אותן מאוכלוסיית האסירים הגברית.</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(Steffensmeier &amp; Allan, 1996; Kruttschnitt, 2013).</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(Steffensmeier &amp; Allan, 1996).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(Sampson &amp; Laub, 2003).</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וקבעה מנגנוני הגנה והרתעה ייחודיים.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(שוהם ואחרים, 2004; Naegler &amp; Salman, 2016).</w:t>
      </w:r>
    </w:p>
    <w:p>
      <w:pPr>
        <w:bidi/>
        <w:spacing w:after="160" w:before="0" w:line="360"/>
        <w:jc w:val="both"/>
      </w:pPr>
      <w:r>
        <w:rPr>
          <w:rFonts w:ascii="David" w:cs="David" w:eastAsia="David" w:hAnsi="David"/>
          <w:sz w:val="24"/>
          <w:szCs w:val="24"/>
          <w:rtl/>
        </w:rPr>
        <w:t xml:space="preserve">פולק (Pollak, 1950)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הציעו אדלר וסיימון את "תיאוריית האמנציפציה": אדלר (Adler, 1975) טענה בספרה "אחיות בפשע" כי השחרור הנשי יביא להתכנסות דפוסי הפשיעה: ככל שנשים ישתלבו בשוק העבודה ובעמדות כוח, כך תעלה עבריינותן ותידמה לזו הגברית. סיימון (Simon, 1975) הציעה גרסה מתונה שלפיה ההשתלבות התעסוקתית תרחיב בעיקר את הזדמנויותיהן לעבירות צווארון לבן.</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(Steffensmeier &amp; Allan, 1996; Estrada et al., 2016).</w:t>
      </w:r>
    </w:p>
    <w:p>
      <w:pPr>
        <w:pStyle w:val="Heading2"/>
        <w:bidi/>
        <w:spacing w:after="120" w:before="240" w:line="360"/>
        <w:jc w:val="right"/>
      </w:pPr>
      <w:r>
        <w:rPr>
          <w:rFonts w:ascii="David" w:cs="David" w:eastAsia="David" w:hAnsi="David"/>
          <w:b/>
          <w:bCs/>
          <w:color w:val="000000"/>
          <w:sz w:val="26"/>
          <w:szCs w:val="26"/>
          <w:rtl/>
        </w:rPr>
        <w:t xml:space="preserve">3.3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3.4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3.5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(Steffensmeier &amp; Allan, 1996).</w:t>
      </w:r>
    </w:p>
    <w:p>
      <w:pPr>
        <w:bidi/>
        <w:spacing w:after="160" w:before="0" w:line="360"/>
        <w:jc w:val="both"/>
      </w:pPr>
      <w:r>
        <w:rPr>
          <w:rFonts w:ascii="David" w:cs="David" w:eastAsia="David" w:hAnsi="David"/>
          <w:sz w:val="24"/>
          <w:szCs w:val="24"/>
          <w:rtl/>
        </w:rPr>
        <w:t xml:space="preserve">ברוידי ואגניו (Broidy &amp; Agnew, 1997)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3.6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(Kelly et al., 2015). על בסיס זה צמחו הקרימינולוגיה החיובית, המדגישה גורמי חוסן, שילוב חברתי וחוויות מתקנות (Ronel &amp; Elisha, 2011),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משלושים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שבהן הבנות עוברות מעט יותר עבירות והבנים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בהסבר הפער המגדרי בעבריינות נוער. ממצאיה עקביים עם תיאוריות הפיקוח: בנות דיווחו על רמות גבוהות יותר של קשר להורים ושל פיקוח הורי, משתנים אלה נמצאו קשורים לעבריינות אצל שני המינים, והם מסבירים חלק מן הפער המגדרי בהתנהגות העבריינית. ממצא זה מספק תמיכה אמפירית עדכנית לטענה המרכזית של עבודה זו, שלפיה הפער המגדרי מתווך במידה רבה על ידי פיקוח וקשר משפחתי, ולא על ידי נטיות מולדות.</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קרוטשניט (Kruttschnitt, 2013), בסקירה שיטתית של מחקר העשורים האחרונים, מסכמת שלושה ממצאי ליבה: ראשית, הפער המגדרי נותר "עמיד להפליא" בעבירות החמורות בכל שיטות המדידה; שנית, ההסברים הנתמכים ביותר הם חיברות מגדרי ופיקוח חברתי דיפרנציאלי, ולא הבדלים ביולוגיים; שלישית, מסלולי הכניסה של נשים לעבריינות שזורים בקורבנות קודמת, בעוני ובתלות בבני זוג עבריינים, ומכאן שנדרשת מדיניות ענישה ושיקום מגדרית-רגישה (Gender-Responsive).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קלי ועמיתיו (Kelly et al., 2015) ערכו מטא-אנליזה של 62 מחקרים על הקשר שבין דתיות לעבריינות ולשימוש בסמים. הממצא המצרפי מובהק ועקבי: דתיות מתואמת שלילית עם עבריינות, והאפקט חזק במיוחד ביחס לשימוש בסמים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הייגן: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נקודות מחלוקת והערכה ביקורתית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שצ'סני-לינד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(Ronel &amp; Elisha, 2011; בן יאיר,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המטא-אנליזה של קלי ועמיתיו (Kelly et al., 2015)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מדוע נשים עוברות פחות עבירות מגברים וכיצד מסבירות זאת היהדות והקרימינולוגיה, זכתה בעבודה זו לתשובה כפולה ומצטלבת. הקרימינולוגיה העדכנית מסבירה את הפער המגדרי בראש ובראשונה בחיברות מגדרי, בפיקוח חברתי בלתי פורמלי דיפרנציאלי ובהבדלים בעיבוד מצוקה, לאחר שנטשה את ההסברים הביולוגיים-מהותניים של ראשיתה. היהדות, שהקדימה והעמידה את האישה כסובייקט מוסרי שווה-אחריות, מסבירה את מיעוט העבירה הנשית באמצעות אותם מנגנונים עצמם, בלבוש נורמטיבי: צניעות כתיחום זירות, קהילה כפיקוח, "בינה יתרה" כחוסן מוסרי. ההשוואה מלמדת כי שתי מערכות הידע זיהו את אותה אמת חברתית יסודית: העבירה משגשגת במרחבי הפקרות, והיא נבלמת בקשר, במחויבות ובמשמעות. אך ההשוואה גם מזהירה: מנגנוני מגן מגדריים גובים מחיר של חירות, והמבחן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סוגיות חברתיות בישראל, 30(2), 368-337.</w:t>
      </w:r>
    </w:p>
    <w:p>
      <w:pPr>
        <w:bidi/>
        <w:spacing w:after="160" w:line="360"/>
        <w:ind w:left="709" w:hanging="709"/>
        <w:jc w:val="right"/>
      </w:pPr>
      <w:r>
        <w:rPr>
          <w:rFonts w:ascii="David" w:cs="David" w:eastAsia="David" w:hAnsi="David"/>
          <w:sz w:val="24"/>
          <w:szCs w:val="24"/>
          <w:rtl/>
        </w:rPr>
        <w:t xml:space="preserve">גוד, א' (2002). על הסטייה. האוניברסיטה הפתוחה.</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משפטים, מט, 673-619.</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משטרה והיסטוריה, 3, 154-109.</w:t>
      </w:r>
    </w:p>
    <w:p>
      <w:pPr>
        <w:bidi/>
        <w:spacing w:after="160" w:line="360"/>
        <w:ind w:left="709" w:hanging="709"/>
        <w:jc w:val="right"/>
      </w:pPr>
      <w:r>
        <w:rPr>
          <w:rFonts w:ascii="David" w:cs="David" w:eastAsia="David" w:hAnsi="David"/>
          <w:sz w:val="24"/>
          <w:szCs w:val="24"/>
          <w:rtl/>
        </w:rPr>
        <w:t xml:space="preserve">לרנאו, ח' (2023). עבריינות ואכיפת החוק: תיאוריה, מדיניות וביקורת. פרדס.</w:t>
      </w:r>
    </w:p>
    <w:p>
      <w:pPr>
        <w:bidi/>
        <w:spacing w:after="160" w:line="360"/>
        <w:ind w:left="709" w:hanging="709"/>
        <w:jc w:val="right"/>
      </w:pPr>
      <w:r>
        <w:rPr>
          <w:rFonts w:ascii="David" w:cs="David" w:eastAsia="David" w:hAnsi="David"/>
          <w:sz w:val="24"/>
          <w:szCs w:val="24"/>
          <w:rtl/>
        </w:rPr>
        <w:t xml:space="preserve">פרישטוק, מ' (2019). ויקטימולוגיה ויהדות: תיאוריה, טיפולוגיה, טיפול, מדיניות ויישום. אח.</w:t>
      </w:r>
    </w:p>
    <w:p>
      <w:pPr>
        <w:bidi/>
        <w:spacing w:after="160" w:line="360"/>
        <w:ind w:left="709" w:hanging="709"/>
        <w:jc w:val="right"/>
      </w:pPr>
      <w:r>
        <w:rPr>
          <w:rFonts w:ascii="David" w:cs="David" w:eastAsia="David" w:hAnsi="David"/>
          <w:sz w:val="24"/>
          <w:szCs w:val="24"/>
          <w:rtl/>
        </w:rPr>
        <w:t xml:space="preserve">שוהם, ש"ג, אדד, מ' ורהב, ג' (2004). קרימינולוגיה. שוקן.</w:t>
      </w:r>
    </w:p>
    <w:p>
      <w:pPr>
        <w:bidi w:val="false"/>
        <w:spacing w:after="160" w:line="360"/>
        <w:ind w:left="709" w:hanging="709"/>
        <w:jc w:val="left"/>
      </w:pPr>
      <w:r>
        <w:rPr>
          <w:rFonts w:ascii="Times New Roman" w:cs="Times New Roman" w:eastAsia="Times New Roman" w:hAnsi="Times New Roman"/>
          <w:sz w:val="24"/>
          <w:szCs w:val="24"/>
        </w:rPr>
        <w:t xml:space="preserve">Adler, F. (1975). Sisters in crime: The rise of the new female criminal. McGraw-Hill.</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European Economic Review, 109,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Journal of Offender Rehabilitation, 60(1), 1-18.</w:t>
      </w:r>
    </w:p>
    <w:p>
      <w:pPr>
        <w:bidi w:val="false"/>
        <w:spacing w:after="160" w:line="360"/>
        <w:ind w:left="709" w:hanging="709"/>
        <w:jc w:val="left"/>
      </w:pPr>
      <w:r>
        <w:rPr>
          <w:rFonts w:ascii="Times New Roman" w:cs="Times New Roman" w:eastAsia="Times New Roman" w:hAnsi="Times New Roman"/>
          <w:sz w:val="24"/>
          <w:szCs w:val="24"/>
        </w:rPr>
        <w:t xml:space="preserve">Broidy, L., &amp; Agnew, R. (1997). Gender and crime: A general strain theory perspective. Journal of Research in Crime and Delinquency, 34(3), 275-306.</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IZA World of Labor, 105(2), 1-12.</w:t>
      </w:r>
    </w:p>
    <w:p>
      <w:pPr>
        <w:bidi w:val="false"/>
        <w:spacing w:after="160" w:line="360"/>
        <w:ind w:left="709" w:hanging="709"/>
        <w:jc w:val="left"/>
      </w:pPr>
      <w:r>
        <w:rPr>
          <w:rFonts w:ascii="Times New Roman" w:cs="Times New Roman" w:eastAsia="Times New Roman" w:hAnsi="Times New Roman"/>
          <w:sz w:val="24"/>
          <w:szCs w:val="24"/>
        </w:rPr>
        <w:t xml:space="preserve">Chesney-Lind, M. (1989). Girls’ crime and woman’s place: Toward a feminist model of female delinquency. Crime &amp; Delinquency, 35(1), 5-29.</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British Journal of Criminology, 56(6),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Journal of Interpersonal Violence, 38(11-12), 7404-7425.</w:t>
      </w:r>
    </w:p>
    <w:p>
      <w:pPr>
        <w:bidi w:val="false"/>
        <w:spacing w:after="160" w:line="360"/>
        <w:ind w:left="709" w:hanging="709"/>
        <w:jc w:val="left"/>
      </w:pPr>
      <w:r>
        <w:rPr>
          <w:rFonts w:ascii="Times New Roman" w:cs="Times New Roman" w:eastAsia="Times New Roman" w:hAnsi="Times New Roman"/>
          <w:sz w:val="24"/>
          <w:szCs w:val="24"/>
        </w:rPr>
        <w:t xml:space="preserve">Hagan, J., Gillis, A. R., &amp; Simpson, J. (1985). The class structure of gender and delinquency: Toward a power-control theory of common delinquent behavior. American Journal of Sociology, 90(6), 1151-1178.</w:t>
      </w:r>
    </w:p>
    <w:p>
      <w:pPr>
        <w:bidi w:val="false"/>
        <w:spacing w:after="160" w:line="360"/>
        <w:ind w:left="709" w:hanging="709"/>
        <w:jc w:val="left"/>
      </w:pPr>
      <w:r>
        <w:rPr>
          <w:rFonts w:ascii="Times New Roman" w:cs="Times New Roman" w:eastAsia="Times New Roman" w:hAnsi="Times New Roman"/>
          <w:sz w:val="24"/>
          <w:szCs w:val="24"/>
        </w:rPr>
        <w:t xml:space="preserve">Hirschi, T., &amp; Stark, R. (1969). Hellfire and delinquency. Social Problems, 17(2), 202-213.</w:t>
      </w:r>
    </w:p>
    <w:p>
      <w:pPr>
        <w:bidi w:val="false"/>
        <w:spacing w:after="160" w:line="360"/>
        <w:ind w:left="709" w:hanging="709"/>
        <w:jc w:val="left"/>
      </w:pPr>
      <w:r>
        <w:rPr>
          <w:rFonts w:ascii="Times New Roman" w:cs="Times New Roman" w:eastAsia="Times New Roman" w:hAnsi="Times New Roman"/>
          <w:sz w:val="24"/>
          <w:szCs w:val="24"/>
        </w:rPr>
        <w:t xml:space="preserve">Kelly, P. E., Polanin, J. R., Jang, S. J., &amp; Johnson, B. R. (2015). Religion, delinquency, and drug use: A meta-analysis. Criminal Justice Review, 40(4), 505-523.</w:t>
      </w:r>
    </w:p>
    <w:p>
      <w:pPr>
        <w:bidi w:val="false"/>
        <w:spacing w:after="160" w:line="360"/>
        <w:ind w:left="709" w:hanging="709"/>
        <w:jc w:val="left"/>
      </w:pPr>
      <w:r>
        <w:rPr>
          <w:rFonts w:ascii="Times New Roman" w:cs="Times New Roman" w:eastAsia="Times New Roman" w:hAnsi="Times New Roman"/>
          <w:sz w:val="24"/>
          <w:szCs w:val="24"/>
        </w:rPr>
        <w:t xml:space="preserve">Kruttschnitt, C. (2013). Gender and crime. Annual Review of Sociology, 39, 291-308.</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Feminist Criminology, 11(4),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Child Indicators Research, 10(4),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Pollak, O. (1950). The criminality of women. University of Pennsylvania Press.</w:t>
      </w:r>
    </w:p>
    <w:p>
      <w:pPr>
        <w:bidi w:val="false"/>
        <w:spacing w:after="160" w:line="360"/>
        <w:ind w:left="709" w:hanging="709"/>
        <w:jc w:val="left"/>
      </w:pPr>
      <w:r>
        <w:rPr>
          <w:rFonts w:ascii="Times New Roman" w:cs="Times New Roman" w:eastAsia="Times New Roman" w:hAnsi="Times New Roman"/>
          <w:sz w:val="24"/>
          <w:szCs w:val="24"/>
        </w:rPr>
        <w:t xml:space="preserve">Ronel, N., &amp; Elisha, E. (2011). A different perspective: Introducing positive criminology. International Journal of Offender Therapy and Comparative Criminology, 55(2), 305-325.</w:t>
      </w:r>
    </w:p>
    <w:p>
      <w:pPr>
        <w:bidi w:val="false"/>
        <w:spacing w:after="160" w:line="360"/>
        <w:ind w:left="709" w:hanging="709"/>
        <w:jc w:val="left"/>
      </w:pPr>
      <w:r>
        <w:rPr>
          <w:rFonts w:ascii="Times New Roman" w:cs="Times New Roman" w:eastAsia="Times New Roman" w:hAnsi="Times New Roman"/>
          <w:sz w:val="24"/>
          <w:szCs w:val="24"/>
        </w:rPr>
        <w:t xml:space="preserve">Sampson, R. J., &amp; Laub, J. H. (2003). Desistance from crime over the life course. In J. T. Mortimer &amp; M. J. Shanahan (Eds.), Handbook of the life course (pp. 295-309). Springer.</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Criminology, 55(4),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Journal of Social Science Studies, 4(2), 71-85.</w:t>
      </w:r>
    </w:p>
    <w:p>
      <w:pPr>
        <w:bidi w:val="false"/>
        <w:spacing w:after="160" w:line="360"/>
        <w:ind w:left="709" w:hanging="709"/>
        <w:jc w:val="left"/>
      </w:pPr>
      <w:r>
        <w:rPr>
          <w:rFonts w:ascii="Times New Roman" w:cs="Times New Roman" w:eastAsia="Times New Roman" w:hAnsi="Times New Roman"/>
          <w:sz w:val="24"/>
          <w:szCs w:val="24"/>
        </w:rPr>
        <w:t xml:space="preserve">Simon, R. J. (1975). Women and crime. Lexington Books.</w:t>
      </w:r>
    </w:p>
    <w:p>
      <w:pPr>
        <w:bidi w:val="false"/>
        <w:spacing w:after="160" w:line="360"/>
        <w:ind w:left="709" w:hanging="709"/>
        <w:jc w:val="left"/>
      </w:pPr>
      <w:r>
        <w:rPr>
          <w:rFonts w:ascii="Times New Roman" w:cs="Times New Roman" w:eastAsia="Times New Roman" w:hAnsi="Times New Roman"/>
          <w:sz w:val="24"/>
          <w:szCs w:val="24"/>
        </w:rPr>
        <w:t xml:space="preserve">Steffensmeier, D., &amp; Allan, E. (1996). Gender and crime: Toward a gendered theory of female offending. Annual Review of Sociology, 22, 459-487.</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Crime and Justice, 53(1).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2026-08-19T07:36:24.787Z</dcterms:created>
  <dcterms:modified xsi:type="dcterms:W3CDTF">2026-08-19T07:36:24.801Z</dcterms:modified>
</cp:coreProperties>
</file>

<file path=docProps/custom.xml><?xml version="1.0" encoding="utf-8"?>
<Properties xmlns="http://schemas.openxmlformats.org/officeDocument/2006/custom-properties" xmlns:vt="http://schemas.openxmlformats.org/officeDocument/2006/docPropsVTypes"/>
</file>