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1400" w:line="360"/>
        <w:jc w:val="center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המכללה האקדמית הערבית לחינוך בישראל, חיפה</w:t>
      </w:r>
    </w:p>
    <w:p>
      <w:pPr>
        <w:bidi/>
        <w:spacing w:after="90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סמינריון בסיפורת עברית מודרנית: הסיפור הקצר מאת אתגר קרת</w:t>
      </w:r>
    </w:p>
    <w:p>
      <w:pPr>
        <w:bidi/>
        <w:spacing w:after="100" w:before="0" w:line="360"/>
        <w:jc w:val="center"/>
      </w:pPr>
      <w:r>
        <w:rPr>
          <w:rFonts w:ascii="David" w:cs="David" w:eastAsia="David" w:hAnsi="David"/>
          <w:b/>
          <w:bCs/>
          <w:sz w:val="36"/>
          <w:szCs w:val="36"/>
          <w:rtl/>
        </w:rPr>
        <w:t xml:space="preserve">"סתם קולות"</w:t>
      </w:r>
    </w:p>
    <w:p>
      <w:pPr>
        <w:bidi/>
        <w:spacing w:after="400" w:before="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דרכי התמודדות עם קשיים בשני סיפורים קצרים מאת אתגר קרת: "האנשים החלולים" ו"מי כמונו יודע"</w:t>
      </w:r>
    </w:p>
    <w:p>
      <w:pPr>
        <w:bidi/>
        <w:spacing w:after="100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חלק א: רשימת מקורות וראשי פרקים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הקורס: סמינריון בסיפורת עברית מודרנית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המרצה: ד"ר ישראלה וייס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הסטודנט/ית: ____________________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ת"ז: ____________________</w:t>
      </w:r>
    </w:p>
    <w:p>
      <w:pPr>
        <w:bidi/>
        <w:spacing w:after="140" w:before="0" w:line="3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תאריך הגשה: ____________________</w:t>
      </w:r>
    </w:p>
    <w:p>
      <w:r>
        <w:br w:type="page"/>
      </w:r>
    </w:p>
    <w:p>
      <w:pPr>
        <w:bidi/>
        <w:spacing w:after="300" w:before="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רשימת מקורות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הולצמן, א' (2005).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מפת דרכים: סיפורת עברית כיום</w:t>
      </w:r>
      <w:r>
        <w:rPr>
          <w:rFonts w:ascii="David" w:cs="David" w:eastAsia="David" w:hAnsi="David"/>
          <w:sz w:val="24"/>
          <w:szCs w:val="24"/>
          <w:rtl/>
        </w:rPr>
        <w:t xml:space="preserve">. הקיבוץ המאוחד.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כהן, ד' (2015). בשני צירים שונים: תהליך האבל והתקשורת של הורים ואחים שכולים לאחר אבדן ילד בוגר.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מפגש לעבודה חינוכית-סוציאלית</w:t>
      </w:r>
      <w:r>
        <w:rPr>
          <w:rFonts w:ascii="David" w:cs="David" w:eastAsia="David" w:hAnsi="David"/>
          <w:sz w:val="24"/>
          <w:szCs w:val="24"/>
          <w:rtl/>
        </w:rPr>
        <w:t xml:space="preserve">, כג(41). </w:t>
      </w:r>
      <w:hyperlink w:history="1" r:id="rId13ax2qo0r63betsh3k7c7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https://kitvei-et.efshar.org.il/wp-content/uploads/Mifgash-41-05-בשני-צירים-אבל-הורים-ואחים-כהן.pdf</w:t>
        </w:r>
      </w:hyperlink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קצמן, ר' (2005). געגועים למיתוס: אישיות, אתיקה ואידאולוגיה במיתופואסיס הפוסטמודרני של אתגר קרת.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מכאן</w:t>
      </w:r>
      <w:r>
        <w:rPr>
          <w:rFonts w:ascii="David" w:cs="David" w:eastAsia="David" w:hAnsi="David"/>
          <w:sz w:val="24"/>
          <w:szCs w:val="24"/>
          <w:rtl/>
        </w:rPr>
        <w:t xml:space="preserve">, ד, 20-41. </w:t>
      </w:r>
      <w:hyperlink w:history="1" r:id="rId3tbrco0e3gaqut_nxivpz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https://library.osu.edu/projects/hebrew-lexicon/99995-files/99995095/99995095-004/99995095-004-020-041.pdf</w:t>
        </w:r>
      </w:hyperlink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קרת, א' (1994). האנשים החלולים. בתוך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געגועי לקיסינג'ר</w:t>
      </w:r>
      <w:r>
        <w:rPr>
          <w:rFonts w:ascii="David" w:cs="David" w:eastAsia="David" w:hAnsi="David"/>
          <w:sz w:val="24"/>
          <w:szCs w:val="24"/>
          <w:rtl/>
        </w:rPr>
        <w:t xml:space="preserve">. זמורה-ביתן.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קרת, א' (2024). מי כמונו יודע. בתוך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אוטוקורקט</w:t>
      </w:r>
      <w:r>
        <w:rPr>
          <w:rFonts w:ascii="David" w:cs="David" w:eastAsia="David" w:hAnsi="David"/>
          <w:sz w:val="24"/>
          <w:szCs w:val="24"/>
          <w:rtl/>
        </w:rPr>
        <w:t xml:space="preserve">. כנרת, זמורה-ביתן, דביר.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Abramovich, D. (2019). Israeli Holocaust memory in a short story by Etgar Keret.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Australian Journal of Jewish Studies, 32</w:t>
      </w:r>
      <w:r>
        <w:rPr>
          <w:rFonts w:ascii="David" w:cs="David" w:eastAsia="David" w:hAnsi="David"/>
          <w:sz w:val="24"/>
          <w:szCs w:val="24"/>
        </w:rPr>
        <w:t xml:space="preserve">, 21-33. </w:t>
      </w:r>
      <w:hyperlink w:history="1" r:id="rIdmus7-bzjonusummhc2-ih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http://www.aajs.org.au/wp-content/uploads/2020/03/AJJSvol32_Abramovich_21-33.pdf</w:t>
        </w:r>
      </w:hyperlink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Lazarus, R. S., &amp; Folkman, S. (1984).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Stress, appraisal, and coping</w:t>
      </w:r>
      <w:r>
        <w:rPr>
          <w:rFonts w:ascii="David" w:cs="David" w:eastAsia="David" w:hAnsi="David"/>
          <w:sz w:val="24"/>
          <w:szCs w:val="24"/>
        </w:rPr>
        <w:t xml:space="preserve">. Springer.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Mendelson-Maoz, A. (2018). Keret's "living-dead" and the sacrifice of Israeli masculinity.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BGU Review: A Journal of Israeli Culture</w:t>
      </w:r>
      <w:r>
        <w:rPr>
          <w:rFonts w:ascii="David" w:cs="David" w:eastAsia="David" w:hAnsi="David"/>
          <w:sz w:val="24"/>
          <w:szCs w:val="24"/>
        </w:rPr>
        <w:t xml:space="preserve">, Winter 2018. </w:t>
      </w:r>
      <w:hyperlink w:history="1" r:id="rIdms79tjzawdyscwe8n2nwv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https://in.bgu.ac.il/en/heksherim/BGU%20Review%202018/Adia-Mendelson-Maoz-BGUR.pdf</w:t>
        </w:r>
      </w:hyperlink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Omer-Sherman, R. (2020). "To extract from it some sort of beautiful thing": The Holocaust in the families and fiction of Nava Semel and Etgar Keret.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Humanities, 9</w:t>
      </w:r>
      <w:r>
        <w:rPr>
          <w:rFonts w:ascii="David" w:cs="David" w:eastAsia="David" w:hAnsi="David"/>
          <w:sz w:val="24"/>
          <w:szCs w:val="24"/>
        </w:rPr>
        <w:t xml:space="preserve">(4), Article 137. </w:t>
      </w:r>
      <w:hyperlink w:history="1" r:id="rIdlhizknzuwjo6rbgrhqavo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https://doi.org/10.3390/h9040137</w:t>
        </w:r>
      </w:hyperlink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Rubin, S. S. (1999). The two-track model of bereavement: Overview, retrospect, and prospect.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Death Studies, 23</w:t>
      </w:r>
      <w:r>
        <w:rPr>
          <w:rFonts w:ascii="David" w:cs="David" w:eastAsia="David" w:hAnsi="David"/>
          <w:sz w:val="24"/>
          <w:szCs w:val="24"/>
        </w:rPr>
        <w:t xml:space="preserve">(8), 681-714. </w:t>
      </w:r>
      <w:hyperlink w:history="1" r:id="rIdjta-vbuco4ydm_b_sw_zz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https://doi.org/10.1080/074811899200731</w:t>
        </w:r>
      </w:hyperlink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Schwartz, Y. (2018). Stam: The unbearable lightness of banality, or on the nature of Etgar Keret's humor.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BGU Review: A Journal of Israeli Culture</w:t>
      </w:r>
      <w:r>
        <w:rPr>
          <w:rFonts w:ascii="David" w:cs="David" w:eastAsia="David" w:hAnsi="David"/>
          <w:sz w:val="24"/>
          <w:szCs w:val="24"/>
        </w:rPr>
        <w:t xml:space="preserve">, Winter 2018. </w:t>
      </w:r>
      <w:hyperlink w:history="1" r:id="rIdg1j7r7lkvftqi0va1zo7c">
        <w:r>
          <w:rPr>
            <w:rFonts w:ascii="David" w:cs="David" w:eastAsia="David" w:hAnsi="David"/>
            <w:color w:val="0563C1"/>
            <w:sz w:val="24"/>
            <w:szCs w:val="24"/>
            <w:u w:val="single"/>
          </w:rPr>
          <w:t xml:space="preserve">https://www.bgu.ac.il/media/zpjot1iw/yigal-schwartz-bgur.pdf</w:t>
        </w:r>
      </w:hyperlink>
    </w:p>
    <w:p>
      <w:r>
        <w:br w:type="page"/>
      </w:r>
    </w:p>
    <w:p>
      <w:pPr>
        <w:bidi/>
        <w:spacing w:after="300" w:before="0" w:line="360"/>
        <w:jc w:val="center"/>
      </w:pPr>
      <w:r>
        <w:rPr>
          <w:rFonts w:ascii="David" w:cs="David" w:eastAsia="David" w:hAnsi="David"/>
          <w:b/>
          <w:bCs/>
          <w:sz w:val="30"/>
          <w:szCs w:val="30"/>
          <w:rtl/>
        </w:rPr>
        <w:t xml:space="preserve">ראשי פרקים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תקציר ומילות מפתח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תמצית העבודה: הנושא, שני הסיפורים, שאלות המחקר, שיטת הניתוח והממצא המרכזי.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מילות מפתח: אתגר קרת; הסיפור הקצר; התמודדות; אובדן ושכול; יחסי אב ובן; אשמה; פנטזיה; הומור; הדור השני.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מבוא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הסיפור העברי הקצר ומקומו בספרות הישראלית של שנות התשעים.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סגנון כתיבתו של אתגר קרת: שפה דיבורית, קוצר, פנטסטי בתוך יומיומי, הומור שחור וסיום פתוח.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הצגת הסיפורים: "האנשים החלולים" (געגועי לקיסינג'ר, 1994) ו"מי כמונו יודע" (אוטוקורקט, 2024).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הנושא המשותף: דרכי התמודדות עם קשיים, ובתוכן יחסי אב ובן, אשמה וחרטה.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שאלות המחקר: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א. אילו קשיים ניצבים בפני הדמויות בשני הסיפורים, ואילו דרכי התמודדות הן נוקטות?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ב. כיצד משמשים השפה, הפנטזיה וההומור כאמצעי התמודדות, אצל הדמויות ואצל המספר?</w:t>
      </w:r>
    </w:p>
    <w:p>
      <w:pPr>
        <w:bidi/>
        <w:spacing w:after="40" w:line="360"/>
        <w:ind w:left="144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ג. מה תפקידו של האחר (האב; הזר בבית הקפה) בהתמודדות, ומה מחירה של ההתמודדות?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מבנה העבודה.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1: רקע תאורטי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1.1 התמודדות עם לחץ וקשיים: הערכה ראשונית ומשנית, התמודדות ממוקדת בעיה, ממוקדת רגש והימנעות (Lazarus &amp; Folkman, 1984).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1.2 אובדן ושכול: המודל הדו-מסלולי (Rubin, 1999); אבל במשפחה אחרי מות ילד (כהן, 2015).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1.3 הורשה בין-דורית: יחסי אב ובן, אשמה וזיכרון בקרב הדור השני והשלישי (Omer-Sherman, 2020; Abramovich, 2019).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1.4 הפואטיקה של קרת ככלי התמודדות: עולם פרטי בעל חוקים משלו (קצמן, 2005); המתים-החיים (Mendelson-Maoz, 2018); ההומור והמילה "סתם" (Schwartz, 2018).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2: "האנשים החלולים": הסתגרות, לחישה ושתיקה כדרכי התמודדות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2.1 תקציר הסיפור ומבנהו: מספר ילד, בית סגור, קולות בדלת, מות האם ומות האב.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2.2 הקושי: פחד, פלישה ובדידות.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2.3 דרכי ההתמודדות של האב: הימנעות (הדלת והתריסים), הסבר מחדש ("סתם קולות"), מגע ולחישה.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2.4 יחסי אב ובן: הורשת הפחד והורשת ההתמודדות; הבן לומד לומר את המילים במקום האב.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2.5 התמודדות עם אובדן: מות האם "בלי קול אבל עם גוף" ומות האב ליד הפסנתר.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2.6 מחיר ההתמודדות: "סתם, ממש סתם"; הבן שנעשה אחד מהאנשים החלולים.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3: "מי כמונו יודע": דיבור, אידאולוגיה, הסתרה וכתיבה כדרכי התמודדות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3.1 תקציר הסיפור ומבנהו: הסופר האמריקאי, חייו שהתפרקו, התחתונים, השקיעה והצוואר.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3.2 הקושי: אובדן ילד, פירוק משפחה ובדידות אצל הזר; מבוכה וצורך בשייכות אצל המספר.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3.3 "ומי כמונו יודע": השפה כחיפוש שייכות; "תאומים סיאמיים" עם לב אחד כואב.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3.4 מינימליזם והחלפת אמונות: בנייה מחדש של החיים אחרי אובדן, פתרון לכאורה והימנעות למעשה.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3.5 הסתרה והסכמה: התחתונים והשקיעה; שמירה על הקשר במחיר של ויתור על העצמי.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3.6 הכתיבה: "פעולת הסחה" או שימור היופי לנצח; עמדה מטא-פואטית.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3.7 הסיום: הצוואר במקום השקיעה; ההומור והבנאלי כהתמודדות כנה.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פרק 4: השוואה בין הסיפורים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4.1 הדמיון: הפנטזיה והשפה כדרך לחיות עם הקושי בלי לפתור אותו.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4.2 השוני: שתיקה מול דיבור; הסתגרות מול חיבור; ילד מול מבוגר.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4.3 המספר בגוף ראשון: הילד ששותק והמבוגר שמהנהן.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4.4 מן הסיפור המוקדם למאוחר: מ"סתם קולות" אל "סתם צוואר"; הכתיבה נעשית דרך ההתמודדות.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דיון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קריאת הממצאים לאור המודלים התאורטיים: התמודדות ממוקדת רגש והימנעות; הערכה מחודשת של המציאות באמצעות שפה ודמיון; ההקשר הבין-דורי והתרבותי; מגבלות המחקר.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סיכום ומסקנות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מענה לשאלות המחקר; המסקנה המרכזית והמלצות יישומיות להוראת הסיפורים.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רשימת מקורות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רפלקציה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תיאור תהליך העבודה: בחירת הסיפורים והנושא, איתור המקורות, קשיים ותובנות.</w:t>
      </w:r>
    </w:p>
    <w:p>
      <w:pPr>
        <w:bidi/>
        <w:spacing w:after="80" w:before="20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נספחים</w:t>
      </w:r>
    </w:p>
    <w:p>
      <w:pPr>
        <w:bidi/>
        <w:spacing w:after="60" w:line="360"/>
        <w:ind w:left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נספח א: "האנשים החלולים" (סריקה). נספח ב: "מי כמונו יודע" (סריקה).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3ax2qo0r63betsh3k7c7" Type="http://schemas.openxmlformats.org/officeDocument/2006/relationships/hyperlink" Target="https://kitvei-et.efshar.org.il/wp-content/uploads/Mifgash-41-05-&#1489;&#1513;&#1504;&#1497;-&#1510;&#1497;&#1512;&#1497;&#1501;-&#1488;&#1489;&#1500;-&#1492;&#1493;&#1512;&#1497;&#1501;-&#1493;&#1488;&#1495;&#1497;&#1501;-&#1499;&#1492;&#1503;.pdf" TargetMode="External"/><Relationship Id="rId3tbrco0e3gaqut_nxivpz" Type="http://schemas.openxmlformats.org/officeDocument/2006/relationships/hyperlink" Target="https://library.osu.edu/projects/hebrew-lexicon/99995-files/99995095/99995095-004/99995095-004-020-041.pdf" TargetMode="External"/><Relationship Id="rIdmus7-bzjonusummhc2-ih" Type="http://schemas.openxmlformats.org/officeDocument/2006/relationships/hyperlink" Target="http://www.aajs.org.au/wp-content/uploads/2020/03/AJJSvol32_Abramovich_21-33.pdf" TargetMode="External"/><Relationship Id="rIdms79tjzawdyscwe8n2nwv" Type="http://schemas.openxmlformats.org/officeDocument/2006/relationships/hyperlink" Target="https://in.bgu.ac.il/en/heksherim/BGU%20Review%202018/Adia-Mendelson-Maoz-BGUR.pdf" TargetMode="External"/><Relationship Id="rIdlhizknzuwjo6rbgrhqavo" Type="http://schemas.openxmlformats.org/officeDocument/2006/relationships/hyperlink" Target="https://doi.org/10.3390/h9040137" TargetMode="External"/><Relationship Id="rIdjta-vbuco4ydm_b_sw_zz" Type="http://schemas.openxmlformats.org/officeDocument/2006/relationships/hyperlink" Target="https://doi.org/10.1080/074811899200731" TargetMode="External"/><Relationship Id="rIdg1j7r7lkvftqi0va1zo7c" Type="http://schemas.openxmlformats.org/officeDocument/2006/relationships/hyperlink" Target="https://www.bgu.ac.il/media/zpjot1iw/yigal-schwartz-bgur.pdf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רשימת מקורות וראשי פרקים</dc:title>
  <dc:creator>Seminar</dc:creator>
  <cp:lastModifiedBy>Un-named</cp:lastModifiedBy>
  <cp:revision>1</cp:revision>
  <dcterms:created xsi:type="dcterms:W3CDTF">2026-09-07T09:32:52.120Z</dcterms:created>
  <dcterms:modified xsi:type="dcterms:W3CDTF">2026-09-07T09:32:52.120Z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