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360" w:lineRule="auto"/>
        <w:jc w:val="right"/>
      </w:pPr>
      <w:r>
        <w:rPr>
          <w:rFonts w:ascii="David" w:hAnsi="David" w:cs="David"/>
          <w:b w:val="0"/>
          <w:sz w:val="24"/>
          <w:rtl w:val="1"/>
        </w:rPr>
      </w:r>
    </w:p>
    <w:p>
      <w:pPr>
        <w:bidi/>
        <w:spacing w:after="120" w:before="0" w:line="360" w:lineRule="auto"/>
        <w:jc w:val="center"/>
      </w:pPr>
      <w:r>
        <w:rPr>
          <w:rFonts w:ascii="David" w:hAnsi="David" w:cs="David"/>
          <w:b/>
          <w:sz w:val="32"/>
          <w:rtl w:val="1"/>
        </w:rPr>
        <w:t>הקריה האקדמית אונו</w:t>
      </w:r>
    </w:p>
    <w:p>
      <w:pPr>
        <w:bidi/>
        <w:spacing w:after="800" w:before="0" w:line="360" w:lineRule="auto"/>
        <w:jc w:val="center"/>
      </w:pPr>
      <w:r>
        <w:rPr>
          <w:rFonts w:ascii="David" w:hAnsi="David" w:cs="David"/>
          <w:b/>
          <w:sz w:val="26"/>
          <w:rtl w:val="1"/>
        </w:rPr>
        <w:t>הפקולטה למדעי הרוח והחברה</w:t>
      </w:r>
    </w:p>
    <w:p>
      <w:pPr>
        <w:bidi/>
        <w:spacing w:after="160" w:before="0" w:line="360" w:lineRule="auto"/>
        <w:jc w:val="center"/>
      </w:pPr>
      <w:r>
        <w:rPr>
          <w:rFonts w:ascii="David" w:hAnsi="David" w:cs="David"/>
          <w:b/>
          <w:sz w:val="30"/>
          <w:rtl w:val="1"/>
        </w:rPr>
        <w:t>פסיכולוגיה התפתחותית א' - ינקות והתבגרות (מקוון)</w:t>
      </w:r>
    </w:p>
    <w:p>
      <w:pPr>
        <w:bidi/>
        <w:spacing w:after="1200" w:before="0" w:line="360" w:lineRule="auto"/>
        <w:jc w:val="center"/>
      </w:pPr>
      <w:r>
        <w:rPr>
          <w:rFonts w:ascii="David" w:hAnsi="David" w:cs="David"/>
          <w:b/>
          <w:sz w:val="28"/>
          <w:rtl w:val="1"/>
        </w:rPr>
        <w:t>עבודה מסכמת</w:t>
      </w:r>
    </w:p>
    <w:p>
      <w:pPr>
        <w:bidi/>
        <w:spacing w:after="600" w:before="0" w:line="360" w:lineRule="auto"/>
        <w:jc w:val="center"/>
      </w:pPr>
      <w:r>
        <w:rPr>
          <w:rFonts w:ascii="David" w:hAnsi="David" w:cs="David"/>
          <w:b w:val="0"/>
          <w:sz w:val="24"/>
          <w:rtl w:val="1"/>
        </w:rPr>
        <w:t>מרצים: פרופ' טובה הרטמן וד"ר צפירה גרבלסקי-ליכטמן</w:t>
      </w:r>
    </w:p>
    <w:p>
      <w:pPr>
        <w:bidi/>
        <w:spacing w:after="160" w:before="0" w:line="360" w:lineRule="auto"/>
        <w:jc w:val="center"/>
      </w:pPr>
      <w:r>
        <w:rPr>
          <w:rFonts w:ascii="David" w:hAnsi="David" w:cs="David"/>
          <w:b/>
          <w:sz w:val="24"/>
          <w:rtl w:val="1"/>
        </w:rPr>
        <w:t>מגישה: נופר טסמה     ת"ז: 211496567</w:t>
      </w:r>
    </w:p>
    <w:p>
      <w:pPr>
        <w:bidi/>
        <w:spacing w:after="160" w:before="0" w:line="360" w:lineRule="auto"/>
        <w:jc w:val="center"/>
      </w:pPr>
      <w:r>
        <w:rPr>
          <w:rFonts w:ascii="David" w:hAnsi="David" w:cs="David"/>
          <w:b w:val="0"/>
          <w:sz w:val="24"/>
          <w:rtl w:val="1"/>
        </w:rPr>
        <w:t>תאריך הגשה: 22.7.2026</w:t>
      </w:r>
    </w:p>
    <w:p>
      <w:r>
        <w:br w:type="page"/>
      </w:r>
    </w:p>
    <w:p>
      <w:pPr>
        <w:bidi/>
        <w:spacing w:after="80" w:before="200" w:line="360" w:lineRule="auto"/>
        <w:jc w:val="right"/>
      </w:pPr>
      <w:r>
        <w:rPr>
          <w:rFonts w:ascii="David" w:hAnsi="David" w:cs="David"/>
          <w:b/>
          <w:sz w:val="24"/>
          <w:rtl w:val="1"/>
        </w:rPr>
        <w:t>שאלה 1 - סיפור מקרה</w:t>
      </w:r>
    </w:p>
    <w:p>
      <w:pPr>
        <w:bidi/>
        <w:spacing w:after="160" w:before="0" w:line="360" w:lineRule="auto"/>
        <w:jc w:val="right"/>
      </w:pPr>
      <w:r>
        <w:rPr>
          <w:rFonts w:ascii="David" w:hAnsi="David" w:cs="David"/>
          <w:b w:val="0"/>
          <w:sz w:val="24"/>
          <w:rtl w:val="1"/>
        </w:rPr>
        <w:t>אביגיל היא ילדה בת שש וחצי, בת בכורה למשפחה שגרה בפרבר בשרון. יש לה אח קטן בן שנתיים. הכרתי אותה מקרוב כי אני חברה של המשפחה, וליוויתי אותה מאז שהייתה תינוקת. מבחינת ההתפתחות הנורמטיבית, אביגיל עברה את אבני הדרך בקצב צפוי: היא ישבה בלי תמיכה בסביבות גיל חצי שנה, עשתה את הצעדים הראשונים קצת אחרי גיל שנה, ואמרה מילים ראשונות בערך בגיל שנה. היום היא מדברת שוטף, מציירת, ומספרת סיפורים ארוכים עם התחלה, אמצע וסוף.</w:t>
      </w:r>
    </w:p>
    <w:p>
      <w:pPr>
        <w:bidi/>
        <w:spacing w:after="160" w:before="0" w:line="360" w:lineRule="auto"/>
        <w:jc w:val="right"/>
      </w:pPr>
      <w:r>
        <w:rPr>
          <w:rFonts w:ascii="David" w:hAnsi="David" w:cs="David"/>
          <w:b w:val="0"/>
          <w:sz w:val="24"/>
          <w:rtl w:val="1"/>
        </w:rPr>
        <w:t>לצד ההתפתחות הנורמטיבית יש לאביגיל גם קווים אינדיבידואליים משלה. היא ילדה מילולית מאוד, אוצר המילים שלה עשיר הרבה מעבר לגיל, והיא אוהבת להמציא עלילות שלמות לבובות. מצד שני, מבחינה חברתית היא זהירה. כשהיא מגיעה למקום חדש או פוגשת ילדים שלא מכירה, היא לוקחת לה זמן להתחמם, נצמדת לאמא ומסתכלת מהצד לפני שהיא מצטרפת. גם בתחום המוטורי הגס היא קצת פחות בטוחה, למשל פחדה הרבה זמן לרכוב על אופניים. השילוב הזה, של התפתחות תקינה עם חוזקה מילולית בולטת ומזג זהיר, הוא בדיוק מה שהופך כל ילד לייחודי גם כשההתפתחות עצמה בתוך הטווח הנורמטיבי.</w:t>
      </w:r>
    </w:p>
    <w:p>
      <w:pPr>
        <w:bidi/>
        <w:spacing w:after="80" w:before="200" w:line="360" w:lineRule="auto"/>
        <w:jc w:val="right"/>
      </w:pPr>
      <w:r>
        <w:rPr>
          <w:rFonts w:ascii="David" w:hAnsi="David" w:cs="David"/>
          <w:b/>
          <w:sz w:val="24"/>
          <w:rtl w:val="1"/>
        </w:rPr>
        <w:t>שאלה 2 - גורמי סיכון וגורמי מגן</w:t>
      </w:r>
    </w:p>
    <w:p>
      <w:pPr>
        <w:bidi/>
        <w:spacing w:after="160" w:before="0" w:line="360" w:lineRule="auto"/>
        <w:jc w:val="right"/>
      </w:pPr>
      <w:r>
        <w:rPr>
          <w:rFonts w:ascii="David" w:hAnsi="David" w:cs="David"/>
          <w:b w:val="0"/>
          <w:sz w:val="24"/>
          <w:rtl w:val="1"/>
        </w:rPr>
        <w:t>גורמי סיכון הם משתנים, בילד עצמו או בסביבתו, שמעלים את ההסתברות להתפתחות בעייתית או לקושי בהסתגלות. גורמי מגן הם משתנים שממתנים את ההשפעה של הסיכון, סופגים חלק מהמכה ומחזקים את היכולת של הילד להסתגל. בין שני הכוחות האלה יש כל הזמן מעין משא ומתן, והמאזן ביניהם הוא שקובע כיצד הילד יוצא מתקופות קשות.</w:t>
      </w:r>
    </w:p>
    <w:p>
      <w:pPr>
        <w:bidi/>
        <w:spacing w:after="160" w:before="0" w:line="360" w:lineRule="auto"/>
        <w:jc w:val="right"/>
      </w:pPr>
      <w:r>
        <w:rPr>
          <w:rFonts w:ascii="David" w:hAnsi="David" w:cs="David"/>
          <w:b w:val="0"/>
          <w:sz w:val="24"/>
          <w:rtl w:val="1"/>
        </w:rPr>
        <w:t>אצל אביגיל אפשר לזהות כמה גורמי סיכון. כשהיא הייתה בת שלוש אביה נסע לעבוד בחו"ל כמעט עשרה חודשים, וזה פגע בזמינות שלו וגם הכביד על אמא שנשארה לבד עם שתי ילדות. באותה תקופה גם נולד האח, והאם עברה תקופה מלחיצה שבה הייתה פחות פנויה רגשית. נוסף על כך המזג המעוכב של אביגיל, אותה נטייה להירתע ולהיסוג, הוא סיכון פנימי שעלול להתפתח לחרדה חברתית. מולם עומדים גורמי מגן חזקים לא פחות: קשר חם ובטוח עם האם, סבתא שמעורבת בחיי היום יום ואוספת אותה מהגן, מסגרת גן יציבה עם גננת אוהבת, והיכולת המילולית והקוגניטיבית הגבוהה שלה שמאפשרת לה לבטא ולעבד מה שהיא מרגישה. בזכות המאזן הזה אביגיל צלחה את התקופות הקשות בלי צלקות של ממש (ברגר, 2008).</w:t>
      </w:r>
    </w:p>
    <w:p>
      <w:pPr>
        <w:bidi/>
        <w:spacing w:after="80" w:before="200" w:line="360" w:lineRule="auto"/>
        <w:jc w:val="right"/>
      </w:pPr>
      <w:r>
        <w:rPr>
          <w:rFonts w:ascii="David" w:hAnsi="David" w:cs="David"/>
          <w:b/>
          <w:sz w:val="24"/>
          <w:rtl w:val="1"/>
        </w:rPr>
        <w:t>שאלה 3 - מעגלי השפעה</w:t>
      </w:r>
    </w:p>
    <w:p>
      <w:pPr>
        <w:bidi/>
        <w:spacing w:after="160" w:before="0" w:line="360" w:lineRule="auto"/>
        <w:jc w:val="right"/>
      </w:pPr>
      <w:r>
        <w:rPr>
          <w:rFonts w:ascii="David" w:hAnsi="David" w:cs="David"/>
          <w:b w:val="0"/>
          <w:sz w:val="24"/>
          <w:rtl w:val="1"/>
        </w:rPr>
        <w:t>מעגלי ההשפעה, על פי המודל האקולוגי, מתארים את ההתפתחות כמתרחשת בתוך כמה מעגלים סביבתיים המקוננים זה בתוך זה, מהקרוב לרחוק. המעגל הפנימי הוא המיקרו-מערכת, כל מה שהילד נמצא איתו במגע ישיר: המשפחה, הגן, החברים. סביבו נמצאת המזו-מערכת, שהיא רשת הקשרים בין חלקי המיקרו, למשל היחסים בין ההורים לגננת. מעבר לזה יש את האקסו-מערכת, מסגרות שהילד לא נמצא בהן בעצמו אבל הן משפיעות עליו דרך אחרים, כמו מקום העבודה של ההורה. המעגל הרחב הוא המקרו-מערכת, התרבות, הערכים והמצב הכלכלי-חברתי שבתוכם הכול קורה. ולבסוף הכרונו-מערכת, שהיא ממד הזמן, האירועים והמעברים שעוברים על הילד לאורך החיים (Bronfenbrenner, 1977).</w:t>
      </w:r>
    </w:p>
    <w:p>
      <w:pPr>
        <w:bidi/>
        <w:spacing w:after="160" w:before="0" w:line="360" w:lineRule="auto"/>
        <w:jc w:val="right"/>
      </w:pPr>
      <w:r>
        <w:rPr>
          <w:rFonts w:ascii="David" w:hAnsi="David" w:cs="David"/>
          <w:b w:val="0"/>
          <w:sz w:val="24"/>
          <w:rtl w:val="1"/>
        </w:rPr>
        <w:t>אצל אביגיל אפשר לראות כל מעגל בפועל. במיקרו, הקשר היומיומי עם אמא ועם הסבתא הוא הבסיס לביטחון שלה. במזו, השיחות הקבועות בין אמא לגננת עזרו לתאם גישה אחידה לביישנות שלה, וזה הקל עליה להיפתח. באקסו, ההחלטה של אבא לצאת לעבוד בחו"ל, החלטה שאביגיל בכלל לא הייתה שותפה לה, שינתה לגמרי את חיי היום יום שלה לתקופה ארוכה. במקרו, הגדילה בחברה ישראלית שמעודדת ילדים דברנים ובטוחים בעצמם שמה עליה ציפייה מסוימת, שדווקא התאימה לחוזקה המילולית שלה. ובכרונו, לידת האח וחזרתו של אבא הביתה היו שני מעברים שעיצבו את המשפחה שבתוכה היא גדלה.</w:t>
      </w:r>
    </w:p>
    <w:p>
      <w:pPr>
        <w:bidi/>
        <w:spacing w:after="80" w:before="200" w:line="360" w:lineRule="auto"/>
        <w:jc w:val="right"/>
      </w:pPr>
      <w:r>
        <w:rPr>
          <w:rFonts w:ascii="David" w:hAnsi="David" w:cs="David"/>
          <w:b/>
          <w:sz w:val="24"/>
          <w:rtl w:val="1"/>
        </w:rPr>
        <w:t>שאלה 4 - תיאוריית ההתפתחות הקוגניטיבית (פיאז'ה)</w:t>
      </w:r>
    </w:p>
    <w:p>
      <w:pPr>
        <w:bidi/>
        <w:spacing w:after="160" w:before="0" w:line="360" w:lineRule="auto"/>
        <w:jc w:val="right"/>
      </w:pPr>
      <w:r>
        <w:rPr>
          <w:rFonts w:ascii="David" w:hAnsi="David" w:cs="David"/>
          <w:b w:val="0"/>
          <w:sz w:val="24"/>
          <w:rtl w:val="1"/>
        </w:rPr>
        <w:t>פיאז'ה חילק את ההתפתחות הקוגניטיבית לארבעה שלבים. השלב הסנסומוטורי, מלידה ועד גיל שנתיים בערך. השלב הקדם-מבצעי, מגיל שנתיים עד שבע. שלב המבצעים הקונקרטיים, מגיל שבע עד אחת עשרה בערך. ושלב המבצעים הפורמליים, מגיל אחת עשרה ומעלה.</w:t>
      </w:r>
    </w:p>
    <w:p>
      <w:pPr>
        <w:bidi/>
        <w:spacing w:after="160" w:before="0" w:line="360" w:lineRule="auto"/>
        <w:jc w:val="right"/>
      </w:pPr>
      <w:r>
        <w:rPr>
          <w:rFonts w:ascii="David" w:hAnsi="David" w:cs="David"/>
          <w:b w:val="0"/>
          <w:sz w:val="24"/>
          <w:rtl w:val="1"/>
        </w:rPr>
        <w:t>אביגיל, בגיל שש וחצי, נמצאת בעיצומו של השלב הקדם-מבצעי, וזה ניכר היטב בדברים שהיא אומרת ועושה. יום אחד מזגו לה מיץ מכוס נמוכה ורחבה לכוס גבוהה וצרה, והיא התעקשה שעכשיו יש לה יותר מיץ, כי "זה הגיע גבוה". חוסר היכולת לשמר כמות הוא סימן מובהק לשלב הזה. היא גם מייחסת רגשות וכוונות לחפצים, אומרת שהבובה "עצובה שהשאירו אותה לבד", ומשוכנעת שהירח "הולך אחרינו" באוטו. גם האגוצנטריות שלה בולטת: כשהיא מספרת סיפור בטלפון היא מצמידה תמונה למסך, בטוחה שגם הצד השני רואה מה שהיא רואה. כל אלה מעידים בבירור על חשיבה קדם-מבצעית.</w:t>
      </w:r>
    </w:p>
    <w:p>
      <w:pPr>
        <w:bidi/>
        <w:spacing w:after="80" w:before="200" w:line="360" w:lineRule="auto"/>
        <w:jc w:val="right"/>
      </w:pPr>
      <w:r>
        <w:rPr>
          <w:rFonts w:ascii="David" w:hAnsi="David" w:cs="David"/>
          <w:b/>
          <w:sz w:val="24"/>
          <w:rtl w:val="1"/>
        </w:rPr>
        <w:t>שאלה 5 - ניסוי מצב הזר</w:t>
      </w:r>
    </w:p>
    <w:p>
      <w:pPr>
        <w:bidi/>
        <w:spacing w:after="160" w:before="0" w:line="360" w:lineRule="auto"/>
        <w:jc w:val="right"/>
      </w:pPr>
      <w:r>
        <w:rPr>
          <w:rFonts w:ascii="David" w:hAnsi="David" w:cs="David"/>
          <w:b w:val="0"/>
          <w:sz w:val="24"/>
          <w:rtl w:val="1"/>
        </w:rPr>
        <w:t>ניסוי מצב הזר נבנה כדי לבחון את סוג ההתקשרות בין תינוק לדמות המטפלת, והוא מורכב משבע אפיזודות קצרות. באפיזודה הראשונה הנסיינית מכניסה את ההורה והתינוק לחדר משחקים ויוצאת. בשנייה, ההורה יושב והתינוק חופשי לחקור ולשחק, כשההורה משמש בסיס בטוח. בשלישית נכנסת דמות זרה, מדברת עם ההורה ומתקרבת בהדרגה לתינוק. באפיזודה הרביעית מתרחשת ההיפרדות הראשונה: ההורה יוצא, והתינוק נשאר עם הזרה שמנסה להרגיע אותו. בחמישית מתרחש האיחוד הראשון: ההורה חוזר, מנחם את התינוק, והזרה יוצאת. בשישית מגיעה ההיפרדות השנייה, שבה ההורה יוצא והתינוק נשאר לבד לגמרי. בשביעית הזרה חוזרת, ואז ההורה שב ואוסף את התינוק. הדרך שבה התינוק מגיב, בעיקר ברגעי האיחוד, היא שחושפת את סוג ההתקשרות (מיקולינסר, 1998).</w:t>
      </w:r>
    </w:p>
    <w:p>
      <w:pPr>
        <w:bidi/>
        <w:spacing w:after="160" w:before="0" w:line="360" w:lineRule="auto"/>
        <w:jc w:val="right"/>
      </w:pPr>
      <w:r>
        <w:rPr>
          <w:rFonts w:ascii="David" w:hAnsi="David" w:cs="David"/>
          <w:b w:val="0"/>
          <w:sz w:val="24"/>
          <w:rtl w:val="1"/>
        </w:rPr>
        <w:t>את אביגיל מאפיינת התקשרות בטוחה. כשהאם נוכחת היא חוקרת את הסביבה בביטחון, בהיפרדות היא נעצבת, ובאיחוד היא ניגשת אליה, מתנחמת מהר וחוזרת לשחק. ההתקשרות הזאת ממשיכה ללוות אותה גם היום. ביום הראשון בחוג חדש היא בדקה קודם שאמא נשארת, ואז ניגשה לילדים. הביטחון הבסיסי הזה מאפשר לה לסמוך על אנשים, לבקש עזרה כשקשה, ולהיכנס בסופו של דבר לקשרים חברתיים גם אם היא זהירה בהתחלה.</w:t>
      </w:r>
    </w:p>
    <w:p>
      <w:pPr>
        <w:bidi/>
        <w:spacing w:after="80" w:before="200" w:line="360" w:lineRule="auto"/>
        <w:jc w:val="right"/>
      </w:pPr>
      <w:r>
        <w:rPr>
          <w:rFonts w:ascii="David" w:hAnsi="David" w:cs="David"/>
          <w:b/>
          <w:sz w:val="24"/>
          <w:rtl w:val="1"/>
        </w:rPr>
        <w:t>שאלה 6 - תיאוריית ריבוי האינטליגנציות</w:t>
      </w:r>
    </w:p>
    <w:p>
      <w:pPr>
        <w:bidi/>
        <w:spacing w:after="160" w:before="0" w:line="360" w:lineRule="auto"/>
        <w:jc w:val="right"/>
      </w:pPr>
      <w:r>
        <w:rPr>
          <w:rFonts w:ascii="David" w:hAnsi="David" w:cs="David"/>
          <w:b w:val="0"/>
          <w:sz w:val="24"/>
          <w:rtl w:val="1"/>
        </w:rPr>
        <w:t>תיאוריית ריבוי האינטליגנציות של גרדנר יצאה נגד התפיסה שהאינטליגנציה היא יכולת אחת שאפשר לכווץ לציון אחד. במקומה גרדנר טען שיש כמה סוגים עצמאיים של אינטליגנציה, וכל אדם מחזיק בתמהיל אחר שלהם. השמונה שהוא הציע הם: אינטליגנציה לשונית, יכולת של מילים ושפה. לוגית-מתמטית, של מספרים והיגיון. מרחבית, של דמיון חזותי ותפיסת מרחב. מוזיקלית, של צלילים ומקצב. גופנית-תנועתית, של שליטה בגוף ובתנועה. בין-אישית, של הבנת אחרים. תוך-אישית, של הבנת העצמי. וטבעונית, של רגישות לעולם הטבע (Gardner &amp; Hatch, 1989).</w:t>
      </w:r>
    </w:p>
    <w:p>
      <w:pPr>
        <w:bidi/>
        <w:spacing w:after="160" w:before="0" w:line="360" w:lineRule="auto"/>
        <w:jc w:val="right"/>
      </w:pPr>
      <w:r>
        <w:rPr>
          <w:rFonts w:ascii="David" w:hAnsi="David" w:cs="David"/>
          <w:b w:val="0"/>
          <w:sz w:val="24"/>
          <w:rtl w:val="1"/>
        </w:rPr>
        <w:t>אצל אביגיל האינטליגנציה הלשונית בולטת מעל כולן. היא למדה להכיר אותיות עוד לפני הגן, אוצר המילים שלה מפתיע מבוגרים, והיא לא מפסיקה להמציא סיפורים ולספר אותם בקול. פעם היא בנתה עלילה שלמה על "ממלכת העננים" עם דמויות ושמות, וחזרה עליה כמעט מילה במילה למחרת. היכולת הזאת לא רק מבדלת אותה, היא גם משמשת לה כלי מגן, כי דרך המילים היא מצליחה לבטא רגשות שילדים אחרים בגילה עוד מתקשים להסביר.</w:t>
      </w:r>
    </w:p>
    <w:p>
      <w:pPr>
        <w:bidi/>
        <w:spacing w:after="80" w:before="200" w:line="360" w:lineRule="auto"/>
        <w:jc w:val="right"/>
      </w:pPr>
      <w:r>
        <w:rPr>
          <w:rFonts w:ascii="David" w:hAnsi="David" w:cs="David"/>
          <w:b/>
          <w:sz w:val="24"/>
          <w:rtl w:val="1"/>
        </w:rPr>
        <w:t>רשימת מקורות</w:t>
      </w:r>
    </w:p>
    <w:p>
      <w:pPr>
        <w:bidi/>
        <w:spacing w:after="120" w:before="0" w:line="276" w:lineRule="auto"/>
        <w:ind w:left="360"/>
        <w:jc w:val="right"/>
      </w:pPr>
      <w:r>
        <w:rPr>
          <w:rFonts w:ascii="David" w:hAnsi="David" w:cs="David"/>
          <w:b w:val="0"/>
          <w:sz w:val="24"/>
          <w:rtl w:val="1"/>
        </w:rPr>
        <w:t>ברגר, ר' (2008). טבע, משחק ויצירה כעזרים לביסוס הגן כמרחב המפתח חוסן. פסיכולוגיה עברית. אוחזר מתוך https://www.hebpsy.net/articles.asp?id=1760</w:t>
      </w:r>
    </w:p>
    <w:p>
      <w:pPr>
        <w:bidi/>
        <w:spacing w:after="120" w:before="0" w:line="276" w:lineRule="auto"/>
        <w:ind w:left="360"/>
        <w:jc w:val="right"/>
      </w:pPr>
      <w:r>
        <w:rPr>
          <w:rFonts w:ascii="David" w:hAnsi="David" w:cs="David"/>
          <w:b w:val="0"/>
          <w:sz w:val="24"/>
          <w:rtl w:val="1"/>
        </w:rPr>
        <w:t>מיקולינסר, מ' (1998). סגנון היקשרות בבגרות ואסטרטגיות של ויסות רגשות: הנחות עבודה וסקירת ממצאים. פסיכולוגיה, ז', 33-48.</w:t>
      </w:r>
    </w:p>
    <w:p>
      <w:pPr>
        <w:bidi/>
        <w:spacing w:after="120" w:before="0" w:line="276" w:lineRule="auto"/>
        <w:ind w:left="360"/>
        <w:jc w:val="right"/>
      </w:pPr>
      <w:r>
        <w:rPr>
          <w:rFonts w:ascii="David" w:hAnsi="David" w:cs="David"/>
          <w:b w:val="0"/>
          <w:sz w:val="24"/>
          <w:rtl w:val="1"/>
        </w:rPr>
        <w:t>Bronfenbrenner, U. (1977). Toward an experimental ecology of human development. American Psychologist, 32(7), 513-531.</w:t>
      </w:r>
    </w:p>
    <w:p>
      <w:pPr>
        <w:bidi/>
        <w:spacing w:after="120" w:before="0" w:line="276" w:lineRule="auto"/>
        <w:ind w:left="360"/>
        <w:jc w:val="right"/>
      </w:pPr>
      <w:r>
        <w:rPr>
          <w:rFonts w:ascii="David" w:hAnsi="David" w:cs="David"/>
          <w:b w:val="0"/>
          <w:sz w:val="24"/>
          <w:rtl w:val="1"/>
        </w:rPr>
        <w:t>Gardner, H., &amp; Hatch, T. (1989). Multiple intelligences go to school: Educational implications of the theory of multiple intelligences. Educational Researcher, 18(8), 4-10.</w:t>
      </w:r>
    </w:p>
    <w:sectPr w:rsidR="00FC693F" w:rsidRPr="0006063C" w:rsidSect="00034616">
      <w:pgSz w:w="12240" w:h="15840"/>
      <w:pgMar w:top="1120" w:right="1440" w:bottom="11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