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300"/>
        <w:jc w:val="center"/>
      </w:pPr>
      <w:r>
        <w:rPr>
          <w:rFonts w:ascii="David" w:cs="David" w:eastAsia="David" w:hAnsi="David"/>
          <w:b w:val="false"/>
          <w:bCs w:val="false"/>
          <w:noProof/>
          <w:sz w:val="26"/>
          <w:szCs w:val="26"/>
          <w:rtl/>
        </w:rPr>
        <w:t xml:space="preserve"/>
      </w:r>
    </w:p>
    <w:p>
      <w:pPr>
        <w:spacing w:after="240"/>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1428750"/>
                    </a:xfrm>
                    <a:prstGeom prst="rect">
                      <a:avLst/>
                    </a:prstGeom>
                  </pic:spPr>
                </pic:pic>
              </a:graphicData>
            </a:graphic>
          </wp:inline>
        </w:drawing>
      </w:r>
    </w:p>
    <w:p>
      <w:pPr>
        <w:bidi/>
        <w:spacing w:after="120"/>
        <w:jc w:val="center"/>
      </w:pPr>
      <w:r>
        <w:rPr>
          <w:rFonts w:ascii="David" w:cs="David" w:eastAsia="David" w:hAnsi="David"/>
          <w:b w:val="false"/>
          <w:bCs w:val="false"/>
          <w:noProof/>
          <w:sz w:val="28"/>
          <w:szCs w:val="28"/>
          <w:rtl/>
        </w:rPr>
        <w:t xml:space="preserve">הקריה האקדמית אונו</w:t>
      </w:r>
    </w:p>
    <w:p>
      <w:pPr>
        <w:bidi/>
        <w:spacing w:after="700"/>
        <w:jc w:val="center"/>
      </w:pPr>
      <w:r>
        <w:rPr>
          <w:rFonts w:ascii="David" w:cs="David" w:eastAsia="David" w:hAnsi="David"/>
          <w:b w:val="false"/>
          <w:bCs w:val="false"/>
          <w:noProof/>
          <w:sz w:val="28"/>
          <w:szCs w:val="28"/>
          <w:rtl/>
        </w:rPr>
        <w:t xml:space="preserve">הפקולטה למשפטים</w:t>
      </w:r>
    </w:p>
    <w:p>
      <w:pPr>
        <w:bidi/>
        <w:spacing w:after="500"/>
        <w:jc w:val="center"/>
      </w:pPr>
      <w:r>
        <w:rPr>
          <w:rFonts w:ascii="David" w:cs="David" w:eastAsia="David" w:hAnsi="David"/>
          <w:b w:val="false"/>
          <w:bCs w:val="false"/>
          <w:noProof/>
          <w:sz w:val="26"/>
          <w:szCs w:val="26"/>
          <w:rtl/>
        </w:rPr>
        <w:t xml:space="preserve">עבודה סמינריונית</w:t>
      </w:r>
    </w:p>
    <w:p>
      <w:pPr>
        <w:bidi/>
        <w:spacing w:after="240"/>
        <w:jc w:val="center"/>
      </w:pPr>
      <w:r>
        <w:rPr>
          <w:rFonts w:ascii="David" w:cs="David" w:eastAsia="David" w:hAnsi="David"/>
          <w:b/>
          <w:bCs/>
          <w:noProof/>
          <w:sz w:val="44"/>
          <w:szCs w:val="44"/>
          <w:rtl/>
        </w:rPr>
        <w:t xml:space="preserve">הכרעה בזכויות במקרקעין לא רשומים בסכסוכים פנים משפחתיים בחברה הערבית</w:t>
      </w:r>
    </w:p>
    <w:p>
      <w:pPr>
        <w:bidi/>
        <w:spacing w:after="900"/>
        <w:jc w:val="center"/>
      </w:pPr>
      <w:r>
        <w:rPr>
          <w:rFonts w:ascii="David" w:cs="David" w:eastAsia="David" w:hAnsi="David"/>
          <w:noProof/>
          <w:sz w:val="30"/>
          <w:szCs w:val="30"/>
          <w:rtl/>
        </w:rPr>
        <w:t xml:space="preserve">עיון במשפט הישראלי ובמשפט משווה: המשפט המקובל, המשפט המצרי והמשפט השרעי האסלאמי</w:t>
      </w:r>
    </w:p>
    <w:p>
      <w:pPr>
        <w:bidi/>
        <w:spacing w:after="120"/>
        <w:jc w:val="center"/>
      </w:pPr>
      <w:r>
        <w:rPr>
          <w:rFonts w:ascii="David" w:cs="David" w:eastAsia="David" w:hAnsi="David"/>
          <w:b w:val="false"/>
          <w:bCs w:val="false"/>
          <w:noProof/>
          <w:sz w:val="26"/>
          <w:szCs w:val="26"/>
          <w:rtl/>
        </w:rPr>
        <w:t xml:space="preserve">מגיש/ה: ______________</w:t>
      </w:r>
    </w:p>
    <w:p>
      <w:pPr>
        <w:bidi/>
        <w:spacing w:after="120"/>
        <w:jc w:val="center"/>
      </w:pPr>
      <w:r>
        <w:rPr>
          <w:rFonts w:ascii="David" w:cs="David" w:eastAsia="David" w:hAnsi="David"/>
          <w:b w:val="false"/>
          <w:bCs w:val="false"/>
          <w:noProof/>
          <w:sz w:val="26"/>
          <w:szCs w:val="26"/>
          <w:rtl/>
        </w:rPr>
        <w:t xml:space="preserve">מספר זהות: ______________</w:t>
      </w:r>
    </w:p>
    <w:p>
      <w:pPr>
        <w:bidi/>
        <w:spacing w:after="120"/>
        <w:jc w:val="center"/>
      </w:pPr>
      <w:r>
        <w:rPr>
          <w:rFonts w:ascii="David" w:cs="David" w:eastAsia="David" w:hAnsi="David"/>
          <w:b w:val="false"/>
          <w:bCs w:val="false"/>
          <w:noProof/>
          <w:sz w:val="26"/>
          <w:szCs w:val="26"/>
          <w:rtl/>
        </w:rPr>
        <w:t xml:space="preserve">שם הקורס: ______________</w:t>
      </w:r>
    </w:p>
    <w:p>
      <w:pPr>
        <w:bidi/>
        <w:spacing w:after="700"/>
        <w:jc w:val="center"/>
      </w:pPr>
      <w:r>
        <w:rPr>
          <w:rFonts w:ascii="David" w:cs="David" w:eastAsia="David" w:hAnsi="David"/>
          <w:b w:val="false"/>
          <w:bCs w:val="false"/>
          <w:noProof/>
          <w:sz w:val="26"/>
          <w:szCs w:val="26"/>
          <w:rtl/>
        </w:rPr>
        <w:t xml:space="preserve">בהנחיית: ______________</w:t>
      </w:r>
    </w:p>
    <w:p>
      <w:pPr>
        <w:bidi/>
        <w:spacing w:after="700"/>
        <w:jc w:val="center"/>
      </w:pPr>
      <w:r>
        <w:rPr>
          <w:rFonts w:ascii="David" w:cs="David" w:eastAsia="David" w:hAnsi="David"/>
          <w:b w:val="false"/>
          <w:bCs w:val="false"/>
          <w:noProof/>
          <w:sz w:val="26"/>
          <w:szCs w:val="26"/>
          <w:rtl/>
        </w:rPr>
        <w:t xml:space="preserve">אלול התשפ"ו • אוגוסט 2026</w:t>
      </w:r>
    </w:p>
    <w:p>
      <w:pPr>
        <w:bidi/>
        <w:jc w:val="center"/>
      </w:pPr>
      <w:r>
        <w:rPr>
          <w:rFonts w:ascii="David" w:cs="David" w:eastAsia="David" w:hAnsi="David"/>
          <w:i/>
          <w:iCs/>
          <w:noProof/>
          <w:sz w:val="20"/>
          <w:szCs w:val="20"/>
          <w:rtl/>
        </w:rPr>
        <w:t xml:space="preserve">הערות השוליים והביבליוגרפיה ערוכות על פי כללי האזכור האחיד בכתיבה המשפטית (מהדורה שלישית 2021)</w:t>
      </w:r>
    </w:p>
    <w:p>
      <w:pPr>
        <w:sectPr>
          <w:pgSz w:w="11906" w:h="16838" w:orient="portrait"/>
          <w:pgMar w:top="1440" w:right="1440" w:bottom="1440" w:left="1440" w:header="708" w:footer="708" w:gutter="0"/>
          <w:pgNumType/>
          <w:docGrid w:linePitch="360"/>
        </w:sectPr>
      </w:pPr>
    </w:p>
    <w:p>
      <w:pPr>
        <w:bidi/>
        <w:spacing w:after="240"/>
        <w:jc w:val="center"/>
      </w:pPr>
      <w:r>
        <w:rPr>
          <w:rFonts w:ascii="David" w:cs="David" w:eastAsia="David" w:hAnsi="David"/>
          <w:b/>
          <w:bCs/>
          <w:noProof/>
          <w:sz w:val="32"/>
          <w:szCs w:val="32"/>
          <w:rtl/>
        </w:rPr>
        <w:t xml:space="preserve">תקציר</w:t>
      </w:r>
    </w:p>
    <w:p>
      <w:pPr>
        <w:bidi/>
        <w:spacing w:after="160" w:line="360"/>
        <w:jc w:val="both"/>
      </w:pPr>
      <w:r>
        <w:rPr>
          <w:rFonts w:ascii="David" w:cs="David" w:eastAsia="David" w:hAnsi="David"/>
          <w:noProof/>
          <w:sz w:val="24"/>
          <w:szCs w:val="24"/>
          <w:rtl/>
        </w:rPr>
        <w:t xml:space="preserve">עבודה זו בוחנת כיצד מכריעים בתי המשפט בישראל בזכויות במקרקעין לא רשומים בסכסוכים פנים משפחתיים בחברה הערבית, שבה חלק ניכר מן הקרקעות מוחזק ומועבר מדור לדור על יסוד הסכמות בעל פה, ייפויי כוח בלתי חוזרים ישנים וחלוקות משפחתיות שלא נרשמו ולא דווחו לרשויות המס. העבודה נסבה על שלוש שאלות: מהם הכלים המשפטיים והראייתיים שבהם מתמודדים בתי המשפט עם היעדר הרישום; מהן ההשלכות הכלכליות של התניית הרישום בהסדרת מס לגבי עסקאות היסטוריות שלא דווחו במועדן; ומהו משקלם הראייתי של היתרי בנייה ותשלומי ארנונה כראיה לבעלות. הבירור נערך בשיטה דוקטרינרית ביקורתית, בצירוף עיון משווה פונקציונלי בשלוש שיטות: המשפט המקובל האנגלי, המשפט המצרי והמשפט השרעי האסלאמי.</w:t>
      </w:r>
    </w:p>
    <w:p>
      <w:pPr>
        <w:bidi/>
        <w:spacing w:after="160" w:line="360"/>
        <w:ind w:firstLine="420"/>
        <w:jc w:val="both"/>
      </w:pPr>
      <w:r>
        <w:rPr>
          <w:rFonts w:ascii="David" w:cs="David" w:eastAsia="David" w:hAnsi="David"/>
          <w:noProof/>
          <w:sz w:val="24"/>
          <w:szCs w:val="24"/>
          <w:rtl/>
        </w:rPr>
        <w:t xml:space="preserve">ממצאי העבודה מלמדים כי הפסיקה פיתחה ארגז כלים עשיר, ובו הזכות שביושר, הכרה בייפוי הכוח הבלתי חוזר כמסמך העסקה וכוויתור על חזרה ממתנה, עקרון תום הלב ו"זעקת ההגינות", והרישיון במקרקעין; ואולם כל אלה הם פתרונות בדיעבד, התלויים בשיקול דעת שיפוטי רחב, והם מכריעים בסכסוך בלא לרפא את הכשל המבני. היתרי הבנייה והארנונה נמצאו ראיות נסיבתיות להחזקה ולהסכמה המשפחתית שבזמן אמת, אך לא ראיות בעלות, ועצם ההישענות עליהן חושפת היפוך תפקידים מוסדי שבו רשויות התכנון והגבייה משמשות רשם בפועל. ואילו "התניית הרישום" בהסדרת המס ההיסטורית נמצאה החסם המבני המרכזי: היא מקימה מלכוד כלכלי רב דורי, שבו עלות ההסדרה גדלה משנה לשנה, והוא המשמר את אי הרישום ומזין את הסכסוכים עצמם.</w:t>
      </w:r>
    </w:p>
    <w:p>
      <w:pPr>
        <w:bidi/>
        <w:spacing w:after="160" w:line="360"/>
        <w:ind w:firstLine="420"/>
        <w:jc w:val="both"/>
      </w:pPr>
      <w:r>
        <w:rPr>
          <w:rFonts w:ascii="David" w:cs="David" w:eastAsia="David" w:hAnsi="David"/>
          <w:noProof/>
          <w:sz w:val="24"/>
          <w:szCs w:val="24"/>
          <w:rtl/>
        </w:rPr>
        <w:t xml:space="preserve">המבט המשווה מעגן את הממצאים בהקשר רחב: הדין האנגלי מלמד כי ניתן למסגר את ההגנה על המסתמך בעילה סדורה (השתק קנייני) ולקיים מרשם נגיש שאינו כרוך במס; הניסיון המצרי מדגים כיצד צימוד רישום ומס הוליד אי רישום המוני, עד שנותק ברפורמה של שנת 2022; והמשפט השרעי, שעל ברכיו נוצרו דפוסי ההחזקה הנחקרים, מציב את התפיסה וההחזקה הגלויה במרכז ההקניה ומסביר את התודעה הקניינית של הצדדים. מסקנת העבודה היא כי נקודת הכובד חייבת לנוע מן ההכרעה השיפוטית בדיעבד אל הסרת החסמים מראש, בשלושה מישורים משולבים: הסדרה פיסקלית מקילה לעסקאות היסטוריות, השלמת הליכי ההסדר בשיתוף הקהילות, ומסגור דוקטרינרי יציב של ההגנה על המסתמך.</w:t>
      </w:r>
    </w:p>
    <w:p>
      <w:pPr>
        <w:sectPr>
          <w:pgSz w:w="11906" w:h="16838" w:orient="portrait"/>
          <w:pgMar w:top="1440" w:right="1440" w:bottom="1440" w:left="1440" w:header="708" w:footer="708" w:gutter="0"/>
          <w:pgNumType/>
          <w:docGrid w:linePitch="360"/>
        </w:sectPr>
      </w:pPr>
    </w:p>
    <w:p>
      <w:pPr>
        <w:bidi/>
        <w:spacing w:after="240"/>
        <w:jc w:val="center"/>
      </w:pPr>
      <w:r>
        <w:rPr>
          <w:rFonts w:ascii="David" w:cs="David" w:eastAsia="David" w:hAnsi="David"/>
          <w:b/>
          <w:bCs/>
          <w:noProof/>
          <w:sz w:val="32"/>
          <w:szCs w:val="32"/>
          <w:rt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708" w:footer="708" w:gutter="0"/>
          <w:pgNumType/>
          <w:docGrid w:linePitch="360"/>
        </w:sectPr>
      </w:pPr>
    </w:p>
    <w:p>
      <w:pPr>
        <w:pStyle w:val="Heading1"/>
        <w:bidi/>
        <w:spacing w:after="240" w:before="360"/>
      </w:pPr>
      <w:r>
        <w:rPr>
          <w:rFonts w:ascii="David" w:cs="David" w:eastAsia="David" w:hAnsi="David"/>
          <w:b/>
          <w:bCs/>
          <w:noProof/>
          <w:color w:val="000000"/>
          <w:sz w:val="32"/>
          <w:szCs w:val="32"/>
          <w:rtl/>
        </w:rPr>
        <w:t xml:space="preserve">מבוא</w:t>
      </w:r>
    </w:p>
    <w:p>
      <w:pPr>
        <w:bidi/>
        <w:spacing w:after="0" w:line="360"/>
        <w:jc w:val="both"/>
      </w:pPr>
      <w:r>
        <w:rPr>
          <w:rFonts w:ascii="David" w:cs="David" w:eastAsia="David" w:hAnsi="David"/>
          <w:noProof/>
          <w:sz w:val="24"/>
          <w:szCs w:val="24"/>
          <w:rtl/>
        </w:rPr>
        <w:t xml:space="preserve">שיטת המקרקעין הישראלית מושתתת על עקרון הרישום הקונסטיטוטיבי: עסקה במקרקעין טעונה רישום, והיא נגמרת ברישום בלבד.</w:t>
      </w:r>
      <w:r>
        <w:rPr>
          <w:rStyle w:val="FootnoteReference"/>
        </w:rPr>
        <w:footnoteReference w:id="1"/>
      </w:r>
      <w:r>
        <w:rPr>
          <w:rFonts w:ascii="David" w:cs="David" w:eastAsia="David" w:hAnsi="David"/>
          <w:noProof/>
          <w:sz w:val="24"/>
          <w:szCs w:val="24"/>
          <w:rtl/>
        </w:rPr>
        <w:t xml:space="preserve"> ואולם, המציאות הקניינית בחברה הערבית רחוקה מן האידיאל הרישומי: חלק ניכר מן המקרקעין ביישובים הערביים מוחזק ומועבר מדור לדור על יסוד הסכמות בעל פה, ייפויי כוח בלתי חוזרים ישנים וחלוקות משפחתיות בלתי כתובות, בלא שהעסקאות הושלמו ברישום ולעיתים אף בלא שדווחו לרשויות המס. כאשר פורץ סכסוך בתוך המשפחה, נדרש בית המשפט להכריע בזכויות על יסוד תשתית ראייתית חסרה.</w:t>
      </w:r>
    </w:p>
    <w:p>
      <w:pPr>
        <w:bidi/>
        <w:spacing w:after="0" w:line="360"/>
        <w:ind w:firstLine="420"/>
        <w:jc w:val="both"/>
      </w:pPr>
      <w:r>
        <w:rPr>
          <w:rFonts w:ascii="David" w:cs="David" w:eastAsia="David" w:hAnsi="David"/>
          <w:noProof/>
          <w:sz w:val="24"/>
          <w:szCs w:val="24"/>
          <w:rtl/>
        </w:rPr>
        <w:t xml:space="preserve">עבודה זו בוחנת, מתוך עמדה ביקורתית, כיצד מכריעים בתי המשפט בזכויות במקרקעין לא רשומים בסכסוכים אלה. הטענה המרכזית כפולה: ראשית, כי הדין הישראלי, זה של סעיפים 6–10 לחוק המקרקעין, מניח שוק נדל"ן מסחרי ואנונימי ומתעלם מפרקטיקות קהילתיות של החזקה והעברה; שנית, כי הכלים שפיתחה הפסיקה כדי למלא את החלל הם פתרונות בדיעבד, התלויים בשיקול דעת שיפוטי רחב, בעוד החסם המבני, "התניית הרישום" בהסדרת מס היסטורית, נותר על כנו. הטענות ייבחנו גם בראי משפט משווה: המשפט המקובל האנגלי, מקור היניקה של דוקטרינת הזכויות שביושר;</w:t>
      </w:r>
      <w:r>
        <w:rPr>
          <w:rStyle w:val="FootnoteReference"/>
        </w:rPr>
        <w:footnoteReference w:id="2"/>
      </w:r>
      <w:r>
        <w:rPr>
          <w:rFonts w:ascii="David" w:cs="David" w:eastAsia="David" w:hAnsi="David"/>
          <w:noProof/>
          <w:sz w:val="24"/>
          <w:szCs w:val="24"/>
          <w:rtl/>
        </w:rPr>
        <w:t xml:space="preserve"> המשפט המצרי, המתמודד עם שיעורי אי רישום עצומים; והמשפט השרעי, התשתית ההיסטורית שעליה צמחו דפוסי ההחזקה הבלתי פורמליים.</w:t>
      </w:r>
    </w:p>
    <w:p>
      <w:pPr>
        <w:pStyle w:val="Heading2"/>
        <w:bidi/>
        <w:spacing w:after="180" w:before="280"/>
      </w:pPr>
      <w:r>
        <w:rPr>
          <w:rFonts w:ascii="David" w:cs="David" w:eastAsia="David" w:hAnsi="David"/>
          <w:b/>
          <w:bCs/>
          <w:noProof/>
          <w:color w:val="000000"/>
          <w:sz w:val="28"/>
          <w:szCs w:val="28"/>
          <w:rtl/>
        </w:rPr>
        <w:t xml:space="preserve">שאלות המחקר</w:t>
      </w:r>
    </w:p>
    <w:p>
      <w:pPr>
        <w:bidi/>
        <w:spacing w:after="120" w:line="360"/>
        <w:jc w:val="both"/>
      </w:pPr>
      <w:r>
        <w:rPr>
          <w:rFonts w:ascii="David" w:cs="David" w:eastAsia="David" w:hAnsi="David"/>
          <w:b/>
          <w:bCs/>
          <w:noProof/>
          <w:sz w:val="24"/>
          <w:szCs w:val="24"/>
          <w:rtl/>
        </w:rPr>
        <w:t xml:space="preserve">א. </w:t>
      </w:r>
      <w:r>
        <w:rPr>
          <w:rFonts w:ascii="David" w:cs="David" w:eastAsia="David" w:hAnsi="David"/>
          <w:noProof/>
          <w:sz w:val="24"/>
          <w:szCs w:val="24"/>
          <w:rtl/>
        </w:rPr>
        <w:t xml:space="preserve">באילו כלים משפטיים וראייתיים מתמודדים בתי המשפט עם היעדר רישום פורמלי בסכסוכי מקרקעין פנים משפחתיים בחברה הערבית, שעה שחלק גדול מן המקרקעין אינם מוסדרים או נסמכים על הסכמים ישנים, בעל פה או בייפויי כוח, שלא דווחו לרשויות המס?</w:t>
      </w:r>
    </w:p>
    <w:p>
      <w:pPr>
        <w:bidi/>
        <w:spacing w:after="120" w:line="360"/>
        <w:jc w:val="both"/>
      </w:pPr>
      <w:r>
        <w:rPr>
          <w:rFonts w:ascii="David" w:cs="David" w:eastAsia="David" w:hAnsi="David"/>
          <w:b/>
          <w:bCs/>
          <w:noProof/>
          <w:sz w:val="24"/>
          <w:szCs w:val="24"/>
          <w:rtl/>
        </w:rPr>
        <w:t xml:space="preserve">ב. </w:t>
      </w:r>
      <w:r>
        <w:rPr>
          <w:rFonts w:ascii="David" w:cs="David" w:eastAsia="David" w:hAnsi="David"/>
          <w:noProof/>
          <w:sz w:val="24"/>
          <w:szCs w:val="24"/>
          <w:rtl/>
        </w:rPr>
        <w:t xml:space="preserve">מהן ההשלכות הכלכליות של "התניית הרישום" בתשלום מיסי מקרקעין, מקום שמדובר בעסקה היסטורית משנות השבעים או השמונים שלא דווחה במועדה?</w:t>
      </w:r>
    </w:p>
    <w:p>
      <w:pPr>
        <w:bidi/>
        <w:spacing w:after="120" w:line="360"/>
        <w:jc w:val="both"/>
      </w:pPr>
      <w:r>
        <w:rPr>
          <w:rFonts w:ascii="David" w:cs="David" w:eastAsia="David" w:hAnsi="David"/>
          <w:b/>
          <w:bCs/>
          <w:noProof/>
          <w:sz w:val="24"/>
          <w:szCs w:val="24"/>
          <w:rtl/>
        </w:rPr>
        <w:t xml:space="preserve">ג. </w:t>
      </w:r>
      <w:r>
        <w:rPr>
          <w:rFonts w:ascii="David" w:cs="David" w:eastAsia="David" w:hAnsi="David"/>
          <w:noProof/>
          <w:sz w:val="24"/>
          <w:szCs w:val="24"/>
          <w:rtl/>
        </w:rPr>
        <w:t xml:space="preserve">מהו המשקל הראייתי שמעניק בית המשפט להיתר בנייה או לתשלומי ארנונה כראיה לבעלות במקרקעין בהיעדר רישום בפנקסי המקרקעין?</w:t>
      </w:r>
    </w:p>
    <w:p>
      <w:pPr>
        <w:pStyle w:val="Heading2"/>
        <w:bidi/>
        <w:spacing w:after="180" w:before="280"/>
      </w:pPr>
      <w:r>
        <w:rPr>
          <w:rFonts w:ascii="David" w:cs="David" w:eastAsia="David" w:hAnsi="David"/>
          <w:b/>
          <w:bCs/>
          <w:noProof/>
          <w:color w:val="000000"/>
          <w:sz w:val="28"/>
          <w:szCs w:val="28"/>
          <w:rtl/>
        </w:rPr>
        <w:t xml:space="preserve">מתודולוגיה</w:t>
      </w:r>
    </w:p>
    <w:p>
      <w:pPr>
        <w:bidi/>
        <w:spacing w:after="0" w:line="360"/>
        <w:jc w:val="both"/>
      </w:pPr>
      <w:r>
        <w:rPr>
          <w:rFonts w:ascii="David" w:cs="David" w:eastAsia="David" w:hAnsi="David"/>
          <w:noProof/>
          <w:sz w:val="24"/>
          <w:szCs w:val="24"/>
          <w:rtl/>
        </w:rPr>
        <w:t xml:space="preserve">העבודה משלבת ניתוח דוקטרינרי ביקורתי של החקיקה והפסיקה עם עיון משווה פונקציונלי, והיא בנויה על חמישה צעדי מחקר: מיפוי נורמטיבי וביקורת תפיסת "מסך המרשם"; ניתוח המענה הפסיקתי ובחינת יציבותו; שקלול ארגז הכלים הראייתי החלופי; ניתוח "המלכוד הכלכלי" שבחוקי המס; והעמדת הממצאים במבחן משווה.</w:t>
      </w:r>
      <w:r>
        <w:rPr>
          <w:rStyle w:val="FootnoteReference"/>
        </w:rPr>
        <w:footnoteReference w:id="3"/>
      </w:r>
      <w:r>
        <w:rPr>
          <w:rFonts w:ascii="David" w:cs="David" w:eastAsia="David" w:hAnsi="David"/>
          <w:noProof/>
          <w:sz w:val="24"/>
          <w:szCs w:val="24"/>
          <w:rtl/>
        </w:rPr>
        <w:t xml:space="preserve"> יוער גבול אחד: העבודה איננה מחקר אמפירי ואינה מתיימרת לכמת את היקף התופעה; טענותיה דוקטרינריות ומבניות, והנתונים המובאים בה משמשים רקע.</w:t>
      </w:r>
    </w:p>
    <w:p>
      <w:pPr>
        <w:pStyle w:val="Heading2"/>
        <w:bidi/>
        <w:spacing w:after="180" w:before="280"/>
      </w:pPr>
      <w:r>
        <w:rPr>
          <w:rFonts w:ascii="David" w:cs="David" w:eastAsia="David" w:hAnsi="David"/>
          <w:b/>
          <w:bCs/>
          <w:noProof/>
          <w:color w:val="000000"/>
          <w:sz w:val="28"/>
          <w:szCs w:val="28"/>
          <w:rtl/>
        </w:rPr>
        <w:t xml:space="preserve">מבנה העבודה</w:t>
      </w:r>
    </w:p>
    <w:p>
      <w:pPr>
        <w:bidi/>
        <w:spacing w:after="0" w:line="360"/>
        <w:jc w:val="both"/>
      </w:pPr>
      <w:r>
        <w:rPr>
          <w:rFonts w:ascii="David" w:cs="David" w:eastAsia="David" w:hAnsi="David"/>
          <w:b/>
          <w:bCs/>
          <w:noProof/>
          <w:sz w:val="24"/>
          <w:szCs w:val="24"/>
          <w:rtl/>
        </w:rPr>
        <w:t xml:space="preserve">פרק א</w:t>
      </w:r>
      <w:r>
        <w:rPr>
          <w:rFonts w:ascii="David" w:cs="David" w:eastAsia="David" w:hAnsi="David"/>
          <w:noProof/>
          <w:sz w:val="24"/>
          <w:szCs w:val="24"/>
          <w:rtl/>
        </w:rPr>
        <w:t xml:space="preserve"> מציג את עקרונות דיני המקרקעין ואת הביקורת על הנחות היסוד שלהם. </w:t>
      </w:r>
      <w:r>
        <w:rPr>
          <w:rFonts w:ascii="David" w:cs="David" w:eastAsia="David" w:hAnsi="David"/>
          <w:b/>
          <w:bCs/>
          <w:noProof/>
          <w:sz w:val="24"/>
          <w:szCs w:val="24"/>
          <w:rtl/>
        </w:rPr>
        <w:t xml:space="preserve">פרק ב</w:t>
      </w:r>
      <w:r>
        <w:rPr>
          <w:rFonts w:ascii="David" w:cs="David" w:eastAsia="David" w:hAnsi="David"/>
          <w:noProof/>
          <w:sz w:val="24"/>
          <w:szCs w:val="24"/>
          <w:rtl/>
        </w:rPr>
        <w:t xml:space="preserve"> עומד על מאפייני הסכסוכים הפנים משפחתיים בחברה הערבית. </w:t>
      </w:r>
      <w:r>
        <w:rPr>
          <w:rFonts w:ascii="David" w:cs="David" w:eastAsia="David" w:hAnsi="David"/>
          <w:b/>
          <w:bCs/>
          <w:noProof/>
          <w:sz w:val="24"/>
          <w:szCs w:val="24"/>
          <w:rtl/>
        </w:rPr>
        <w:t xml:space="preserve">פרק ג</w:t>
      </w:r>
      <w:r>
        <w:rPr>
          <w:rFonts w:ascii="David" w:cs="David" w:eastAsia="David" w:hAnsi="David"/>
          <w:noProof/>
          <w:sz w:val="24"/>
          <w:szCs w:val="24"/>
          <w:rtl/>
        </w:rPr>
        <w:t xml:space="preserve"> מנתח את התמודדות בתי המשפט עם היעדר הרישום ושואל אם מדובר בפתרון יציב או ב"פלסטר משפטי". </w:t>
      </w:r>
      <w:r>
        <w:rPr>
          <w:rFonts w:ascii="David" w:cs="David" w:eastAsia="David" w:hAnsi="David"/>
          <w:b/>
          <w:bCs/>
          <w:noProof/>
          <w:sz w:val="24"/>
          <w:szCs w:val="24"/>
          <w:rtl/>
        </w:rPr>
        <w:t xml:space="preserve">פרק ד</w:t>
      </w:r>
      <w:r>
        <w:rPr>
          <w:rFonts w:ascii="David" w:cs="David" w:eastAsia="David" w:hAnsi="David"/>
          <w:noProof/>
          <w:sz w:val="24"/>
          <w:szCs w:val="24"/>
          <w:rtl/>
        </w:rPr>
        <w:t xml:space="preserve"> בוחן את משקלם הראייתי של היתרי בנייה, ארנונה ומסמכים היסטוריים. </w:t>
      </w:r>
      <w:r>
        <w:rPr>
          <w:rFonts w:ascii="David" w:cs="David" w:eastAsia="David" w:hAnsi="David"/>
          <w:b/>
          <w:bCs/>
          <w:noProof/>
          <w:sz w:val="24"/>
          <w:szCs w:val="24"/>
          <w:rtl/>
        </w:rPr>
        <w:t xml:space="preserve">פרק ה</w:t>
      </w:r>
      <w:r>
        <w:rPr>
          <w:rFonts w:ascii="David" w:cs="David" w:eastAsia="David" w:hAnsi="David"/>
          <w:noProof/>
          <w:sz w:val="24"/>
          <w:szCs w:val="24"/>
          <w:rtl/>
        </w:rPr>
        <w:t xml:space="preserve"> מנתח את מנגנון התניית הרישום במס. </w:t>
      </w:r>
      <w:r>
        <w:rPr>
          <w:rFonts w:ascii="David" w:cs="David" w:eastAsia="David" w:hAnsi="David"/>
          <w:b/>
          <w:bCs/>
          <w:noProof/>
          <w:sz w:val="24"/>
          <w:szCs w:val="24"/>
          <w:rtl/>
        </w:rPr>
        <w:t xml:space="preserve">פרק ו</w:t>
      </w:r>
      <w:r>
        <w:rPr>
          <w:rFonts w:ascii="David" w:cs="David" w:eastAsia="David" w:hAnsi="David"/>
          <w:noProof/>
          <w:sz w:val="24"/>
          <w:szCs w:val="24"/>
          <w:rtl/>
        </w:rPr>
        <w:t xml:space="preserve"> מוקדש למשפט המשווה. </w:t>
      </w:r>
      <w:r>
        <w:rPr>
          <w:rFonts w:ascii="David" w:cs="David" w:eastAsia="David" w:hAnsi="David"/>
          <w:b/>
          <w:bCs/>
          <w:noProof/>
          <w:sz w:val="24"/>
          <w:szCs w:val="24"/>
          <w:rtl/>
        </w:rPr>
        <w:t xml:space="preserve">פרק ז</w:t>
      </w:r>
      <w:r>
        <w:rPr>
          <w:rFonts w:ascii="David" w:cs="David" w:eastAsia="David" w:hAnsi="David"/>
          <w:noProof/>
          <w:sz w:val="24"/>
          <w:szCs w:val="24"/>
          <w:rtl/>
        </w:rPr>
        <w:t xml:space="preserve"> הוא פרק הדיון, ובו הערכה ביקורתית כוללת וכיווני תיקון. העבודה נחתמת בסיכום ומסקנות.</w:t>
      </w:r>
    </w:p>
    <w:p>
      <w:pPr>
        <w:pStyle w:val="Heading1"/>
        <w:bidi/>
        <w:spacing w:after="240" w:before="360"/>
      </w:pPr>
      <w:r>
        <w:rPr>
          <w:rFonts w:ascii="David" w:cs="David" w:eastAsia="David" w:hAnsi="David"/>
          <w:b/>
          <w:bCs/>
          <w:noProof/>
          <w:color w:val="000000"/>
          <w:sz w:val="32"/>
          <w:szCs w:val="32"/>
          <w:rtl/>
        </w:rPr>
        <w:t xml:space="preserve">פרק א: עקרונות דיני המקרקעין בישראל וביקורת תפיסת "מסך המרשם"</w:t>
      </w:r>
    </w:p>
    <w:p>
      <w:pPr>
        <w:pStyle w:val="Heading2"/>
        <w:bidi/>
        <w:spacing w:after="180" w:before="280"/>
      </w:pPr>
      <w:r>
        <w:rPr>
          <w:rFonts w:ascii="David" w:cs="David" w:eastAsia="David" w:hAnsi="David"/>
          <w:b/>
          <w:bCs/>
          <w:noProof/>
          <w:color w:val="000000"/>
          <w:sz w:val="28"/>
          <w:szCs w:val="28"/>
          <w:rtl/>
        </w:rPr>
        <w:t xml:space="preserve">א.1 עקרון הרישום הקונסטיטוטיבי ומדרג הזכויות</w:t>
      </w:r>
    </w:p>
    <w:p>
      <w:pPr>
        <w:bidi/>
        <w:spacing w:after="0" w:line="360"/>
        <w:jc w:val="both"/>
      </w:pPr>
      <w:r>
        <w:rPr>
          <w:rFonts w:ascii="David" w:cs="David" w:eastAsia="David" w:hAnsi="David"/>
          <w:noProof/>
          <w:sz w:val="24"/>
          <w:szCs w:val="24"/>
          <w:rtl/>
        </w:rPr>
        <w:t xml:space="preserve">חוק המקרקעין עיצב את דיני הקניין סביב המרשם. סעיף 6 מגדיר "עסקה במקרקעין" כהקניה לפי רצון המקנה, למעט הורשה על פי צוואה; סעיף 7(א) קובע כי "עסקה במקרקעין טעונה רישום; העסקה נגמרת ברישום", וסעיף 7(ב) מוסיף כי עסקה שלא נגמרה ברישום "רואים אותה כהתחייבות לעשות עסקה".</w:t>
      </w:r>
      <w:r>
        <w:rPr>
          <w:rStyle w:val="FootnoteReference"/>
        </w:rPr>
        <w:footnoteReference w:id="4"/>
      </w:r>
      <w:r>
        <w:rPr>
          <w:rFonts w:ascii="David" w:cs="David" w:eastAsia="David" w:hAnsi="David"/>
          <w:noProof/>
          <w:sz w:val="24"/>
          <w:szCs w:val="24"/>
          <w:rtl/>
        </w:rPr>
        <w:t xml:space="preserve"> לצד המנגנון הקנייני מציב סעיף 8 דרישת צורה מהותית: התחייבות לעשות עסקה במקרקעין טעונה מסמך בכתב.</w:t>
      </w:r>
      <w:r>
        <w:rPr>
          <w:rStyle w:val="FootnoteReference"/>
        </w:rPr>
        <w:footnoteReference w:id="5"/>
      </w:r>
      <w:r>
        <w:rPr>
          <w:rFonts w:ascii="David" w:cs="David" w:eastAsia="David" w:hAnsi="David"/>
          <w:noProof/>
          <w:sz w:val="24"/>
          <w:szCs w:val="24"/>
          <w:rtl/>
        </w:rPr>
        <w:t xml:space="preserve"> המסמך החוזי, יהא זה הסכם מכר, תצהיר מתנה או ייפוי כוח בלתי חוזר, אינו מקנה אפוא בעלות אלא זכות אובליגטורית בלבד, וההקניה נדחית עד הרישום.</w:t>
      </w:r>
    </w:p>
    <w:p>
      <w:pPr>
        <w:bidi/>
        <w:spacing w:after="0" w:line="360"/>
        <w:ind w:firstLine="420"/>
        <w:jc w:val="both"/>
      </w:pPr>
      <w:r>
        <w:rPr>
          <w:rFonts w:ascii="David" w:cs="David" w:eastAsia="David" w:hAnsi="David"/>
          <w:noProof/>
          <w:sz w:val="24"/>
          <w:szCs w:val="24"/>
          <w:rtl/>
        </w:rPr>
        <w:t xml:space="preserve">הרישום הוא גם מקור כוחה הראייתי של הזכות: לפי סעיף 125(א) הרישום במקרקעין מוסדרים הוא "ראיה חותכת לתכנו", ובמקרקעין לא מוסדרים ראיה לכאורה בלבד.</w:t>
      </w:r>
      <w:r>
        <w:rPr>
          <w:rStyle w:val="FootnoteReference"/>
        </w:rPr>
        <w:footnoteReference w:id="6"/>
      </w:r>
      <w:r>
        <w:rPr>
          <w:rFonts w:ascii="David" w:cs="David" w:eastAsia="David" w:hAnsi="David"/>
          <w:noProof/>
          <w:sz w:val="24"/>
          <w:szCs w:val="24"/>
          <w:rtl/>
        </w:rPr>
        <w:t xml:space="preserve"> על שני אלה נשען מנגנון תקנת השוק שבסעיף 10: מי שרכש בתמורה ובהסתמך בתום לב על הרישום, זכותו שרירה אף אם הרישום לא היה נכון.</w:t>
      </w:r>
      <w:r>
        <w:rPr>
          <w:rStyle w:val="FootnoteReference"/>
        </w:rPr>
        <w:footnoteReference w:id="7"/>
      </w:r>
      <w:r>
        <w:rPr>
          <w:rFonts w:ascii="David" w:cs="David" w:eastAsia="David" w:hAnsi="David"/>
          <w:noProof/>
          <w:sz w:val="24"/>
          <w:szCs w:val="24"/>
          <w:rtl/>
        </w:rPr>
        <w:t xml:space="preserve"> ובצדם ניצבת הערת האזהרה שבסעיפים 126–127: משנרשמה, לא תירשם עסקה סותרת ועיקול מאוחר לא יפגע בזכאי.</w:t>
      </w:r>
      <w:r>
        <w:rPr>
          <w:rStyle w:val="FootnoteReference"/>
        </w:rPr>
        <w:footnoteReference w:id="8"/>
      </w:r>
      <w:r>
        <w:rPr>
          <w:rFonts w:ascii="David" w:cs="David" w:eastAsia="David" w:hAnsi="David"/>
          <w:noProof/>
          <w:sz w:val="24"/>
          <w:szCs w:val="24"/>
          <w:rtl/>
        </w:rPr>
        <w:t xml:space="preserve"> ברקע ניצבת ההבחנה בין הזכות הקניינית, הפועלת כלפי כולי עלמא, לבין הזכות האישית.</w:t>
      </w:r>
      <w:r>
        <w:rPr>
          <w:rStyle w:val="FootnoteReference"/>
        </w:rPr>
        <w:footnoteReference w:id="9"/>
      </w:r>
      <w:r>
        <w:rPr>
          <w:rFonts w:ascii="David" w:cs="David" w:eastAsia="David" w:hAnsi="David"/>
          <w:noProof/>
          <w:sz w:val="24"/>
          <w:szCs w:val="24"/>
          <w:rtl/>
        </w:rPr>
        <w:t xml:space="preserve"> המחזיק הבלתי רשום חי בין שני הקצוות: הדין מסווג את זכותו כאישית, אך חייו מתנהלים כשל בעלים.</w:t>
      </w:r>
    </w:p>
    <w:p>
      <w:pPr>
        <w:pStyle w:val="Heading2"/>
        <w:bidi/>
        <w:spacing w:after="180" w:before="280"/>
      </w:pPr>
      <w:r>
        <w:rPr>
          <w:rFonts w:ascii="David" w:cs="David" w:eastAsia="David" w:hAnsi="David"/>
          <w:b/>
          <w:bCs/>
          <w:noProof/>
          <w:color w:val="000000"/>
          <w:sz w:val="28"/>
          <w:szCs w:val="28"/>
          <w:rtl/>
        </w:rPr>
        <w:t xml:space="preserve">א.2 מקרקעין מוסדרים ושאינם מוסדרים</w:t>
      </w:r>
    </w:p>
    <w:p>
      <w:pPr>
        <w:bidi/>
        <w:spacing w:after="0" w:line="360"/>
        <w:jc w:val="both"/>
      </w:pPr>
      <w:r>
        <w:rPr>
          <w:rFonts w:ascii="David" w:cs="David" w:eastAsia="David" w:hAnsi="David"/>
          <w:noProof/>
          <w:sz w:val="24"/>
          <w:szCs w:val="24"/>
          <w:rtl/>
        </w:rPr>
        <w:t xml:space="preserve">שיטת הרישום דואלית: לצד פנקסי הזכויות של המקרקעין המוסדרים, פרי הליכי הסדר שמקורם בפקודה המנדטורית משנת 1928, מתקיימים פנקסי שטרות של מקרקעין לא מוסדרים, שהרישום בהם ראייתי וניתן לסתירה.</w:t>
      </w:r>
      <w:r>
        <w:rPr>
          <w:rStyle w:val="FootnoteReference"/>
        </w:rPr>
        <w:footnoteReference w:id="10"/>
      </w:r>
      <w:r>
        <w:rPr>
          <w:rFonts w:ascii="David" w:cs="David" w:eastAsia="David" w:hAnsi="David"/>
          <w:noProof/>
          <w:sz w:val="24"/>
          <w:szCs w:val="24"/>
          <w:rtl/>
        </w:rPr>
        <w:t xml:space="preserve"> ההבדל מבני: פנקס הזכויות מאורגן לפי הנכס, ולכל חלקה דף המרכז את זכויותיה, ואילו פנקס השטרות מאורגן לפי העסקאות ומחייב התחקות ידנית אחר שרשרת שטרות. סעיף 81 לפקודת ההסדר מוסיף כי הרישום בעקבות ההסדר מבטל כל זכות הסותרת אותו, ובכך הפך את אי ההשתתפות בהליכים לאובדן זכויות.</w:t>
      </w:r>
      <w:r>
        <w:rPr>
          <w:rStyle w:val="FootnoteReference"/>
        </w:rPr>
        <w:footnoteReference w:id="11"/>
      </w:r>
      <w:r>
        <w:rPr>
          <w:rFonts w:ascii="David" w:cs="David" w:eastAsia="David" w:hAnsi="David"/>
          <w:noProof/>
          <w:sz w:val="24"/>
          <w:szCs w:val="24"/>
          <w:rtl/>
        </w:rPr>
        <w:t xml:space="preserve"> לדואליות נפקות ישירה: במקרקעין מוסדרים ניצב הטוען לזכות בלתי רשומה מול "ראיה חותכת" ומול שלילת ההתיישנות שבסעיף 159(ב); ובמקרקעין המצויים בהליכי הסדר מתרכזות התביעות בידי פקיד ההסדר, ואף הערת אזהרה אינה ניתנת לרישום עד תומם.</w:t>
      </w:r>
      <w:r>
        <w:rPr>
          <w:rStyle w:val="FootnoteReference"/>
        </w:rPr>
        <w:footnoteReference w:id="12"/>
      </w:r>
      <w:r>
        <w:rPr>
          <w:rFonts w:ascii="David" w:cs="David" w:eastAsia="David" w:hAnsi="David"/>
          <w:noProof/>
          <w:sz w:val="24"/>
          <w:szCs w:val="24"/>
          <w:rtl/>
        </w:rPr>
        <w:t xml:space="preserve"> ביישובים שבהם ההסדר לא הושלם, אי הרישום איננו בחירה של המשפחה אלא מגבלה של הדין, שאינו מעמיד לרשותה כלי רישום כלל.</w:t>
      </w:r>
    </w:p>
    <w:p>
      <w:pPr>
        <w:pStyle w:val="Heading2"/>
        <w:bidi/>
        <w:spacing w:after="180" w:before="280"/>
      </w:pPr>
      <w:r>
        <w:rPr>
          <w:rFonts w:ascii="David" w:cs="David" w:eastAsia="David" w:hAnsi="David"/>
          <w:b/>
          <w:bCs/>
          <w:noProof/>
          <w:color w:val="000000"/>
          <w:sz w:val="28"/>
          <w:szCs w:val="28"/>
          <w:rtl/>
        </w:rPr>
        <w:t xml:space="preserve">א.3 ביקורת: "מסך המרשם" והנחת השוק המסחרי</w:t>
      </w:r>
    </w:p>
    <w:p>
      <w:pPr>
        <w:bidi/>
        <w:spacing w:after="0" w:line="360"/>
        <w:jc w:val="both"/>
      </w:pPr>
      <w:r>
        <w:rPr>
          <w:rFonts w:ascii="David" w:cs="David" w:eastAsia="David" w:hAnsi="David"/>
          <w:noProof/>
          <w:sz w:val="24"/>
          <w:szCs w:val="24"/>
          <w:rtl/>
        </w:rPr>
        <w:t xml:space="preserve">המבנה שתואר, רישום קונסטיטוטיבי, כתב מהותי, ראיה חותכת ותקנת שוק, קוהרנטי להפליא, אך קוהרנטיותו נשענת על הנחה סמויה: שוק נדל"ן מודרני ואנונימי, שבו צדדים זרים מתקשרים באמצעות עורכי דין, בודקים נסח ומשלימים רישום בתוך חודשים. אלא שהחוק החיל את המבנה, באחידות עיוורת, גם על מציאות שונה בתכלית: קהילות שבהן הקרקע היא נכס משפחתי רב דורי, ההתקשרות נעשית בין קרובים על יסוד אמון, והמרשם, מקום שהוא קיים, קפא לפני דורות על שם אב המשפחה. במציאות זו המרשם אינו מראה אלא מסך המסתיר את מערך הזכויות החי יותר משהוא משקף אותו.</w:t>
      </w:r>
      <w:r>
        <w:rPr>
          <w:rStyle w:val="FootnoteReference"/>
        </w:rPr>
        <w:footnoteReference w:id="13"/>
      </w:r>
    </w:p>
    <w:p>
      <w:pPr>
        <w:bidi/>
        <w:spacing w:after="0" w:line="360"/>
        <w:ind w:firstLine="420"/>
        <w:jc w:val="both"/>
      </w:pPr>
      <w:r>
        <w:rPr>
          <w:rFonts w:ascii="David" w:cs="David" w:eastAsia="David" w:hAnsi="David"/>
          <w:noProof/>
          <w:sz w:val="24"/>
          <w:szCs w:val="24"/>
          <w:rtl/>
        </w:rPr>
        <w:t xml:space="preserve">שלוש תוצאות נובעות מכך: חלוקתית, שכן הגנות החוק מוענקות למי שפועל בדפוסי השוק המסחרי ונשללות ממי שפועל בדפוסים קהילתיים, וחוק הנחזה ניטרלי מקצה את סיכוני האכיפה לקבוצות מובחנות; מוסדית, שכן משאין הדין הפורמלי נותן מענה נאלצת הפסיקה לפתח דינים מקבילים, גמישים אך בלתי צפויים, כפי שיפורט בפרק ג; ותודעתית, שכן מי שאינו יכול להרשות לעצמו את מחיר הכניסה למרשם חדל לראות בו כתובת. ודוק: הביקורת אינה מכוונת נגד רעיון המרשם אלא נגד ההנחה שדי בקביעת החובה.</w:t>
      </w:r>
    </w:p>
    <w:p>
      <w:pPr>
        <w:pStyle w:val="Heading1"/>
        <w:bidi/>
        <w:spacing w:after="240" w:before="360"/>
      </w:pPr>
      <w:r>
        <w:rPr>
          <w:rFonts w:ascii="David" w:cs="David" w:eastAsia="David" w:hAnsi="David"/>
          <w:b/>
          <w:bCs/>
          <w:noProof/>
          <w:color w:val="000000"/>
          <w:sz w:val="32"/>
          <w:szCs w:val="32"/>
          <w:rtl/>
        </w:rPr>
        <w:t xml:space="preserve">פרק ב: מאפייני סכסוכי מקרקעין פנים משפחתיים בחברה הערבית</w:t>
      </w:r>
    </w:p>
    <w:p>
      <w:pPr>
        <w:pStyle w:val="Heading2"/>
        <w:bidi/>
        <w:spacing w:after="180" w:before="280"/>
      </w:pPr>
      <w:r>
        <w:rPr>
          <w:rFonts w:ascii="David" w:cs="David" w:eastAsia="David" w:hAnsi="David"/>
          <w:b/>
          <w:bCs/>
          <w:noProof/>
          <w:color w:val="000000"/>
          <w:sz w:val="28"/>
          <w:szCs w:val="28"/>
          <w:rtl/>
        </w:rPr>
        <w:t xml:space="preserve">ב.1 השורשים ההיסטוריים: מן המוּשאע אל הטאבו</w:t>
      </w:r>
    </w:p>
    <w:p>
      <w:pPr>
        <w:bidi/>
        <w:spacing w:after="0" w:line="360"/>
        <w:jc w:val="both"/>
      </w:pPr>
      <w:r>
        <w:rPr>
          <w:rFonts w:ascii="David" w:cs="David" w:eastAsia="David" w:hAnsi="David"/>
          <w:noProof/>
          <w:sz w:val="24"/>
          <w:szCs w:val="24"/>
          <w:rtl/>
        </w:rPr>
        <w:t xml:space="preserve">תופעת אי הרישום אינה "עצלות רישומית" אלא תוצר היסטורי ומבני. חוק הקרקעות העות׳מאני משנת 1858 סיווג את הקרקעות לקטגוריות (מוּלְכּ, מירי, וַקְף, מַתְרוּכֶּה ומַוַואת) וחייב רישום בספרי הטאבו בעבירת קרקע מסוג מירי,</w:t>
      </w:r>
      <w:r>
        <w:rPr>
          <w:rStyle w:val="FootnoteReference"/>
        </w:rPr>
        <w:footnoteReference w:id="14"/>
      </w:r>
      <w:r>
        <w:rPr>
          <w:rFonts w:ascii="David" w:cs="David" w:eastAsia="David" w:hAnsi="David"/>
          <w:noProof/>
          <w:sz w:val="24"/>
          <w:szCs w:val="24"/>
          <w:rtl/>
        </w:rPr>
        <w:t xml:space="preserve"> אלא שבפועל נמנעו רבים מרישום בשל מס הרישום, החשש מגיוס ומחשיפה לשלטונות, והנוהג לרשום על שם נציג המשפחה או החַמוּלָה; ודפוס ה"מוּשאע", בעלות משותפת בלתי מחולקת המעובדת ברוטציה או בחלוקה פנימית מוסכמת, הנציח אף הוא את הפער בין ההחזקה לרישום.</w:t>
      </w:r>
      <w:r>
        <w:rPr>
          <w:rStyle w:val="FootnoteReference"/>
        </w:rPr>
        <w:footnoteReference w:id="15"/>
      </w:r>
      <w:r>
        <w:rPr>
          <w:rFonts w:ascii="David" w:cs="David" w:eastAsia="David" w:hAnsi="David"/>
          <w:noProof/>
          <w:sz w:val="24"/>
          <w:szCs w:val="24"/>
          <w:rtl/>
        </w:rPr>
        <w:t xml:space="preserve"> הליכי ההסדר, המנדטוריים והישראליים, פעלו ביישובים ערביים באופן חלקי בלבד, ובאחרים הושלמו תוך רישום קרקעות על שם המדינה ורשות הפיתוח.</w:t>
      </w:r>
      <w:r>
        <w:rPr>
          <w:rStyle w:val="FootnoteReference"/>
        </w:rPr>
        <w:footnoteReference w:id="16"/>
      </w:r>
      <w:r>
        <w:rPr>
          <w:rFonts w:ascii="David" w:cs="David" w:eastAsia="David" w:hAnsi="David"/>
          <w:noProof/>
          <w:sz w:val="24"/>
          <w:szCs w:val="24"/>
          <w:rtl/>
        </w:rPr>
        <w:t xml:space="preserve"> התולדה ניכרת עד היום, ובכל גלגוליה משותף אחד: המרשם חדל לתאר את המציאות זמן רב לפני שפרץ הסכסוך.</w:t>
      </w:r>
    </w:p>
    <w:p>
      <w:pPr>
        <w:pStyle w:val="Heading2"/>
        <w:bidi/>
        <w:spacing w:after="180" w:before="280"/>
      </w:pPr>
      <w:r>
        <w:rPr>
          <w:rFonts w:ascii="David" w:cs="David" w:eastAsia="David" w:hAnsi="David"/>
          <w:b/>
          <w:bCs/>
          <w:noProof/>
          <w:color w:val="000000"/>
          <w:sz w:val="28"/>
          <w:szCs w:val="28"/>
          <w:rtl/>
        </w:rPr>
        <w:t xml:space="preserve">ב.2 דפוסי ההעברה הבלתי פורמליים: ייפוי הכוח, המתנה שבעל פה והחלוקה הפנימית</w:t>
      </w:r>
    </w:p>
    <w:p>
      <w:pPr>
        <w:bidi/>
        <w:spacing w:after="0" w:line="360"/>
        <w:jc w:val="both"/>
      </w:pPr>
      <w:r>
        <w:rPr>
          <w:rFonts w:ascii="David" w:cs="David" w:eastAsia="David" w:hAnsi="David"/>
          <w:noProof/>
          <w:sz w:val="24"/>
          <w:szCs w:val="24"/>
          <w:rtl/>
        </w:rPr>
        <w:t xml:space="preserve">על המצע ההיסטורי נשתלו שלושה גורמים מודרניים. הראשון, דיני המס: הרישום מותנה, כמפורט בפרק ה, בדיווח ובתשלום, ועלות ההסדרה מרתיעה עד היום. השני, התרבות המשפטית הפנים משפחתית: העברות בין אב לבניו או בין אחים נתפסות כעניין שאינו טעון פורמליזציה, ולכל היותר נערך ייפוי כוח נוטריוני בלתי חוזר. והשלישי, מגבלות תכנוניות המקשות על פיצול חלקות ורישום חלוקות בעין.</w:t>
      </w:r>
      <w:r>
        <w:rPr>
          <w:rStyle w:val="FootnoteReference"/>
        </w:rPr>
        <w:footnoteReference w:id="17"/>
      </w:r>
      <w:r>
        <w:rPr>
          <w:rFonts w:ascii="David" w:cs="David" w:eastAsia="David" w:hAnsi="David"/>
          <w:noProof/>
          <w:sz w:val="24"/>
          <w:szCs w:val="24"/>
          <w:rtl/>
        </w:rPr>
        <w:t xml:space="preserve"> התוצאה: שכבות של עסקאות, מכר, מתנה, ירושה וחלוקה, שכולן "תלויות באוויר" האובליגטורי ואינן נראות במרשם.</w:t>
      </w:r>
      <w:r>
        <w:rPr>
          <w:rStyle w:val="FootnoteReference"/>
        </w:rPr>
        <w:footnoteReference w:id="18"/>
      </w:r>
    </w:p>
    <w:p>
      <w:pPr>
        <w:bidi/>
        <w:spacing w:after="0" w:line="360"/>
        <w:ind w:firstLine="420"/>
        <w:jc w:val="both"/>
      </w:pPr>
      <w:r>
        <w:rPr>
          <w:rFonts w:ascii="David" w:cs="David" w:eastAsia="David" w:hAnsi="David"/>
          <w:noProof/>
          <w:sz w:val="24"/>
          <w:szCs w:val="24"/>
          <w:rtl/>
        </w:rPr>
        <w:t xml:space="preserve">ההקשר הדמוגרפי מבהיר את סדרי הגודל: בסוף 2022 מנתה האוכלוסייה הערבית כ-2.04 מיליון נפש, כ-21.1% מכלל האוכלוסייה, וכשלושה רבעים מהם מתגוררים ביישובים הומוגניים.</w:t>
      </w:r>
      <w:r>
        <w:rPr>
          <w:rStyle w:val="FootnoteReference"/>
        </w:rPr>
        <w:footnoteReference w:id="19"/>
      </w:r>
      <w:r>
        <w:rPr>
          <w:rFonts w:ascii="David" w:cs="David" w:eastAsia="David" w:hAnsi="David"/>
          <w:noProof/>
          <w:sz w:val="24"/>
          <w:szCs w:val="24"/>
          <w:rtl/>
        </w:rPr>
        <w:t xml:space="preserve"> הקניין המשפחתי איננו נכס כלכלי גרידא אלא מנגנון לשימור זהות וטריטוריה, והמבנה המרחבי של השכונה החמולתית משקף את האילן המשפחתי.</w:t>
      </w:r>
      <w:r>
        <w:rPr>
          <w:rStyle w:val="FootnoteReference"/>
        </w:rPr>
        <w:footnoteReference w:id="20"/>
      </w:r>
      <w:r>
        <w:rPr>
          <w:rFonts w:ascii="David" w:cs="David" w:eastAsia="David" w:hAnsi="David"/>
          <w:noProof/>
          <w:sz w:val="24"/>
          <w:szCs w:val="24"/>
          <w:rtl/>
        </w:rPr>
        <w:t xml:space="preserve"> מחקר שנערך בארבעה יישובים ערביים ודרוזיים מצא כי שוק הקרקעות המקומי מתפקד כתת שוק נבדל, המעוצב במידה מכרעת על ידי עסקאות פנים משפחתיות בלתי פורמליות וזכויות בלתי מוסדרות.</w:t>
      </w:r>
      <w:r>
        <w:rPr>
          <w:rStyle w:val="FootnoteReference"/>
        </w:rPr>
        <w:footnoteReference w:id="21"/>
      </w:r>
    </w:p>
    <w:p>
      <w:pPr>
        <w:pStyle w:val="Heading2"/>
        <w:bidi/>
        <w:spacing w:after="180" w:before="280"/>
      </w:pPr>
      <w:r>
        <w:rPr>
          <w:rFonts w:ascii="David" w:cs="David" w:eastAsia="David" w:hAnsi="David"/>
          <w:b/>
          <w:bCs/>
          <w:noProof/>
          <w:color w:val="000000"/>
          <w:sz w:val="28"/>
          <w:szCs w:val="28"/>
          <w:rtl/>
        </w:rPr>
        <w:t xml:space="preserve">ב.3 אנטומיה של הסכסוך הטיפוסי</w:t>
      </w:r>
    </w:p>
    <w:p>
      <w:pPr>
        <w:bidi/>
        <w:spacing w:after="0" w:line="360"/>
        <w:jc w:val="both"/>
      </w:pPr>
      <w:r>
        <w:rPr>
          <w:rFonts w:ascii="David" w:cs="David" w:eastAsia="David" w:hAnsi="David"/>
          <w:noProof/>
          <w:sz w:val="24"/>
          <w:szCs w:val="24"/>
          <w:rtl/>
        </w:rPr>
        <w:t xml:space="preserve">הסכסוך הטיפוסי מבשיל בשלושה שלבים. ב"שלב ההרמוניה" מתבצעת ההעברה הבלתי פורמלית: האב מחלק בעל פה את חלקותיו בין בניו, או מוכר לאחיו חלקה כנגד ייפוי כוח; איש אינו רושם. ב"שלב ההשקעה" בונה המקבל את ביתו, מוציא היתר בהסכמת המשפחה ומשלם ארנונה; ההסתמכות מעמיקה, והתיעוד היחיד הוא מנהלי ונסיבתי. ב"שלב הקרע" נפטר המקנה, ובני הדור השני או השלישי, שלא היו צד להסכמות, מגלים כי המרשם או צו הירושה מקנים להם על הנייר את שחולק זה מכבר בפועל; והתביעה מוגשת עשרות שנים לאחר האירועים, כשעדי המפתח אינם עוד בין החיים.</w:t>
      </w:r>
      <w:r>
        <w:rPr>
          <w:rStyle w:val="FootnoteReference"/>
        </w:rPr>
        <w:footnoteReference w:id="22"/>
      </w:r>
    </w:p>
    <w:p>
      <w:pPr>
        <w:bidi/>
        <w:spacing w:after="0" w:line="360"/>
        <w:ind w:firstLine="420"/>
        <w:jc w:val="both"/>
      </w:pPr>
      <w:r>
        <w:rPr>
          <w:rFonts w:ascii="David" w:cs="David" w:eastAsia="David" w:hAnsi="David"/>
          <w:noProof/>
          <w:sz w:val="24"/>
          <w:szCs w:val="24"/>
          <w:rtl/>
        </w:rPr>
        <w:t xml:space="preserve">לשלב הקרע דפוס דיוני אופייני: התביעה מנוסחת תכופות כתביעת סילוק יד, המציגה את המחזיק כפולש אף שברקע ניצבת הרשאה משפחתית רבת שנים, והנתבע משיב בטענת בעלות מכוח העסקה ההיסטורית.</w:t>
      </w:r>
      <w:r>
        <w:rPr>
          <w:rStyle w:val="FootnoteReference"/>
        </w:rPr>
        <w:footnoteReference w:id="23"/>
      </w:r>
      <w:r>
        <w:rPr>
          <w:rFonts w:ascii="David" w:cs="David" w:eastAsia="David" w:hAnsi="David"/>
          <w:noProof/>
          <w:sz w:val="24"/>
          <w:szCs w:val="24"/>
          <w:rtl/>
        </w:rPr>
        <w:t xml:space="preserve"> שלושה מאפיינים מבחינים סכסוך זה מסכסוך מסחרי: היעדר תיעוד הוא הנורמה ולא החריג, ולכן אין להסיק ממנו על אמינות הטענות; הצדדים כבולים זה לזה גם לאחר ההכרעה, ולכן להכרעה בינארית מחיר חברתי מתמשך; וברקע מרחפת תמיד שאלת המס. על רקע אלה ייבחן להלן ארגז הכלים שפיתחו בתי המשפט.</w:t>
      </w:r>
    </w:p>
    <w:p>
      <w:pPr>
        <w:pStyle w:val="Heading1"/>
        <w:bidi/>
        <w:spacing w:after="240" w:before="360"/>
      </w:pPr>
      <w:r>
        <w:rPr>
          <w:rFonts w:ascii="David" w:cs="David" w:eastAsia="David" w:hAnsi="David"/>
          <w:b/>
          <w:bCs/>
          <w:noProof/>
          <w:color w:val="000000"/>
          <w:sz w:val="32"/>
          <w:szCs w:val="32"/>
          <w:rtl/>
        </w:rPr>
        <w:t xml:space="preserve">פרק ג: התמודדות בתי המשפט עם היעדר רישום פורמלי</w:t>
      </w:r>
    </w:p>
    <w:p>
      <w:pPr>
        <w:pStyle w:val="Heading2"/>
        <w:bidi/>
        <w:spacing w:after="180" w:before="280"/>
      </w:pPr>
      <w:r>
        <w:rPr>
          <w:rFonts w:ascii="David" w:cs="David" w:eastAsia="David" w:hAnsi="David"/>
          <w:b/>
          <w:bCs/>
          <w:noProof/>
          <w:color w:val="000000"/>
          <w:sz w:val="28"/>
          <w:szCs w:val="28"/>
          <w:rtl/>
        </w:rPr>
        <w:t xml:space="preserve">ג.1 עסקה שלא נגמרה ברישום: מהתחייבות אובליגטורית לזכות מעין קניינית</w:t>
      </w:r>
    </w:p>
    <w:p>
      <w:pPr>
        <w:bidi/>
        <w:spacing w:after="0" w:line="360"/>
        <w:jc w:val="both"/>
      </w:pPr>
      <w:r>
        <w:rPr>
          <w:rFonts w:ascii="David" w:cs="David" w:eastAsia="David" w:hAnsi="David"/>
          <w:noProof/>
          <w:sz w:val="24"/>
          <w:szCs w:val="24"/>
          <w:rtl/>
        </w:rPr>
        <w:t xml:space="preserve">נקודת המוצא נקבעה בסעיף 7(ב): עסקה שלא נגמרה ברישום רואים אותה כהתחייבות לעשות עסקה, ולכאורה אין לרוכש אלא זכות חוזית. ואולם בעניין </w:t>
      </w:r>
      <w:r>
        <w:rPr>
          <w:rFonts w:ascii="David" w:cs="David" w:eastAsia="David" w:hAnsi="David"/>
          <w:b/>
          <w:bCs/>
          <w:noProof/>
          <w:sz w:val="24"/>
          <w:szCs w:val="24"/>
          <w:rtl/>
        </w:rPr>
        <w:t xml:space="preserve">אהרונוב</w:t>
      </w:r>
      <w:r>
        <w:rPr>
          <w:rFonts w:ascii="David" w:cs="David" w:eastAsia="David" w:hAnsi="David"/>
          <w:noProof/>
          <w:sz w:val="24"/>
          <w:szCs w:val="24"/>
          <w:rtl/>
        </w:rPr>
        <w:t xml:space="preserve"> העניק בית המשפט העליון לזכות זו ממד קנייני מהותי: משנכרת חוזה מכר מחייב קמה לקונה "זכות שביושר תוצרת הארץ", שעיקול נושי המוכר אינו גובר עליה אף בהיעדר הערת אזהרה.</w:t>
      </w:r>
      <w:r>
        <w:rPr>
          <w:rStyle w:val="FootnoteReference"/>
        </w:rPr>
        <w:footnoteReference w:id="24"/>
      </w:r>
      <w:r>
        <w:rPr>
          <w:rFonts w:ascii="David" w:cs="David" w:eastAsia="David" w:hAnsi="David"/>
          <w:noProof/>
          <w:sz w:val="24"/>
          <w:szCs w:val="24"/>
          <w:rtl/>
        </w:rPr>
        <w:t xml:space="preserve"> ההלכה יושמה במישרין על מקבל מתנה בתוך המשפחה: בעניין </w:t>
      </w:r>
      <w:r>
        <w:rPr>
          <w:rFonts w:ascii="David" w:cs="David" w:eastAsia="David" w:hAnsi="David"/>
          <w:b/>
          <w:bCs/>
          <w:noProof/>
          <w:sz w:val="24"/>
          <w:szCs w:val="24"/>
          <w:rtl/>
        </w:rPr>
        <w:t xml:space="preserve">לוי נ׳ חיג׳אזי</w:t>
      </w:r>
      <w:r>
        <w:rPr>
          <w:rFonts w:ascii="David" w:cs="David" w:eastAsia="David" w:hAnsi="David"/>
          <w:noProof/>
          <w:sz w:val="24"/>
          <w:szCs w:val="24"/>
          <w:rtl/>
        </w:rPr>
        <w:t xml:space="preserve"> הועדפה זכותם של שבעת ילדים, מכוח התחייבות אביהם בייפוי כוח משנת 1986, על פני עיקולי נושי האב.</w:t>
      </w:r>
      <w:r>
        <w:rPr>
          <w:rStyle w:val="FootnoteReference"/>
        </w:rPr>
        <w:footnoteReference w:id="25"/>
      </w:r>
      <w:r>
        <w:rPr>
          <w:rFonts w:ascii="David" w:cs="David" w:eastAsia="David" w:hAnsi="David"/>
          <w:noProof/>
          <w:sz w:val="24"/>
          <w:szCs w:val="24"/>
          <w:rtl/>
        </w:rPr>
        <w:t xml:space="preserve"> חשיבותה מכרעת: בן המשפחה שקנה או ש"חולק לו" מגרש לפני עשרות שנים חדל להיות בעל טענה חוזית בלבד, וזכותו מוגנת מפני נושי המקנה ואינה נשחקת בחלוף הזמן כל עוד לא נכפרה; ובה בעת אין זו בעלות, והיא נסוגה מפני רוכש מאוחר בתמורה ובתום לב שהשלים את הרישום.</w:t>
      </w:r>
      <w:r>
        <w:rPr>
          <w:rStyle w:val="FootnoteReference"/>
        </w:rPr>
        <w:footnoteReference w:id="26"/>
      </w:r>
    </w:p>
    <w:p>
      <w:pPr>
        <w:pStyle w:val="Heading2"/>
        <w:bidi/>
        <w:spacing w:after="180" w:before="280"/>
      </w:pPr>
      <w:r>
        <w:rPr>
          <w:rFonts w:ascii="David" w:cs="David" w:eastAsia="David" w:hAnsi="David"/>
          <w:b/>
          <w:bCs/>
          <w:noProof/>
          <w:color w:val="000000"/>
          <w:sz w:val="28"/>
          <w:szCs w:val="28"/>
          <w:rtl/>
        </w:rPr>
        <w:t xml:space="preserve">ג.2 ייפוי הכוח הבלתי חוזר כמסמך העסקה</w:t>
      </w:r>
    </w:p>
    <w:p>
      <w:pPr>
        <w:bidi/>
        <w:spacing w:after="0" w:line="360"/>
        <w:jc w:val="both"/>
      </w:pPr>
      <w:r>
        <w:rPr>
          <w:rFonts w:ascii="David" w:cs="David" w:eastAsia="David" w:hAnsi="David"/>
          <w:noProof/>
          <w:sz w:val="24"/>
          <w:szCs w:val="24"/>
          <w:rtl/>
        </w:rPr>
        <w:t xml:space="preserve">המסמך היחיד הקיים על פי רוב אינו חוזה ערוך כדין אלא ייפוי כוח נוטריוני בלתי חוזר, שוויסמן תיאר כ"תחליף לבעלות", והשאלה אם הוא ממלא את דרישת הכתב הוכרעה בחיוב עקרוני: בעניין </w:t>
      </w:r>
      <w:r>
        <w:rPr>
          <w:rFonts w:ascii="David" w:cs="David" w:eastAsia="David" w:hAnsi="David"/>
          <w:b/>
          <w:bCs/>
          <w:noProof/>
          <w:sz w:val="24"/>
          <w:szCs w:val="24"/>
          <w:rtl/>
        </w:rPr>
        <w:t xml:space="preserve">נאטור</w:t>
      </w:r>
      <w:r>
        <w:rPr>
          <w:rFonts w:ascii="David" w:cs="David" w:eastAsia="David" w:hAnsi="David"/>
          <w:noProof/>
          <w:sz w:val="24"/>
          <w:szCs w:val="24"/>
          <w:rtl/>
        </w:rPr>
        <w:t xml:space="preserve"> נקבע כי ייפוי כוח מקיים את הדרישה כשעולים ממנו הפרטים המהותיים ומשתקפת בו גמירות דעת, ובעניין </w:t>
      </w:r>
      <w:r>
        <w:rPr>
          <w:rFonts w:ascii="David" w:cs="David" w:eastAsia="David" w:hAnsi="David"/>
          <w:b/>
          <w:bCs/>
          <w:noProof/>
          <w:sz w:val="24"/>
          <w:szCs w:val="24"/>
          <w:rtl/>
        </w:rPr>
        <w:t xml:space="preserve">לוי נ׳ חיג׳אזי</w:t>
      </w:r>
      <w:r>
        <w:rPr>
          <w:rFonts w:ascii="David" w:cs="David" w:eastAsia="David" w:hAnsi="David"/>
          <w:noProof/>
          <w:sz w:val="24"/>
          <w:szCs w:val="24"/>
          <w:rtl/>
        </w:rPr>
        <w:t xml:space="preserve"> הובחן בין הפן ההרשאתי לפן החוזי, שכן המסמך עשוי לשמש הן ראיה לעסקת היסוד הן מסמך המגלם אותה.</w:t>
      </w:r>
      <w:r>
        <w:rPr>
          <w:rStyle w:val="FootnoteReference"/>
        </w:rPr>
        <w:footnoteReference w:id="27"/>
      </w:r>
      <w:r>
        <w:rPr>
          <w:rFonts w:ascii="David" w:cs="David" w:eastAsia="David" w:hAnsi="David"/>
          <w:noProof/>
          <w:sz w:val="24"/>
          <w:szCs w:val="24"/>
          <w:rtl/>
        </w:rPr>
        <w:t xml:space="preserve"> הלכות אלה יושמו על ייפויי כוח ותיקים מן המגזר הערבי: בעניין </w:t>
      </w:r>
      <w:r>
        <w:rPr>
          <w:rFonts w:ascii="David" w:cs="David" w:eastAsia="David" w:hAnsi="David"/>
          <w:b/>
          <w:bCs/>
          <w:noProof/>
          <w:sz w:val="24"/>
          <w:szCs w:val="24"/>
          <w:rtl/>
        </w:rPr>
        <w:t xml:space="preserve">אבו אסמעיל</w:t>
      </w:r>
      <w:r>
        <w:rPr>
          <w:rFonts w:ascii="David" w:cs="David" w:eastAsia="David" w:hAnsi="David"/>
          <w:noProof/>
          <w:sz w:val="24"/>
          <w:szCs w:val="24"/>
          <w:rtl/>
        </w:rPr>
        <w:t xml:space="preserve"> אישר בית המשפט העליון כי ייפוי כוח המפרט צדדים, מקרקעין ותמורה עשוי לכלול הן את עסקת היסוד הן את ההרשאה לביצועה,</w:t>
      </w:r>
      <w:r>
        <w:rPr>
          <w:rStyle w:val="FootnoteReference"/>
        </w:rPr>
        <w:footnoteReference w:id="28"/>
      </w:r>
      <w:r>
        <w:rPr>
          <w:rFonts w:ascii="David" w:cs="David" w:eastAsia="David" w:hAnsi="David"/>
          <w:noProof/>
          <w:sz w:val="24"/>
          <w:szCs w:val="24"/>
          <w:rtl/>
        </w:rPr>
        <w:t xml:space="preserve"> ובית משפט השלום בנצרת קבע כי ייפוי כוח משנת 1970 משמש גם התחייבות בכתב כמשמעה בסעיף 8.</w:t>
      </w:r>
      <w:r>
        <w:rPr>
          <w:rStyle w:val="FootnoteReference"/>
        </w:rPr>
        <w:footnoteReference w:id="29"/>
      </w:r>
      <w:r>
        <w:rPr>
          <w:rFonts w:ascii="David" w:cs="David" w:eastAsia="David" w:hAnsi="David"/>
          <w:noProof/>
          <w:sz w:val="24"/>
          <w:szCs w:val="24"/>
          <w:rtl/>
        </w:rPr>
        <w:t xml:space="preserve"> בחברה שבה ייפוי הכוח היה "שטר המכר" המעשי, שלילת נפקותו הייתה מפקיעה דור שלם של עסקאות.</w:t>
      </w:r>
    </w:p>
    <w:p>
      <w:pPr>
        <w:bidi/>
        <w:spacing w:after="0" w:line="360"/>
        <w:ind w:firstLine="420"/>
        <w:jc w:val="both"/>
      </w:pPr>
      <w:r>
        <w:rPr>
          <w:rFonts w:ascii="David" w:cs="David" w:eastAsia="David" w:hAnsi="David"/>
          <w:noProof/>
          <w:sz w:val="24"/>
          <w:szCs w:val="24"/>
          <w:rtl/>
        </w:rPr>
        <w:t xml:space="preserve">עם זאת אין ייפוי הכוח חזות הכל. ראשית, ככלי הרשאה הוא כפוף לדיני השליחות: רק ייפוי כוח שניתן "להבטחת זכותו של אדם אחר" אינו פוקע בביטול השולח או במותו.</w:t>
      </w:r>
      <w:r>
        <w:rPr>
          <w:rStyle w:val="FootnoteReference"/>
        </w:rPr>
        <w:footnoteReference w:id="30"/>
      </w:r>
      <w:r>
        <w:rPr>
          <w:rFonts w:ascii="David" w:cs="David" w:eastAsia="David" w:hAnsi="David"/>
          <w:noProof/>
          <w:sz w:val="24"/>
          <w:szCs w:val="24"/>
          <w:rtl/>
        </w:rPr>
        <w:t xml:space="preserve"> שנית, יש לבחון אם המסמך משקף עסקה של ממש: בעניין </w:t>
      </w:r>
      <w:r>
        <w:rPr>
          <w:rFonts w:ascii="David" w:cs="David" w:eastAsia="David" w:hAnsi="David"/>
          <w:b/>
          <w:bCs/>
          <w:noProof/>
          <w:sz w:val="24"/>
          <w:szCs w:val="24"/>
          <w:rtl/>
        </w:rPr>
        <w:t xml:space="preserve">צימבלר</w:t>
      </w:r>
      <w:r>
        <w:rPr>
          <w:rFonts w:ascii="David" w:cs="David" w:eastAsia="David" w:hAnsi="David"/>
          <w:noProof/>
          <w:sz w:val="24"/>
          <w:szCs w:val="24"/>
          <w:rtl/>
        </w:rPr>
        <w:t xml:space="preserve"> הוכרה זכות שביושר בעסקה משנת 1963 משהוכח כי שולמה תמורה, נמסרה החזקה והרוכשת נהגה מנהג בעלים עשרות שנים.</w:t>
      </w:r>
      <w:r>
        <w:rPr>
          <w:rStyle w:val="FootnoteReference"/>
        </w:rPr>
        <w:footnoteReference w:id="31"/>
      </w:r>
      <w:r>
        <w:rPr>
          <w:rFonts w:ascii="David" w:cs="David" w:eastAsia="David" w:hAnsi="David"/>
          <w:noProof/>
          <w:sz w:val="24"/>
          <w:szCs w:val="24"/>
          <w:rtl/>
        </w:rPr>
        <w:t xml:space="preserve"> ושלישית, מי שלא נרשם אינו נהנה מתקנת השוק, וזכותו חשופה לעסקה נוגדת שנרשמה בתום לב.</w:t>
      </w:r>
      <w:r>
        <w:rPr>
          <w:rStyle w:val="FootnoteReference"/>
        </w:rPr>
        <w:footnoteReference w:id="32"/>
      </w:r>
    </w:p>
    <w:p>
      <w:pPr>
        <w:pStyle w:val="Heading2"/>
        <w:bidi/>
        <w:spacing w:after="180" w:before="280"/>
      </w:pPr>
      <w:r>
        <w:rPr>
          <w:rFonts w:ascii="David" w:cs="David" w:eastAsia="David" w:hAnsi="David"/>
          <w:b/>
          <w:bCs/>
          <w:noProof/>
          <w:color w:val="000000"/>
          <w:sz w:val="28"/>
          <w:szCs w:val="28"/>
          <w:rtl/>
        </w:rPr>
        <w:t xml:space="preserve">ג.3 עקרון תום הלב ו"זעקת ההגינות": ריכוך הצורה בסכסוך המשפחתי</w:t>
      </w:r>
    </w:p>
    <w:p>
      <w:pPr>
        <w:bidi/>
        <w:spacing w:after="0" w:line="360"/>
        <w:jc w:val="both"/>
      </w:pPr>
      <w:r>
        <w:rPr>
          <w:rFonts w:ascii="David" w:cs="David" w:eastAsia="David" w:hAnsi="David"/>
          <w:noProof/>
          <w:sz w:val="24"/>
          <w:szCs w:val="24"/>
          <w:rtl/>
        </w:rPr>
        <w:t xml:space="preserve">מה דינם של מקרים שבהם אין אפילו ייפוי כוח, אלא הסכמה בעל פה שקוימה בפועל? כאן פועלת הלכת </w:t>
      </w:r>
      <w:r>
        <w:rPr>
          <w:rFonts w:ascii="David" w:cs="David" w:eastAsia="David" w:hAnsi="David"/>
          <w:b/>
          <w:bCs/>
          <w:noProof/>
          <w:sz w:val="24"/>
          <w:szCs w:val="24"/>
          <w:rtl/>
        </w:rPr>
        <w:t xml:space="preserve">קלמר נ׳ גיא</w:t>
      </w:r>
      <w:r>
        <w:rPr>
          <w:rFonts w:ascii="David" w:cs="David" w:eastAsia="David" w:hAnsi="David"/>
          <w:noProof/>
          <w:sz w:val="24"/>
          <w:szCs w:val="24"/>
          <w:rtl/>
        </w:rPr>
        <w:t xml:space="preserve">, שבה נאכף הסכם קומבינציה שנכרת בעל פה וקוים במלואו: לשיטת הנשיא ברק עקרון תום הלב עשוי, במקרים מיוחדים שבהם עולה "זעקת ההגינות", לגבור על דרישת הכתב, ולשיטת השופט זמיר ביצועו המלא של ההסכם ממלא את תכליות הדרישה.</w:t>
      </w:r>
      <w:r>
        <w:rPr>
          <w:rStyle w:val="FootnoteReference"/>
        </w:rPr>
        <w:footnoteReference w:id="33"/>
      </w:r>
      <w:r>
        <w:rPr>
          <w:rFonts w:ascii="David" w:cs="David" w:eastAsia="David" w:hAnsi="David"/>
          <w:noProof/>
          <w:sz w:val="24"/>
          <w:szCs w:val="24"/>
          <w:rtl/>
        </w:rPr>
        <w:t xml:space="preserve"> זהו כלי מרכזי בסכסוכים משפחתיים, שבהם יחסי האמון מסבירים את היעדר המסמכים. ההלכה היא שיאו של מהלך פרשני ארוך: מדרישת רשימת יסודות במסמך, בעקבות </w:t>
      </w:r>
      <w:r>
        <w:rPr>
          <w:rFonts w:ascii="David" w:cs="David" w:eastAsia="David" w:hAnsi="David"/>
          <w:b/>
          <w:bCs/>
          <w:noProof/>
          <w:sz w:val="24"/>
          <w:szCs w:val="24"/>
          <w:rtl/>
        </w:rPr>
        <w:t xml:space="preserve">גרוסמן</w:t>
      </w:r>
      <w:r>
        <w:rPr>
          <w:rFonts w:ascii="David" w:cs="David" w:eastAsia="David" w:hAnsi="David"/>
          <w:noProof/>
          <w:sz w:val="24"/>
          <w:szCs w:val="24"/>
          <w:rtl/>
        </w:rPr>
        <w:t xml:space="preserve"> ו</w:t>
      </w:r>
      <w:r>
        <w:rPr>
          <w:rFonts w:ascii="David" w:cs="David" w:eastAsia="David" w:hAnsi="David"/>
          <w:b/>
          <w:bCs/>
          <w:noProof/>
          <w:sz w:val="24"/>
          <w:szCs w:val="24"/>
          <w:rtl/>
        </w:rPr>
        <w:t xml:space="preserve">קפולסקי</w:t>
      </w:r>
      <w:r>
        <w:rPr>
          <w:rFonts w:ascii="David" w:cs="David" w:eastAsia="David" w:hAnsi="David"/>
          <w:noProof/>
          <w:sz w:val="24"/>
          <w:szCs w:val="24"/>
          <w:rtl/>
        </w:rPr>
        <w:t xml:space="preserve">, ועד שדי כיום במסמך דל פרטים המעיד על גמירות דעת. פרידמן וכהן תולים את המפנה במציאות המוכרת מפרק ב: "היעדר רישום הוא תופעה נפוצה", וחלק גדול מן העסקאות נעשה בין מי שאינם מוכר או קונה מקצועיים.</w:t>
      </w:r>
      <w:r>
        <w:rPr>
          <w:rStyle w:val="FootnoteReference"/>
        </w:rPr>
        <w:footnoteReference w:id="34"/>
      </w:r>
      <w:r>
        <w:rPr>
          <w:rFonts w:ascii="David" w:cs="David" w:eastAsia="David" w:hAnsi="David"/>
          <w:noProof/>
          <w:sz w:val="24"/>
          <w:szCs w:val="24"/>
          <w:rtl/>
        </w:rPr>
        <w:t xml:space="preserve"> יישום מובהק בסכסוך פנים משפחתי מן החברה הערבית נעשה בעניין </w:t>
      </w:r>
      <w:r>
        <w:rPr>
          <w:rFonts w:ascii="David" w:cs="David" w:eastAsia="David" w:hAnsi="David"/>
          <w:b/>
          <w:bCs/>
          <w:noProof/>
          <w:sz w:val="24"/>
          <w:szCs w:val="24"/>
          <w:rtl/>
        </w:rPr>
        <w:t xml:space="preserve">חג׳אזי</w:t>
      </w:r>
      <w:r>
        <w:rPr>
          <w:rFonts w:ascii="David" w:cs="David" w:eastAsia="David" w:hAnsi="David"/>
          <w:noProof/>
          <w:sz w:val="24"/>
          <w:szCs w:val="24"/>
          <w:rtl/>
        </w:rPr>
        <w:t xml:space="preserve">, שבו נפסק כי ניצול טעות רישום בחילופי חלקות בין בני דודים, בשילוב ביצועה המלא של החלוקה, ממלא את מבחני זעקת ההגינות.</w:t>
      </w:r>
      <w:r>
        <w:rPr>
          <w:rStyle w:val="FootnoteReference"/>
        </w:rPr>
        <w:footnoteReference w:id="35"/>
      </w:r>
    </w:p>
    <w:p>
      <w:pPr>
        <w:bidi/>
        <w:spacing w:after="0" w:line="360"/>
        <w:ind w:firstLine="420"/>
        <w:jc w:val="both"/>
      </w:pPr>
      <w:r>
        <w:rPr>
          <w:rFonts w:ascii="David" w:cs="David" w:eastAsia="David" w:hAnsi="David"/>
          <w:noProof/>
          <w:sz w:val="24"/>
          <w:szCs w:val="24"/>
          <w:rtl/>
        </w:rPr>
        <w:t xml:space="preserve">חשיבות מעשית ראשונה במעלה נודעת למשטר הבין זמני: על עסקאות שנכרתו לפני תחילת חוק המקרקעין (1.1.1970) חלות דרישות הצורה של הדין הקודם, ובראשן סעיף 80 לחוק הפרוצדורה האזרחית העות׳מאני, שפורש כדרישה ראייתית ולא מהותית, כך שניתן להוכיח את העסקה בעדות בעל פה מקום שהצד שכנגד לא התנגד.</w:t>
      </w:r>
      <w:r>
        <w:rPr>
          <w:rStyle w:val="FootnoteReference"/>
        </w:rPr>
        <w:footnoteReference w:id="36"/>
      </w:r>
      <w:r>
        <w:rPr>
          <w:rFonts w:ascii="David" w:cs="David" w:eastAsia="David" w:hAnsi="David"/>
          <w:noProof/>
          <w:sz w:val="24"/>
          <w:szCs w:val="24"/>
          <w:rtl/>
        </w:rPr>
        <w:t xml:space="preserve"> יישום מובהק בעניין </w:t>
      </w:r>
      <w:r>
        <w:rPr>
          <w:rFonts w:ascii="David" w:cs="David" w:eastAsia="David" w:hAnsi="David"/>
          <w:b/>
          <w:bCs/>
          <w:noProof/>
          <w:sz w:val="24"/>
          <w:szCs w:val="24"/>
          <w:rtl/>
        </w:rPr>
        <w:t xml:space="preserve">עיזבון אבו ג׳נימה</w:t>
      </w:r>
      <w:r>
        <w:rPr>
          <w:rFonts w:ascii="David" w:cs="David" w:eastAsia="David" w:hAnsi="David"/>
          <w:noProof/>
          <w:sz w:val="24"/>
          <w:szCs w:val="24"/>
          <w:rtl/>
        </w:rPr>
        <w:t xml:space="preserve">: עסקת מכר משנת 1968, שהסכמהּ אבד ומעולם לא נרשמה, הוכחה על יסוד עדותו של מי שהיה ילד במעמד העסקה, הודאות שישה עשר נתבעים והחזקה בת עשרות שנים ללא מחאה; ונקבע כי אף אילו חלה דרישת הכתב המהותית, זעקת ההגינות הייתה מרפאת את החסר.</w:t>
      </w:r>
      <w:r>
        <w:rPr>
          <w:rStyle w:val="FootnoteReference"/>
        </w:rPr>
        <w:footnoteReference w:id="37"/>
      </w:r>
    </w:p>
    <w:p>
      <w:pPr>
        <w:pStyle w:val="Heading2"/>
        <w:bidi/>
        <w:spacing w:after="180" w:before="280"/>
      </w:pPr>
      <w:r>
        <w:rPr>
          <w:rFonts w:ascii="David" w:cs="David" w:eastAsia="David" w:hAnsi="David"/>
          <w:b/>
          <w:bCs/>
          <w:noProof/>
          <w:color w:val="000000"/>
          <w:sz w:val="28"/>
          <w:szCs w:val="28"/>
          <w:rtl/>
        </w:rPr>
        <w:t xml:space="preserve">ג.4 התחייבות לתת מתנה, ייפוי כוח בלתי חוזר וזכות החזרה</w:t>
      </w:r>
    </w:p>
    <w:p>
      <w:pPr>
        <w:bidi/>
        <w:spacing w:after="0" w:line="360"/>
        <w:jc w:val="both"/>
      </w:pPr>
      <w:r>
        <w:rPr>
          <w:rFonts w:ascii="David" w:cs="David" w:eastAsia="David" w:hAnsi="David"/>
          <w:noProof/>
          <w:sz w:val="24"/>
          <w:szCs w:val="24"/>
          <w:rtl/>
        </w:rPr>
        <w:t xml:space="preserve">חלק ניכר מן ההעברות אינן מכר אלא מתנה, וחוק המתנה מבחין בין מתנה שהוקנתה לאלתר לבין התחייבות לתת מתנה, הטעונה מסמך בכתב. במקרקעין ההבחנה חדה במיוחד: הקניה "לאלתר" אינה אפשרית בלא רישום, ומכאן שכל מתנת מקרקעין שלא נרשמה היא, מעצם הדין, התחייבות לתת מתנה, על משטר החזרה הנלווה לה.</w:t>
      </w:r>
      <w:r>
        <w:rPr>
          <w:rStyle w:val="FootnoteReference"/>
        </w:rPr>
        <w:footnoteReference w:id="38"/>
      </w:r>
      <w:r>
        <w:rPr>
          <w:rFonts w:ascii="David" w:cs="David" w:eastAsia="David" w:hAnsi="David"/>
          <w:noProof/>
          <w:sz w:val="24"/>
          <w:szCs w:val="24"/>
          <w:rtl/>
        </w:rPr>
        <w:t xml:space="preserve"> כאן נודעת לייפוי הכוח נפקות כפולה: הוא עשוי לגלם את ההתחייבות עצמה, ולשמש, לפי לשונו ונסיבותיו, ויתור בכתב על זכות החזרה שלפי סעיף 5(ב).</w:t>
      </w:r>
      <w:r>
        <w:rPr>
          <w:rStyle w:val="FootnoteReference"/>
        </w:rPr>
        <w:footnoteReference w:id="39"/>
      </w:r>
      <w:r>
        <w:rPr>
          <w:rFonts w:ascii="David" w:cs="David" w:eastAsia="David" w:hAnsi="David"/>
          <w:noProof/>
          <w:sz w:val="24"/>
          <w:szCs w:val="24"/>
          <w:rtl/>
        </w:rPr>
        <w:t xml:space="preserve"> צירופם מקנה למקבל מעמד איתן: נפסק כי ייפוי כוח מוקדם לטובת שלושה אחים גובר על עסקת מתנה מאוחרת שנרשמה לטובת אחד מהם,</w:t>
      </w:r>
      <w:r>
        <w:rPr>
          <w:rStyle w:val="FootnoteReference"/>
        </w:rPr>
        <w:footnoteReference w:id="40"/>
      </w:r>
      <w:r>
        <w:rPr>
          <w:rFonts w:ascii="David" w:cs="David" w:eastAsia="David" w:hAnsi="David"/>
          <w:noProof/>
          <w:sz w:val="24"/>
          <w:szCs w:val="24"/>
          <w:rtl/>
        </w:rPr>
        <w:t xml:space="preserve"> היפוך מרשים של נקודת המוצא הרישומית. ומנגד ניצב הגבול הבין זמני לחומרה: בעניין </w:t>
      </w:r>
      <w:r>
        <w:rPr>
          <w:rFonts w:ascii="David" w:cs="David" w:eastAsia="David" w:hAnsi="David"/>
          <w:b/>
          <w:bCs/>
          <w:noProof/>
          <w:sz w:val="24"/>
          <w:szCs w:val="24"/>
          <w:rtl/>
        </w:rPr>
        <w:t xml:space="preserve">כבהה</w:t>
      </w:r>
      <w:r>
        <w:rPr>
          <w:rFonts w:ascii="David" w:cs="David" w:eastAsia="David" w:hAnsi="David"/>
          <w:noProof/>
          <w:sz w:val="24"/>
          <w:szCs w:val="24"/>
          <w:rtl/>
        </w:rPr>
        <w:t xml:space="preserve"> נדונה מתנת אב לבניו משנת 1952, שחלה עליה פקודת העברת הקרקעות, 1920, המתנה את תוקף ההעברה ברישום. נפסק כי בהיעדר רישום המתנה "בטלה ומבוטלת", ומסירת החזקה, בניית בתים ושתיקת האחיות עשורים אינן מרפאות את הבטלות; אף דיני היושר לא היו מושיעים, שכן הגנו על רוכש בתמורה ולא על מתנדב.</w:t>
      </w:r>
      <w:r>
        <w:rPr>
          <w:rStyle w:val="FootnoteReference"/>
        </w:rPr>
        <w:footnoteReference w:id="41"/>
      </w:r>
    </w:p>
    <w:p>
      <w:pPr>
        <w:pStyle w:val="Heading2"/>
        <w:bidi/>
        <w:spacing w:after="180" w:before="280"/>
      </w:pPr>
      <w:r>
        <w:rPr>
          <w:rFonts w:ascii="David" w:cs="David" w:eastAsia="David" w:hAnsi="David"/>
          <w:b/>
          <w:bCs/>
          <w:noProof/>
          <w:color w:val="000000"/>
          <w:sz w:val="28"/>
          <w:szCs w:val="28"/>
          <w:rtl/>
        </w:rPr>
        <w:t xml:space="preserve">ג.5 רישיון במקרקעין: ההגנה על מי שאין בידו דבר</w:t>
      </w:r>
    </w:p>
    <w:p>
      <w:pPr>
        <w:bidi/>
        <w:spacing w:after="0" w:line="360"/>
        <w:jc w:val="both"/>
      </w:pPr>
      <w:r>
        <w:rPr>
          <w:rFonts w:ascii="David" w:cs="David" w:eastAsia="David" w:hAnsi="David"/>
          <w:noProof/>
          <w:sz w:val="24"/>
          <w:szCs w:val="24"/>
          <w:rtl/>
        </w:rPr>
        <w:t xml:space="preserve">בתחתית המדרג ניצב הרישיון, יציר הפסיקה שנועד למי שאינו יכול להצביע אף על התחייבות, והוא מבחין בין רשות חינם הדירה לבין רישיון בלתי הדיר שניתן בתמורה או שנוצרה לגביו הסתמכות שהשקעה בצדה.</w:t>
      </w:r>
      <w:r>
        <w:rPr>
          <w:rStyle w:val="FootnoteReference"/>
        </w:rPr>
        <w:footnoteReference w:id="42"/>
      </w:r>
      <w:r>
        <w:rPr>
          <w:rFonts w:ascii="David" w:cs="David" w:eastAsia="David" w:hAnsi="David"/>
          <w:noProof/>
          <w:sz w:val="24"/>
          <w:szCs w:val="24"/>
          <w:rtl/>
        </w:rPr>
        <w:t xml:space="preserve"> הרשות אינה טעונה הסכם מפורש: רישיון מכללא נלמד משתיקת הבעלים, ושני יסודותיו, שהייה ממושכת וידיעת הבעלים בלא שעשו דבר, הם תיאור מדויק של "שלב ההרמוניה" שתואר בפרק ב. מי שהורשה לבנות את ביתו על מקרקעי הזולת עשוי להיות בעל רישיון בלתי הדיר.</w:t>
      </w:r>
      <w:r>
        <w:rPr>
          <w:rStyle w:val="FootnoteReference"/>
        </w:rPr>
        <w:footnoteReference w:id="43"/>
      </w:r>
    </w:p>
    <w:p>
      <w:pPr>
        <w:bidi/>
        <w:spacing w:after="0" w:line="360"/>
        <w:ind w:firstLine="420"/>
        <w:jc w:val="both"/>
      </w:pPr>
      <w:r>
        <w:rPr>
          <w:rFonts w:ascii="David" w:cs="David" w:eastAsia="David" w:hAnsi="David"/>
          <w:noProof/>
          <w:sz w:val="24"/>
          <w:szCs w:val="24"/>
          <w:rtl/>
        </w:rPr>
        <w:t xml:space="preserve">ואולם הרישיון הוא זכות אישית שאינה עוברת בירושה, ורשות חינם פוקעת ככלל עם מות בעל הרישיון. בסכסוך הבין דורי מגן אפוא הרישיון על הדור שקיבל את ההרשאה, אך אינו תשתית לתביעת בעלות של הדור השלישי, וכך נדחתה בעניין </w:t>
      </w:r>
      <w:r>
        <w:rPr>
          <w:rFonts w:ascii="David" w:cs="David" w:eastAsia="David" w:hAnsi="David"/>
          <w:b/>
          <w:bCs/>
          <w:noProof/>
          <w:sz w:val="24"/>
          <w:szCs w:val="24"/>
          <w:rtl/>
        </w:rPr>
        <w:t xml:space="preserve">יהודאי</w:t>
      </w:r>
      <w:r>
        <w:rPr>
          <w:rFonts w:ascii="David" w:cs="David" w:eastAsia="David" w:hAnsi="David"/>
          <w:noProof/>
          <w:sz w:val="24"/>
          <w:szCs w:val="24"/>
          <w:rtl/>
        </w:rPr>
        <w:t xml:space="preserve"> טענת משפחה ששילמה כשליש משווי הדירה וישבה בה עשרות שנים.</w:t>
      </w:r>
      <w:r>
        <w:rPr>
          <w:rStyle w:val="FootnoteReference"/>
        </w:rPr>
        <w:footnoteReference w:id="44"/>
      </w:r>
      <w:r>
        <w:rPr>
          <w:rFonts w:ascii="David" w:cs="David" w:eastAsia="David" w:hAnsi="David"/>
          <w:noProof/>
          <w:sz w:val="24"/>
          <w:szCs w:val="24"/>
          <w:rtl/>
        </w:rPr>
        <w:t xml:space="preserve"> עם זאת, במקרים החריגים שבהם מוכרת אי הדירות חורג הרישיון ממעמדו האישי: בעניין </w:t>
      </w:r>
      <w:r>
        <w:rPr>
          <w:rFonts w:ascii="David" w:cs="David" w:eastAsia="David" w:hAnsi="David"/>
          <w:b/>
          <w:bCs/>
          <w:noProof/>
          <w:sz w:val="24"/>
          <w:szCs w:val="24"/>
          <w:rtl/>
        </w:rPr>
        <w:t xml:space="preserve">אלוני נ׳ ארד</w:t>
      </w:r>
      <w:r>
        <w:rPr>
          <w:rFonts w:ascii="David" w:cs="David" w:eastAsia="David" w:hAnsi="David"/>
          <w:noProof/>
          <w:sz w:val="24"/>
          <w:szCs w:val="24"/>
          <w:rtl/>
        </w:rPr>
        <w:t xml:space="preserve"> נפסק כי זכות בר רשות בלתי הדירה גוברת על מעקל מכוחו של השתק קנייני, וחלה כלפי צד שלישי שאליו עברו הזכויות, למעט רוכש בתמורה ובתום לב.</w:t>
      </w:r>
      <w:r>
        <w:rPr>
          <w:rStyle w:val="FootnoteReference"/>
        </w:rPr>
        <w:footnoteReference w:id="45"/>
      </w:r>
    </w:p>
    <w:p>
      <w:pPr>
        <w:pStyle w:val="Heading2"/>
        <w:bidi/>
        <w:spacing w:after="180" w:before="280"/>
      </w:pPr>
      <w:r>
        <w:rPr>
          <w:rFonts w:ascii="David" w:cs="David" w:eastAsia="David" w:hAnsi="David"/>
          <w:b/>
          <w:bCs/>
          <w:noProof/>
          <w:color w:val="000000"/>
          <w:sz w:val="28"/>
          <w:szCs w:val="28"/>
          <w:rtl/>
        </w:rPr>
        <w:t xml:space="preserve">ג.6 התיישנות, חזקה רבת שנים וטענת הבעלות הנוגדת</w:t>
      </w:r>
    </w:p>
    <w:p>
      <w:pPr>
        <w:bidi/>
        <w:spacing w:after="0" w:line="360"/>
        <w:jc w:val="both"/>
      </w:pPr>
      <w:r>
        <w:rPr>
          <w:rFonts w:ascii="David" w:cs="David" w:eastAsia="David" w:hAnsi="David"/>
          <w:noProof/>
          <w:sz w:val="24"/>
          <w:szCs w:val="24"/>
          <w:rtl/>
        </w:rPr>
        <w:t xml:space="preserve">כלי אחרון, ותיק ובעייתי, הוא טענת ההתיישנות מכוח חזקה נוגדת: במקרקעין לא מוסדרים עשויה חזקה בת חמש עשרה שנים להקים מחסום מפני תביעת הבעלים, ובמקרקעין מוסדרים נשללה ההתיישנות כליל.</w:t>
      </w:r>
      <w:r>
        <w:rPr>
          <w:rStyle w:val="FootnoteReference"/>
        </w:rPr>
        <w:footnoteReference w:id="46"/>
      </w:r>
      <w:r>
        <w:rPr>
          <w:rFonts w:ascii="David" w:cs="David" w:eastAsia="David" w:hAnsi="David"/>
          <w:noProof/>
          <w:sz w:val="24"/>
          <w:szCs w:val="24"/>
          <w:rtl/>
        </w:rPr>
        <w:t xml:space="preserve"> נדרשת חזקה גלויה ורצופה, בלא הסכמת הבעלים, המשדרת כלפי חוץ כפירה בזכותם; ובסכסוך המשפחתי נופלת הטענה בשני היסודות האחרונים, שכן עצם פתיחתה של ההחזקה בהסכמת האב או האחים מסווגת אותה כ"חזקה מרשות". זאת ועוד, ההתיישנות הישראלית דיונית: היא חוסמת תביעה אך אינה מקנה זכות ואינה מטהרת את שרשרת הזכויות. התוצאה: ההגנה על הבעלים הרשום כמעט מוחלטת, ומלוא כובד המשקל מוסט אל הוכחת העסקה ההיסטורית, וכאן נפרדות דרכיהם של הדין הישראלי והמצרי, כפי שיפורט בפרק ו.2.3.</w:t>
      </w:r>
    </w:p>
    <w:p>
      <w:pPr>
        <w:pStyle w:val="Heading2"/>
        <w:bidi/>
        <w:spacing w:after="180" w:before="280"/>
      </w:pPr>
      <w:r>
        <w:rPr>
          <w:rFonts w:ascii="David" w:cs="David" w:eastAsia="David" w:hAnsi="David"/>
          <w:b/>
          <w:bCs/>
          <w:noProof/>
          <w:color w:val="000000"/>
          <w:sz w:val="28"/>
          <w:szCs w:val="28"/>
          <w:rtl/>
        </w:rPr>
        <w:t xml:space="preserve">ג.7 הפסיקה הלכה למעשה: בין הכרה בעסקה מוכחת לדחיית טענת המנהג</w:t>
      </w:r>
    </w:p>
    <w:p>
      <w:pPr>
        <w:bidi/>
        <w:spacing w:after="0" w:line="360"/>
        <w:jc w:val="both"/>
      </w:pPr>
      <w:r>
        <w:rPr>
          <w:rFonts w:ascii="David" w:cs="David" w:eastAsia="David" w:hAnsi="David"/>
          <w:noProof/>
          <w:sz w:val="24"/>
          <w:szCs w:val="24"/>
          <w:rtl/>
        </w:rPr>
        <w:t xml:space="preserve">בפסיקה העדכנית מסתמנים שני קטבים. בקוטב האחד, נכונות להכיר בזכויות מקום שהעסקה הוכחה, כבעניין </w:t>
      </w:r>
      <w:r>
        <w:rPr>
          <w:rFonts w:ascii="David" w:cs="David" w:eastAsia="David" w:hAnsi="David"/>
          <w:b/>
          <w:bCs/>
          <w:noProof/>
          <w:sz w:val="24"/>
          <w:szCs w:val="24"/>
          <w:rtl/>
        </w:rPr>
        <w:t xml:space="preserve">אבו ג׳נימה</w:t>
      </w:r>
      <w:r>
        <w:rPr>
          <w:rFonts w:ascii="David" w:cs="David" w:eastAsia="David" w:hAnsi="David"/>
          <w:noProof/>
          <w:sz w:val="24"/>
          <w:szCs w:val="24"/>
          <w:rtl/>
        </w:rPr>
        <w:t xml:space="preserve"> וכבעניין </w:t>
      </w:r>
      <w:r>
        <w:rPr>
          <w:rFonts w:ascii="David" w:cs="David" w:eastAsia="David" w:hAnsi="David"/>
          <w:b/>
          <w:bCs/>
          <w:noProof/>
          <w:sz w:val="24"/>
          <w:szCs w:val="24"/>
          <w:rtl/>
        </w:rPr>
        <w:t xml:space="preserve">משעל</w:t>
      </w:r>
      <w:r>
        <w:rPr>
          <w:rFonts w:ascii="David" w:cs="David" w:eastAsia="David" w:hAnsi="David"/>
          <w:noProof/>
          <w:sz w:val="24"/>
          <w:szCs w:val="24"/>
          <w:rtl/>
        </w:rPr>
        <w:t xml:space="preserve">, שבו התקבלה תביעה הצהרתית של בני משפחה תוך הדגשה כי בהיעדר רישום יש לבחון את החלוקה ההסכמית ואת הראיות שבין הצדדים, בלא להטיל על הטוען נטל שאין הדין מטיל עליו.</w:t>
      </w:r>
      <w:r>
        <w:rPr>
          <w:rStyle w:val="FootnoteReference"/>
        </w:rPr>
        <w:footnoteReference w:id="47"/>
      </w:r>
      <w:r>
        <w:rPr>
          <w:rFonts w:ascii="David" w:cs="David" w:eastAsia="David" w:hAnsi="David"/>
          <w:noProof/>
          <w:sz w:val="24"/>
          <w:szCs w:val="24"/>
          <w:rtl/>
        </w:rPr>
        <w:t xml:space="preserve"> את מהות האתגר ניסח בית המשפט באותה פרשה:</w:t>
      </w:r>
    </w:p>
    <w:p>
      <w:pPr>
        <w:bidi/>
        <w:spacing w:after="160" w:before="120" w:line="300"/>
        <w:ind w:start="720" w:end="720"/>
        <w:jc w:val="both"/>
      </w:pPr>
      <w:r>
        <w:rPr>
          <w:rFonts w:ascii="David" w:cs="David" w:eastAsia="David" w:hAnsi="David"/>
          <w:noProof/>
          <w:sz w:val="22"/>
          <w:szCs w:val="22"/>
          <w:rtl/>
        </w:rPr>
        <w:t xml:space="preserve">"מדובר בהליך שאיננו שגרתי... ייחודו בכך שהוא נוגע לתביעת זכויות במקרקעין בלתי רשומים, שמטבע הדברים לא ניתן להכריע בה באמצעות הכלים ובהתאם לכללים הרגילים החלים ביחס למקרקעין רשומים".</w:t>
      </w:r>
      <w:r>
        <w:rPr>
          <w:rStyle w:val="FootnoteReference"/>
        </w:rPr>
        <w:footnoteReference w:id="48"/>
      </w:r>
    </w:p>
    <w:p>
      <w:pPr>
        <w:bidi/>
        <w:spacing w:after="0" w:line="360"/>
        <w:ind w:firstLine="420"/>
        <w:jc w:val="both"/>
      </w:pPr>
      <w:r>
        <w:rPr>
          <w:rFonts w:ascii="David" w:cs="David" w:eastAsia="David" w:hAnsi="David"/>
          <w:noProof/>
          <w:sz w:val="24"/>
          <w:szCs w:val="24"/>
          <w:rtl/>
        </w:rPr>
        <w:t xml:space="preserve">בקוטב הנגדי, סירוב עקבי להפוך מנהג והחזקה כשלעצמם לבעלות: בית המשפט לענייני משפחה בנצרת דחה טענה להקניית בעלות מכוח "מנהג במגזר הערבי", בקבעו כי הסכמות בעל פה ומנהג אינם גוברים על הדין הישראלי.</w:t>
      </w:r>
      <w:r>
        <w:rPr>
          <w:rStyle w:val="FootnoteReference"/>
        </w:rPr>
        <w:footnoteReference w:id="49"/>
      </w:r>
      <w:r>
        <w:rPr>
          <w:rFonts w:ascii="David" w:cs="David" w:eastAsia="David" w:hAnsi="David"/>
          <w:noProof/>
          <w:sz w:val="24"/>
          <w:szCs w:val="24"/>
          <w:rtl/>
        </w:rPr>
        <w:t xml:space="preserve"> שני הקטבים משלימים: קו הגבול עובר לא בין "רשום" ל"בלתי רשום", אלא בין טענה עובדתית מוגדרת בדבר עסקה שנכרתה לבין טענה נורמטיבית עמומה שלפיה "כך נהוג אצלנו". ובצדם משורטטים גבולות נוספים: תביעה קניינית לא תוכרע בהיעדר בעל הזכות הרשום, ואילו במקרקעין מוסדרים נכונים בתי המשפט לבחון טענת נאמנות או הסכמה פנימית אף בהיעדר מסמך.</w:t>
      </w:r>
      <w:r>
        <w:rPr>
          <w:rStyle w:val="FootnoteReference"/>
        </w:rPr>
        <w:footnoteReference w:id="50"/>
      </w:r>
      <w:r>
        <w:rPr>
          <w:rFonts w:ascii="David" w:cs="David" w:eastAsia="David" w:hAnsi="David"/>
          <w:noProof/>
          <w:sz w:val="24"/>
          <w:szCs w:val="24"/>
          <w:rtl/>
        </w:rPr>
        <w:t xml:space="preserve"> וההבחנה בין זכות קניינית לחוזית נושאת נפקות משלה: בעניין </w:t>
      </w:r>
      <w:r>
        <w:rPr>
          <w:rFonts w:ascii="David" w:cs="David" w:eastAsia="David" w:hAnsi="David"/>
          <w:b/>
          <w:bCs/>
          <w:noProof/>
          <w:sz w:val="24"/>
          <w:szCs w:val="24"/>
          <w:rtl/>
        </w:rPr>
        <w:t xml:space="preserve">חשש נ׳ דמארי</w:t>
      </w:r>
      <w:r>
        <w:rPr>
          <w:rFonts w:ascii="David" w:cs="David" w:eastAsia="David" w:hAnsi="David"/>
          <w:noProof/>
          <w:sz w:val="24"/>
          <w:szCs w:val="24"/>
          <w:rtl/>
        </w:rPr>
        <w:t xml:space="preserve"> נקבע כי מקום שהמקנה עצמו מחזיק רק כבר רשות ובזכות אובליגטורית לדרוש חכירה ממינהל מקרקעי ישראל, הסכם לשיתוף בזכויות אלה, אף בעל פה, איננו "עסקה במקרקעין" הטעונה מסמך בכתב.</w:t>
      </w:r>
      <w:r>
        <w:rPr>
          <w:rStyle w:val="FootnoteReference"/>
        </w:rPr>
        <w:footnoteReference w:id="51"/>
      </w:r>
      <w:r>
        <w:rPr>
          <w:rFonts w:ascii="David" w:cs="David" w:eastAsia="David" w:hAnsi="David"/>
          <w:noProof/>
          <w:sz w:val="24"/>
          <w:szCs w:val="24"/>
          <w:rtl/>
        </w:rPr>
        <w:t xml:space="preserve"> העולה מן המכלול: הפסיקה אינה מכשירה "בעלות מכוח מנהג", אך מכשירה עסקה מוכחת, ותהא בלתי רשומה ובלתי מדווחת, ובכך מציבה את מרכז הכובד בזירה הראייתית, שלה יוקדש פרק ד.</w:t>
      </w:r>
    </w:p>
    <w:p>
      <w:pPr>
        <w:pStyle w:val="Heading2"/>
        <w:bidi/>
        <w:spacing w:after="180" w:before="280"/>
      </w:pPr>
      <w:r>
        <w:rPr>
          <w:rFonts w:ascii="David" w:cs="David" w:eastAsia="David" w:hAnsi="David"/>
          <w:b/>
          <w:bCs/>
          <w:noProof/>
          <w:color w:val="000000"/>
          <w:sz w:val="28"/>
          <w:szCs w:val="28"/>
          <w:rtl/>
        </w:rPr>
        <w:t xml:space="preserve">ג.8 ביקורת: פתרון יציב או "פלסטר משפטי"?</w:t>
      </w:r>
    </w:p>
    <w:p>
      <w:pPr>
        <w:bidi/>
        <w:spacing w:after="0" w:line="360"/>
        <w:jc w:val="both"/>
      </w:pPr>
      <w:r>
        <w:rPr>
          <w:rFonts w:ascii="David" w:cs="David" w:eastAsia="David" w:hAnsi="David"/>
          <w:noProof/>
          <w:sz w:val="24"/>
          <w:szCs w:val="24"/>
          <w:rtl/>
        </w:rPr>
        <w:t xml:space="preserve">העיון בארגז הכלים מלמד עד כמה מרשימה יצירתיות הפסיקה, ועד כמה שברירית התוצאה: "זעקת ההגינות" מותנית ב"מקרים מיוחדים" חסרי הגדרה; אי הדירותו של רישיון תלויה בשקילה בדיעבד של השקעה וציפייה; סיווגו של ייפוי כוח כמסמך עסקה תלוי בניסוחו של נוטריון משנות השבעים; והזכות שביושר נסוגה מפני נרשם תם לב. התוצאה היא משטר שבו גורל הזכויות אינו נגזר מכללים הניתנים לידיעה מראש אלא מהערכה שיפוטית בדיעבד, הרגישה לזהות השופט ולרושם העדים.</w:t>
      </w:r>
      <w:r>
        <w:rPr>
          <w:rStyle w:val="FootnoteReference"/>
        </w:rPr>
        <w:footnoteReference w:id="52"/>
      </w:r>
      <w:r>
        <w:rPr>
          <w:rFonts w:ascii="David" w:cs="David" w:eastAsia="David" w:hAnsi="David"/>
          <w:noProof/>
          <w:sz w:val="24"/>
          <w:szCs w:val="24"/>
          <w:rtl/>
        </w:rPr>
        <w:t xml:space="preserve"> לכך שלוש השלכות: אי הוודאות מזינה התדיינות יקרה, שבה מי שידו משגת נמצא בעמדת פתיחה טובה יותר בלא קשר לצדקת טענתו; ההישענות על ממצאי מהימנות מצמצמת את מרחב ההתערבות הערעורית; והחשוב מכול, הכלים כולם פועלים במישור הבין אישי ואינם מייצרים רישום, שכן גם התובע שזכה מקבל פסק דין הצהרתי בלבד, ובינו לבין הטאבו ניצבות חבויות המס שיידונו בפרק ה. זהו אפוא "פלסטר משפטי": חיוני לעצירת הדימום במקרה הקונקרטי, חסר אונים מול המחלה.</w:t>
      </w:r>
    </w:p>
    <w:p>
      <w:pPr>
        <w:pStyle w:val="Heading1"/>
        <w:bidi/>
        <w:spacing w:after="240" w:before="360"/>
      </w:pPr>
      <w:r>
        <w:rPr>
          <w:rFonts w:ascii="David" w:cs="David" w:eastAsia="David" w:hAnsi="David"/>
          <w:b/>
          <w:bCs/>
          <w:noProof/>
          <w:color w:val="000000"/>
          <w:sz w:val="32"/>
          <w:szCs w:val="32"/>
          <w:rtl/>
        </w:rPr>
        <w:t xml:space="preserve">פרק ד: משקלם הראייתי של היתרי בנייה, ארנונה ומסמכים היסטוריים ישנים</w:t>
      </w:r>
    </w:p>
    <w:p>
      <w:pPr>
        <w:pStyle w:val="Heading2"/>
        <w:bidi/>
        <w:spacing w:after="180" w:before="280"/>
      </w:pPr>
      <w:r>
        <w:rPr>
          <w:rFonts w:ascii="David" w:cs="David" w:eastAsia="David" w:hAnsi="David"/>
          <w:b/>
          <w:bCs/>
          <w:noProof/>
          <w:color w:val="000000"/>
          <w:sz w:val="28"/>
          <w:szCs w:val="28"/>
          <w:rtl/>
        </w:rPr>
        <w:t xml:space="preserve">ד.1 מדוע היתר בנייה אינו שטר בעלות</w:t>
      </w:r>
    </w:p>
    <w:p>
      <w:pPr>
        <w:bidi/>
        <w:spacing w:after="0" w:line="360"/>
        <w:jc w:val="both"/>
      </w:pPr>
      <w:r>
        <w:rPr>
          <w:rFonts w:ascii="David" w:cs="David" w:eastAsia="David" w:hAnsi="David"/>
          <w:noProof/>
          <w:sz w:val="24"/>
          <w:szCs w:val="24"/>
          <w:rtl/>
        </w:rPr>
        <w:t xml:space="preserve">בסכסוכים פנים משפחתיים נשמעת תדיר הטענה: "אני הוצאתי את היתר הבנייה, סימן שהקרקע שלי". הטענה מוקשית מיסודה: מוסדות התכנון אינם ערכאה קניינית, והוועדה המקומית בוחנת התאמה תכנונית בלבד.</w:t>
      </w:r>
      <w:r>
        <w:rPr>
          <w:rStyle w:val="FootnoteReference"/>
        </w:rPr>
        <w:footnoteReference w:id="53"/>
      </w:r>
      <w:r>
        <w:rPr>
          <w:rFonts w:ascii="David" w:cs="David" w:eastAsia="David" w:hAnsi="David"/>
          <w:noProof/>
          <w:sz w:val="24"/>
          <w:szCs w:val="24"/>
          <w:rtl/>
        </w:rPr>
        <w:t xml:space="preserve"> ההיתר משקף אפוא לכל היותר שמבקשו הציג לרשות תשתית לכאורית של זיקה לנכס; ומנגד, ביישובים הערביים נבנו בתים רבים בלא היתר כלל, כך שהיעדרו אינו מלמד על היעדר זכות כשם שקיומו אינו מלמד על קיומה.</w:t>
      </w:r>
      <w:r>
        <w:rPr>
          <w:rStyle w:val="FootnoteReference"/>
        </w:rPr>
        <w:footnoteReference w:id="54"/>
      </w:r>
    </w:p>
    <w:p>
      <w:pPr>
        <w:bidi/>
        <w:spacing w:after="0" w:line="360"/>
        <w:ind w:firstLine="420"/>
        <w:jc w:val="both"/>
      </w:pPr>
      <w:r>
        <w:rPr>
          <w:rFonts w:ascii="David" w:cs="David" w:eastAsia="David" w:hAnsi="David"/>
          <w:noProof/>
          <w:sz w:val="24"/>
          <w:szCs w:val="24"/>
          <w:rtl/>
        </w:rPr>
        <w:t xml:space="preserve">דווקא בכך טמון ערכו הראייתי העקיף: אם בשנת 1985 בנה האח את ביתו, הגיש בקשה להיתר ופרסם אותה כדין, ואיש מן האחים לא מחה, תומכת שתיקת המשפחה בזמן אמת בגרסה כי החלוקה הוסכמה. ההיתר אינו מקור הזכות אלא תיעוד בן הזמן של הסכמה שאבדה מאז, ולכן נשקלים היתרים ואישורי רשויות כחלק ממכלול, ולא כראיה עצמאית מכרעת.</w:t>
      </w:r>
      <w:r>
        <w:rPr>
          <w:rStyle w:val="FootnoteReference"/>
        </w:rPr>
        <w:footnoteReference w:id="55"/>
      </w:r>
      <w:r>
        <w:rPr>
          <w:rFonts w:ascii="David" w:cs="David" w:eastAsia="David" w:hAnsi="David"/>
          <w:noProof/>
          <w:sz w:val="24"/>
          <w:szCs w:val="24"/>
          <w:rtl/>
        </w:rPr>
        <w:t xml:space="preserve"> למטבע צד שני: בעניין </w:t>
      </w:r>
      <w:r>
        <w:rPr>
          <w:rFonts w:ascii="David" w:cs="David" w:eastAsia="David" w:hAnsi="David"/>
          <w:b/>
          <w:bCs/>
          <w:noProof/>
          <w:sz w:val="24"/>
          <w:szCs w:val="24"/>
          <w:rtl/>
        </w:rPr>
        <w:t xml:space="preserve">אבו ג׳נימה</w:t>
      </w:r>
      <w:r>
        <w:rPr>
          <w:rFonts w:ascii="David" w:cs="David" w:eastAsia="David" w:hAnsi="David"/>
          <w:noProof/>
          <w:sz w:val="24"/>
          <w:szCs w:val="24"/>
          <w:rtl/>
        </w:rPr>
        <w:t xml:space="preserve"> נזקפה לחובת יורשי המוכר העובדה שקיבלו במשך שנים הודעות מוועדת התכנון על בקשות הרוכש להיתרים ולא הגיבו.</w:t>
      </w:r>
      <w:r>
        <w:rPr>
          <w:rStyle w:val="FootnoteReference"/>
        </w:rPr>
        <w:footnoteReference w:id="56"/>
      </w:r>
    </w:p>
    <w:p>
      <w:pPr>
        <w:pStyle w:val="Heading2"/>
        <w:bidi/>
        <w:spacing w:after="180" w:before="280"/>
      </w:pPr>
      <w:r>
        <w:rPr>
          <w:rFonts w:ascii="David" w:cs="David" w:eastAsia="David" w:hAnsi="David"/>
          <w:b/>
          <w:bCs/>
          <w:noProof/>
          <w:color w:val="000000"/>
          <w:sz w:val="28"/>
          <w:szCs w:val="28"/>
          <w:rtl/>
        </w:rPr>
        <w:t xml:space="preserve">ד.2 ארנונה: ראיה להחזקה, לא לבעלות</w:t>
      </w:r>
    </w:p>
    <w:p>
      <w:pPr>
        <w:bidi/>
        <w:spacing w:after="0" w:line="360"/>
        <w:jc w:val="both"/>
      </w:pPr>
      <w:r>
        <w:rPr>
          <w:rFonts w:ascii="David" w:cs="David" w:eastAsia="David" w:hAnsi="David"/>
          <w:noProof/>
          <w:sz w:val="24"/>
          <w:szCs w:val="24"/>
          <w:rtl/>
        </w:rPr>
        <w:t xml:space="preserve">חשבונות הארנונה סובלים ממגבלה מובנית עוד יותר: הארנונה מוטלת על "המחזיק" ולא על הבעלים, ורישומי מחלקת הגבייה נסמכים על הודעות הצדדים בלא בדיקה קניינית.</w:t>
      </w:r>
      <w:r>
        <w:rPr>
          <w:rStyle w:val="FootnoteReference"/>
        </w:rPr>
        <w:footnoteReference w:id="57"/>
      </w:r>
      <w:r>
        <w:rPr>
          <w:rFonts w:ascii="David" w:cs="David" w:eastAsia="David" w:hAnsi="David"/>
          <w:noProof/>
          <w:sz w:val="24"/>
          <w:szCs w:val="24"/>
          <w:rtl/>
        </w:rPr>
        <w:t xml:space="preserve"> רישומו של אדם כמשלם מלמד אפוא על החזקה ותו לא. ואולם בהצטברות נסיבות נודע לתשלומים משקל, ושלושה סימנים מבחינים בין תשלום מלמד לשאינו מלמד: זהות המשלם לאורך זמן, כשהחיוב נושא את שם בן המשפחה ולא את שם העיזבון; היעדר תמורה נגדית; והקשר, כשהתשלום מצטרף לבנייה ולמגורים בפועל.</w:t>
      </w:r>
      <w:r>
        <w:rPr>
          <w:rStyle w:val="FootnoteReference"/>
        </w:rPr>
        <w:footnoteReference w:id="58"/>
      </w:r>
      <w:r>
        <w:rPr>
          <w:rFonts w:ascii="David" w:cs="David" w:eastAsia="David" w:hAnsi="David"/>
          <w:noProof/>
          <w:sz w:val="24"/>
          <w:szCs w:val="24"/>
          <w:rtl/>
        </w:rPr>
        <w:t xml:space="preserve"> ובכל מקרה, רישומי הארנונה נערכים לצורך גבייה ולא לתיעוד זכויות, ואף כשהם תומכים בגרסת המחזיק אין הם אלא נדבך אחד במכלול.</w:t>
      </w:r>
    </w:p>
    <w:p>
      <w:pPr>
        <w:pStyle w:val="Heading2"/>
        <w:bidi/>
        <w:spacing w:after="180" w:before="280"/>
      </w:pPr>
      <w:r>
        <w:rPr>
          <w:rFonts w:ascii="David" w:cs="David" w:eastAsia="David" w:hAnsi="David"/>
          <w:b/>
          <w:bCs/>
          <w:noProof/>
          <w:color w:val="000000"/>
          <w:sz w:val="28"/>
          <w:szCs w:val="28"/>
          <w:rtl/>
        </w:rPr>
        <w:t xml:space="preserve">ד.3 מסמכים היסטוריים ישנים: ייפויי כוח, שטרות מסורתיים ורישומים עות׳מאניים</w:t>
      </w:r>
    </w:p>
    <w:p>
      <w:pPr>
        <w:bidi/>
        <w:spacing w:after="0" w:line="360"/>
        <w:jc w:val="both"/>
      </w:pPr>
      <w:r>
        <w:rPr>
          <w:rFonts w:ascii="David" w:cs="David" w:eastAsia="David" w:hAnsi="David"/>
          <w:noProof/>
          <w:sz w:val="24"/>
          <w:szCs w:val="24"/>
          <w:rtl/>
        </w:rPr>
        <w:t xml:space="preserve">קטגוריה שלישית היא המסמכים ההיסטוריים: ייפוי כוח נוטריוני, שטרות מכר מסורתיים, קבלות בכתב יד ורישומי טאבו עות׳מאניים ומנדטוריים. כוחם כפול: הם ראיה בת הזמן, שנוצרה בטרם קם אינטרס דיוני, והם עשויים לעלות כדי "מסמך בכתב" הממלא את דרישת סעיף 8; ובעסקאות שקדמו לחוק המקרקעין די בפחות מכך, שכן דרישת הכתב של הדין הקודם ראייתית בלבד.</w:t>
      </w:r>
      <w:r>
        <w:rPr>
          <w:rStyle w:val="FootnoteReference"/>
        </w:rPr>
        <w:footnoteReference w:id="59"/>
      </w:r>
      <w:r>
        <w:rPr>
          <w:rFonts w:ascii="David" w:cs="David" w:eastAsia="David" w:hAnsi="David"/>
          <w:noProof/>
          <w:sz w:val="24"/>
          <w:szCs w:val="24"/>
          <w:rtl/>
        </w:rPr>
        <w:t xml:space="preserve"> ואולם גילם הוא גם חולשתם: יש לאמת חתימות של נפטרים, להתמודד עם טענות זיוף ולגשר על הפער בין תיאור החלקה לפי גבולות טבעיים לבין הזיהוי הקדסטרלי. הדין מספק כלים: מסמך ישן שנשמר במשמורת טבעית נהנה מנטייה לקבל את אמיתותו, ותוכנו של מסמך שאבד ניתן להוכחה בראיות משניות.</w:t>
      </w:r>
      <w:r>
        <w:rPr>
          <w:rStyle w:val="FootnoteReference"/>
        </w:rPr>
        <w:footnoteReference w:id="60"/>
      </w:r>
      <w:r>
        <w:rPr>
          <w:rFonts w:ascii="David" w:cs="David" w:eastAsia="David" w:hAnsi="David"/>
          <w:noProof/>
          <w:sz w:val="24"/>
          <w:szCs w:val="24"/>
          <w:rtl/>
        </w:rPr>
        <w:t xml:space="preserve"> רישומי הטאבו ההיסטוריים הם רישומי רשות ולכן משקלם גבוה, אך כמתואר בפרק ב שמות הרשומים בהם משקפים תכופות את נציג המשפחה ולא את המחזיק בפועל.</w:t>
      </w:r>
    </w:p>
    <w:p>
      <w:pPr>
        <w:pStyle w:val="Heading2"/>
        <w:bidi/>
        <w:spacing w:after="180" w:before="280"/>
      </w:pPr>
      <w:r>
        <w:rPr>
          <w:rFonts w:ascii="David" w:cs="David" w:eastAsia="David" w:hAnsi="David"/>
          <w:b/>
          <w:bCs/>
          <w:noProof/>
          <w:color w:val="000000"/>
          <w:sz w:val="28"/>
          <w:szCs w:val="28"/>
          <w:rtl/>
        </w:rPr>
        <w:t xml:space="preserve">ד.4 מדרג ראייתי מוצע</w:t>
      </w:r>
    </w:p>
    <w:p>
      <w:pPr>
        <w:bidi/>
        <w:spacing w:after="0" w:line="360"/>
        <w:jc w:val="both"/>
      </w:pPr>
      <w:r>
        <w:rPr>
          <w:rFonts w:ascii="David" w:cs="David" w:eastAsia="David" w:hAnsi="David"/>
          <w:noProof/>
          <w:sz w:val="24"/>
          <w:szCs w:val="24"/>
          <w:rtl/>
        </w:rPr>
        <w:t xml:space="preserve">מן הפסיקה ניתן לחלץ מדרג בלתי פורמלי. במדרגה העליונה, מסמך בן זמן המגלם את העסקה: ייפוי כוח מפורט, שטר מסורתי או קבלות, ובלבד שאמיתותם הוכחה; בשנייה, ביצוע גלוי ורצוף: מסירת חזקה, בנייה, עיבוד ומגורים רבי שנים בידיעת הכל; בשלישית, התיעוד המנהלי הנסיבתי: היתרים, ארנונה והיטלים; וברביעית, עדויות בעל פה של בני משפחה, הנבחנות בזהירות יתרה ובכפוף לדרישת הסיוע בתביעות נגד עיזבון.</w:t>
      </w:r>
      <w:r>
        <w:rPr>
          <w:rStyle w:val="FootnoteReference"/>
        </w:rPr>
        <w:footnoteReference w:id="61"/>
      </w:r>
      <w:r>
        <w:rPr>
          <w:rFonts w:ascii="David" w:cs="David" w:eastAsia="David" w:hAnsi="David"/>
          <w:noProof/>
          <w:sz w:val="24"/>
          <w:szCs w:val="24"/>
          <w:rtl/>
        </w:rPr>
        <w:t xml:space="preserve"> אין זה מדרג נוקשה: כוחו של כל מקבץ במצטבר, והעיקרון המנחה הוא קוהרנטיות. כאשר ייפוי הכוח משנת 1970, הבית שנבנה בשנת 1975, ההיתר, הארנונה ושתיקת האחים במשך יובל מתיישבים זה עם זה, יכריע בית המשפט לטובת המחזיק אף שהמרשם שותק; וכשהם סותרים, יגבר המרשם. תפקידו של המדרג אינו להכביד אלא להבחין בין ראיה שנוצרה בזמן אמת ובלא אינטרס לבין ראיה שנוצרה בצל ההתדיינות, ברוח הדגשת בית המשפט העליון בעניין </w:t>
      </w:r>
      <w:r>
        <w:rPr>
          <w:rFonts w:ascii="David" w:cs="David" w:eastAsia="David" w:hAnsi="David"/>
          <w:b/>
          <w:bCs/>
          <w:noProof/>
          <w:sz w:val="24"/>
          <w:szCs w:val="24"/>
          <w:rtl/>
        </w:rPr>
        <w:t xml:space="preserve">משעל</w:t>
      </w:r>
      <w:r>
        <w:rPr>
          <w:rFonts w:ascii="David" w:cs="David" w:eastAsia="David" w:hAnsi="David"/>
          <w:noProof/>
          <w:sz w:val="24"/>
          <w:szCs w:val="24"/>
          <w:rtl/>
        </w:rPr>
        <w:t xml:space="preserve"> כי אין להטיל על הטוען נטל שאין הדין מטיל עליו.</w:t>
      </w:r>
      <w:r>
        <w:rPr>
          <w:rStyle w:val="FootnoteReference"/>
        </w:rPr>
        <w:footnoteReference w:id="62"/>
      </w:r>
    </w:p>
    <w:p>
      <w:pPr>
        <w:pStyle w:val="Heading2"/>
        <w:bidi/>
        <w:spacing w:after="180" w:before="280"/>
      </w:pPr>
      <w:r>
        <w:rPr>
          <w:rFonts w:ascii="David" w:cs="David" w:eastAsia="David" w:hAnsi="David"/>
          <w:b/>
          <w:bCs/>
          <w:noProof/>
          <w:color w:val="000000"/>
          <w:sz w:val="28"/>
          <w:szCs w:val="28"/>
          <w:rtl/>
        </w:rPr>
        <w:t xml:space="preserve">ד.5 ביקורת: כשהוועדה המקומית "משחקת" ערכאה קניינית</w:t>
      </w:r>
    </w:p>
    <w:p>
      <w:pPr>
        <w:bidi/>
        <w:spacing w:after="0" w:line="360"/>
        <w:jc w:val="both"/>
      </w:pPr>
      <w:r>
        <w:rPr>
          <w:rFonts w:ascii="David" w:cs="David" w:eastAsia="David" w:hAnsi="David"/>
          <w:noProof/>
          <w:sz w:val="24"/>
          <w:szCs w:val="24"/>
          <w:rtl/>
        </w:rPr>
        <w:t xml:space="preserve">המדרג חושף תופעה מוסדית: בהיעדר מרשם מתפקד נדחקים מוסדות מנהליים ותכנוניים, בעל כורחם, לתפקיד קנייני, והוועדה המקומית מגלה שאישורה התכנוני משמש כעבור שלושים שנה ראיה מרכזית במשפט בעלות. זהו היפוך תפקידים כפול: רשויות שלא הוסמכו להכריע בזכויות מייצרות את התשתית שעליה מוכרעות זכויות, ואילו הרשם, שהוסמך לכך, יושב מול פנקס שקפא ותפקידו מינהלי וטכני בלבד;</w:t>
      </w:r>
      <w:r>
        <w:rPr>
          <w:rStyle w:val="FootnoteReference"/>
        </w:rPr>
        <w:footnoteReference w:id="63"/>
      </w:r>
      <w:r>
        <w:rPr>
          <w:rFonts w:ascii="David" w:cs="David" w:eastAsia="David" w:hAnsi="David"/>
          <w:noProof/>
          <w:sz w:val="24"/>
          <w:szCs w:val="24"/>
          <w:rtl/>
        </w:rPr>
        <w:t xml:space="preserve"> המחיר כפול: ראייתית, התשתית שעליה נבנית ההכרעה נוצרה בהליכים שלא נועדו לכך; וחלוקתית, שכן התיעוד קיים היכן שהרשות פעלה ותיעדה, ודווקא ביישובים שבהם ההיערכות המנהלית הייתה חסרה קטן הסיכוי שיימצא בו מענה. המסקנה אינה לפסול את התיעוד המנהלי, אלא להכיר בכך שההישענות עליו היא פתרון חירום, ולחתור להסרת החסמים הנדונים בפרק הבא.</w:t>
      </w:r>
    </w:p>
    <w:p>
      <w:pPr>
        <w:pStyle w:val="Heading1"/>
        <w:bidi/>
        <w:spacing w:after="240" w:before="360"/>
      </w:pPr>
      <w:r>
        <w:rPr>
          <w:rFonts w:ascii="David" w:cs="David" w:eastAsia="David" w:hAnsi="David"/>
          <w:b/>
          <w:bCs/>
          <w:noProof/>
          <w:color w:val="000000"/>
          <w:sz w:val="32"/>
          <w:szCs w:val="32"/>
          <w:rtl/>
        </w:rPr>
        <w:t xml:space="preserve">פרק ה: השלכות מיסוי מקרקעין על רישום עסקאות היסטוריות ("המלכוד הכלכלי")</w:t>
      </w:r>
    </w:p>
    <w:p>
      <w:pPr>
        <w:pStyle w:val="Heading2"/>
        <w:bidi/>
        <w:spacing w:after="180" w:before="280"/>
      </w:pPr>
      <w:r>
        <w:rPr>
          <w:rFonts w:ascii="David" w:cs="David" w:eastAsia="David" w:hAnsi="David"/>
          <w:b/>
          <w:bCs/>
          <w:noProof/>
          <w:color w:val="000000"/>
          <w:sz w:val="28"/>
          <w:szCs w:val="28"/>
          <w:rtl/>
        </w:rPr>
        <w:t xml:space="preserve">ה.1 המנגנון הסטטוטורי: אין רישום בלא הסדרת המס</w:t>
      </w:r>
    </w:p>
    <w:p>
      <w:pPr>
        <w:bidi/>
        <w:spacing w:after="0" w:line="360"/>
        <w:jc w:val="both"/>
      </w:pPr>
      <w:r>
        <w:rPr>
          <w:rFonts w:ascii="David" w:cs="David" w:eastAsia="David" w:hAnsi="David"/>
          <w:noProof/>
          <w:sz w:val="24"/>
          <w:szCs w:val="24"/>
          <w:rtl/>
        </w:rPr>
        <w:t xml:space="preserve">שער הכניסה למרשם עובר דרך רשות המסים: חוק מיסוי מקרקעין אינו מסתפק בהטלת מס אלא כורך את תוקפה של העסקה ואת רישומה בהסדרת החבות. סעיף 16(א)(1) מתנה את תוקף המכירה בתשלום המס או במילוי חלופות הביטחון, וסעיף 16(א)(2) מורה כי המכירה לא תירשם אלא אם אישר המנהל שהיא פטורה, שהמס שולם או שניתנה ערובה.</w:t>
      </w:r>
      <w:r>
        <w:rPr>
          <w:rStyle w:val="FootnoteReference"/>
        </w:rPr>
        <w:footnoteReference w:id="64"/>
      </w:r>
      <w:r>
        <w:rPr>
          <w:rFonts w:ascii="David" w:cs="David" w:eastAsia="David" w:hAnsi="David"/>
          <w:noProof/>
          <w:sz w:val="24"/>
          <w:szCs w:val="24"/>
          <w:rtl/>
        </w:rPr>
        <w:t xml:space="preserve"> גורמן ואהרונוביץ׳ מכנים אותו "כלי הגבייה העיקרי של מנהל מיסוי מקרקעין", שבגדרו משמש המרשם "זרוע גבייה" של רשות המסים.</w:t>
      </w:r>
      <w:r>
        <w:rPr>
          <w:rStyle w:val="FootnoteReference"/>
        </w:rPr>
        <w:footnoteReference w:id="65"/>
      </w:r>
      <w:r>
        <w:rPr>
          <w:rFonts w:ascii="David" w:cs="David" w:eastAsia="David" w:hAnsi="David"/>
          <w:noProof/>
          <w:sz w:val="24"/>
          <w:szCs w:val="24"/>
          <w:rtl/>
        </w:rPr>
        <w:t xml:space="preserve"> ומכוונת אל הפרקטיקה הנחקרת הוראת סעיף 16(ב), השוללת תוקף ממכירה שהיא ייפוי כוח לטובת הקונה אלא אם הופקד אצל המנהל במועד. שרשרת השוערים בין העסקה למרשם מונה אפוא שלושה גורמים לפחות, וכל אחד מהם רשאי לעכב את הרישום.</w:t>
      </w:r>
      <w:r>
        <w:rPr>
          <w:rStyle w:val="FootnoteReference"/>
        </w:rPr>
        <w:footnoteReference w:id="66"/>
      </w:r>
    </w:p>
    <w:p>
      <w:pPr>
        <w:bidi/>
        <w:spacing w:after="0" w:line="360"/>
        <w:ind w:firstLine="420"/>
        <w:jc w:val="both"/>
      </w:pPr>
      <w:r>
        <w:rPr>
          <w:rFonts w:ascii="David" w:cs="David" w:eastAsia="David" w:hAnsi="David"/>
          <w:noProof/>
          <w:sz w:val="24"/>
          <w:szCs w:val="24"/>
          <w:rtl/>
        </w:rPr>
        <w:t xml:space="preserve">שיטת המס רחבה מדיני הקניין: "מכירה" נבחנת לפי תוכנה הכלכלי, והיא לוכדת גם זכויות אובליגטוריות וזכויות שביושר שלא נרשמו מעולם, ואף "הרשאה" במקרקעי ישראל הוכרה כ"זכות במקרקעין" לצורכי מס.</w:t>
      </w:r>
      <w:r>
        <w:rPr>
          <w:rStyle w:val="FootnoteReference"/>
        </w:rPr>
        <w:footnoteReference w:id="67"/>
      </w:r>
      <w:r>
        <w:rPr>
          <w:rFonts w:ascii="David" w:cs="David" w:eastAsia="David" w:hAnsi="David"/>
          <w:noProof/>
          <w:sz w:val="24"/>
          <w:szCs w:val="24"/>
          <w:rtl/>
        </w:rPr>
        <w:t xml:space="preserve"> תמונה מקבילה עולה מדיני פיצויי הפגיעה התכנונית: הזכאות לפי סעיף 197 לחוק התכנון והבנייה פורשה כרחבה, ככוללת בעלים שביושר שזכותו לא נרשמה מעולם.</w:t>
      </w:r>
      <w:r>
        <w:rPr>
          <w:rStyle w:val="FootnoteReference"/>
        </w:rPr>
        <w:footnoteReference w:id="68"/>
      </w:r>
      <w:r>
        <w:rPr>
          <w:rFonts w:ascii="David" w:cs="David" w:eastAsia="David" w:hAnsi="David"/>
          <w:noProof/>
          <w:sz w:val="24"/>
          <w:szCs w:val="24"/>
          <w:rtl/>
        </w:rPr>
        <w:t xml:space="preserve"> התוצאה המבנית מרתקת: הדין הכלכלי "רואה" את המחזיק הבלתי רשום, ורק מרשם הזכויות מתעלם ממנו; והפער אינו סימטרי, שכן המחזיק נושא בחבויות המס של בעלים בלא ליהנות מהגנותיו הקנייניות.</w:t>
      </w:r>
    </w:p>
    <w:p>
      <w:pPr>
        <w:pStyle w:val="Heading2"/>
        <w:bidi/>
        <w:spacing w:after="180" w:before="280"/>
      </w:pPr>
      <w:r>
        <w:rPr>
          <w:rFonts w:ascii="David" w:cs="David" w:eastAsia="David" w:hAnsi="David"/>
          <w:b/>
          <w:bCs/>
          <w:noProof/>
          <w:color w:val="000000"/>
          <w:sz w:val="28"/>
          <w:szCs w:val="28"/>
          <w:rtl/>
        </w:rPr>
        <w:t xml:space="preserve">ה.2 העסקה ההיסטורית שלא דווחה: אנטומיה של חוב</w:t>
      </w:r>
    </w:p>
    <w:p>
      <w:pPr>
        <w:bidi/>
        <w:spacing w:after="0" w:line="360"/>
        <w:jc w:val="both"/>
      </w:pPr>
      <w:r>
        <w:rPr>
          <w:rFonts w:ascii="David" w:cs="David" w:eastAsia="David" w:hAnsi="David"/>
          <w:noProof/>
          <w:sz w:val="24"/>
          <w:szCs w:val="24"/>
          <w:rtl/>
        </w:rPr>
        <w:t xml:space="preserve">טלו עסקה טיפוסית: בשנת 1978 מכר, או העניק, אב לבנו מגרש בכפר כנגד ייפוי כוח בלתי חוזר; איש לא הצהיר, והבן בנה את ביתו וחי בו. בחלוף ארבעים וחמש שנים, כשהנכדים מבקשים להסדיר את הרישום, מתעוררות שלוש שכבות חבות: מס שבח, מס רכישה, והפרשי הצמדה, ריבית וקנסות בגין אי ההצהרה, המצטברים ממועד העסקה.</w:t>
      </w:r>
      <w:r>
        <w:rPr>
          <w:rStyle w:val="FootnoteReference"/>
        </w:rPr>
        <w:footnoteReference w:id="69"/>
      </w:r>
      <w:r>
        <w:rPr>
          <w:rFonts w:ascii="David" w:cs="David" w:eastAsia="David" w:hAnsi="David"/>
          <w:noProof/>
          <w:sz w:val="24"/>
          <w:szCs w:val="24"/>
          <w:rtl/>
        </w:rPr>
        <w:t xml:space="preserve"> לעיתים עצם שחזור העסקה קשה: הצדדים המקוריים נפטרו ושווי השוק דאז אינו מתועד; השומה נערכת אז לפי מיטב השפיטה, והליכי ההשגה מוסיפים עלות וזמן. ובשרשרת העברות כל חוליה היא "מכירה" נפרדת המקימה אירוע מס, ולכן מי שמבקש להסדיר את רישומו נדרש להסדיר תחילה את עסקת הסב. הצטברות זו הופכת את החסם מקושי נקודתי למחסום מערכתי.</w:t>
      </w:r>
    </w:p>
    <w:p>
      <w:pPr>
        <w:bidi/>
        <w:spacing w:after="0" w:line="360"/>
        <w:ind w:firstLine="420"/>
        <w:jc w:val="both"/>
      </w:pPr>
      <w:r>
        <w:rPr>
          <w:rFonts w:ascii="David" w:cs="David" w:eastAsia="David" w:hAnsi="David"/>
          <w:noProof/>
          <w:sz w:val="24"/>
          <w:szCs w:val="24"/>
          <w:rtl/>
        </w:rPr>
        <w:t xml:space="preserve">חשוב לדייק במעמדה של "התניית הרישום": אי הדיווח אינו מאיין את העסקה בין הצדדים, שכן הפסיקה והספרות ריככו את סעיף 16 ופירשוהו כך שהעדר דיווח משעה את תוקף המכירה אך אינו שולל אותו לצמיתות, וההצהרה ניתנת להגשה באיחור.</w:t>
      </w:r>
      <w:r>
        <w:rPr>
          <w:rStyle w:val="FootnoteReference"/>
        </w:rPr>
        <w:footnoteReference w:id="70"/>
      </w:r>
      <w:r>
        <w:rPr>
          <w:rFonts w:ascii="David" w:cs="David" w:eastAsia="David" w:hAnsi="David"/>
          <w:noProof/>
          <w:sz w:val="24"/>
          <w:szCs w:val="24"/>
          <w:rtl/>
        </w:rPr>
        <w:t xml:space="preserve"> המשמעות בסכסוך המשפחתי כפולה: נתבע אינו יכול להיבנות מטענה שהעסקה "בטלה" משום שלא דווחה, אך התובע שזכה בהצהרה יגלה כי בין פסק הדין לרישום חוצץ עדיין מסך המס. ההקלות שמכיר בהן הדין בהעברות בין קרובים מכוונות לעסקאות המדווחות במועדן.</w:t>
      </w:r>
    </w:p>
    <w:p>
      <w:pPr>
        <w:pStyle w:val="Heading2"/>
        <w:bidi/>
        <w:spacing w:after="180" w:before="280"/>
      </w:pPr>
      <w:r>
        <w:rPr>
          <w:rFonts w:ascii="David" w:cs="David" w:eastAsia="David" w:hAnsi="David"/>
          <w:b/>
          <w:bCs/>
          <w:noProof/>
          <w:color w:val="000000"/>
          <w:sz w:val="28"/>
          <w:szCs w:val="28"/>
          <w:rtl/>
        </w:rPr>
        <w:t xml:space="preserve">ה.3 ביקורת: כלי למניעת העלמה שהפך חסם</w:t>
      </w:r>
    </w:p>
    <w:p>
      <w:pPr>
        <w:bidi/>
        <w:spacing w:after="0" w:line="360"/>
        <w:jc w:val="both"/>
      </w:pPr>
      <w:r>
        <w:rPr>
          <w:rFonts w:ascii="David" w:cs="David" w:eastAsia="David" w:hAnsi="David"/>
          <w:noProof/>
          <w:sz w:val="24"/>
          <w:szCs w:val="24"/>
          <w:rtl/>
        </w:rPr>
        <w:t xml:space="preserve">המנגנון נולד כתכליתו: כלי לחימה בהעלמות מס בשוק מסחרי, שבו הצדדים זרים והתמריץ היחיד לדיווח הוא המחסום הרישומי. שם הוא יעיל, שכן הקונה החפץ ברישום מיידי כופה את הדיווח. ביישומו על ההעברה הפנים משפחתית מתהפכת הלוגיקה: הצדדים אינם חפצים ברישום מיידי, שכן ההעברה "הושלמה" מבחינתם במסירת החזקה ובייפוי הכוח, ולכן המחסום אינו כופה דיווח אלא נותר ניצב, שנה אחר שנה, כשהחוב ההיסטורי צובר הצמדה, ריבית וקנסות. כלי שנועד למנוע העלמה בשוק פעיל הפך, באוכלוסייה שדפוסיה שונים, למנציח אי רישום, וזוהי שוב התוצאה החלוקתית שתוארה בפרק א.</w:t>
      </w:r>
      <w:r>
        <w:rPr>
          <w:rStyle w:val="FootnoteReference"/>
        </w:rPr>
        <w:footnoteReference w:id="71"/>
      </w:r>
    </w:p>
    <w:p>
      <w:pPr>
        <w:bidi/>
        <w:spacing w:after="0" w:line="360"/>
        <w:ind w:firstLine="420"/>
        <w:jc w:val="both"/>
      </w:pPr>
      <w:r>
        <w:rPr>
          <w:rFonts w:ascii="David" w:cs="David" w:eastAsia="David" w:hAnsi="David"/>
          <w:noProof/>
          <w:sz w:val="24"/>
          <w:szCs w:val="24"/>
          <w:rtl/>
        </w:rPr>
        <w:t xml:space="preserve">התוצאה היא "נעילה" (</w:t>
      </w:r>
      <w:r>
        <w:rPr>
          <w:rFonts w:ascii="Times New Roman" w:cs="Times New Roman" w:eastAsia="Times New Roman" w:hAnsi="Times New Roman"/>
          <w:noProof/>
          <w:sz w:val="24"/>
          <w:szCs w:val="24"/>
        </w:rPr>
        <w:t xml:space="preserve">lock-in</w:t>
      </w:r>
      <w:r>
        <w:rPr>
          <w:rFonts w:ascii="David" w:cs="David" w:eastAsia="David" w:hAnsi="David"/>
          <w:noProof/>
          <w:sz w:val="24"/>
          <w:szCs w:val="24"/>
          <w:rtl/>
        </w:rPr>
        <w:t xml:space="preserve">) רב דורית: ככל שחולף הזמן עלות ההסדרה גדלה, שכן השרשרת מתארכת ומספר בעלי העניין מתרבה עם כל דור. דווקא הזקוקים ביותר לוודאות קניינית נדחקים אפוא אל מחוץ למרשם, והונם נותר "הון מת": נכסים שאינם ניתנים למשכון, לביטוח ולמימוש.</w:t>
      </w:r>
      <w:r>
        <w:rPr>
          <w:rStyle w:val="FootnoteReference"/>
        </w:rPr>
        <w:footnoteReference w:id="72"/>
      </w:r>
      <w:r>
        <w:rPr>
          <w:rFonts w:ascii="David" w:cs="David" w:eastAsia="David" w:hAnsi="David"/>
          <w:noProof/>
          <w:sz w:val="24"/>
          <w:szCs w:val="24"/>
          <w:rtl/>
        </w:rPr>
        <w:t xml:space="preserve"> ולמעגל נוסף יש לתת את הדעת: המלכוד עצמו מוליד סכסוכים, שכן כל עוד ההסדרה יקרה מנשוא נותר המרשם על שם המוריש, וכל דור יורשים חדש יורש עם הקרקע גם את אי הבהירות. "התניית הרישום" איננה אפוא רק שאלה פיסקלית אלא גורם ישיר בייצור ההתדיינות הנדונה כאן; ובמישור הראייתי, טענת יורש כי "אילו הייתה עסקה, הייתה מדווחת" זוכה למשקל מוגבל, שכן אי הדיווח היה נורמה חברתית רחבה.</w:t>
      </w:r>
      <w:r>
        <w:rPr>
          <w:rStyle w:val="FootnoteReference"/>
        </w:rPr>
        <w:footnoteReference w:id="73"/>
      </w:r>
    </w:p>
    <w:p>
      <w:pPr>
        <w:pStyle w:val="Heading1"/>
        <w:bidi/>
        <w:spacing w:after="240" w:before="360"/>
      </w:pPr>
      <w:r>
        <w:rPr>
          <w:rFonts w:ascii="David" w:cs="David" w:eastAsia="David" w:hAnsi="David"/>
          <w:b/>
          <w:bCs/>
          <w:noProof/>
          <w:color w:val="000000"/>
          <w:sz w:val="32"/>
          <w:szCs w:val="32"/>
          <w:rtl/>
        </w:rPr>
        <w:t xml:space="preserve">פרק ו: משפט משווה (המשפט המקובל, המשפט המצרי והמשפט השרעי)</w:t>
      </w:r>
    </w:p>
    <w:p>
      <w:pPr>
        <w:bidi/>
        <w:spacing w:after="0" w:line="360"/>
        <w:jc w:val="both"/>
      </w:pPr>
      <w:r>
        <w:rPr>
          <w:rFonts w:ascii="David" w:cs="David" w:eastAsia="David" w:hAnsi="David"/>
          <w:noProof/>
          <w:sz w:val="24"/>
          <w:szCs w:val="24"/>
          <w:rtl/>
        </w:rPr>
        <w:t xml:space="preserve">שלוש השיטות שנבחרו מייצגות שלושה פתרונות ארכיטיפיים לבעיית הזכות הבלתי רשומה: המשפט המקובל פיצל את הבעלות לשני רבדים והפקיד את השני בידי דיני היושר; המשפט המצרי הפריד הפרדה חדה בין החיוב לקניין, אך העמיד לצדה התיישנות רוכשת; והמשפט השרעי, שקדם למרשם, העמיד את התפיסה הפיזית במרכז ההקניה.</w:t>
      </w:r>
      <w:r>
        <w:rPr>
          <w:rStyle w:val="FootnoteReference"/>
        </w:rPr>
        <w:footnoteReference w:id="74"/>
      </w:r>
    </w:p>
    <w:p>
      <w:pPr>
        <w:pStyle w:val="Heading2"/>
        <w:bidi/>
        <w:spacing w:after="180" w:before="280"/>
      </w:pPr>
      <w:r>
        <w:rPr>
          <w:rFonts w:ascii="David" w:cs="David" w:eastAsia="David" w:hAnsi="David"/>
          <w:b/>
          <w:bCs/>
          <w:noProof/>
          <w:color w:val="000000"/>
          <w:sz w:val="28"/>
          <w:szCs w:val="28"/>
          <w:rtl/>
        </w:rPr>
        <w:t xml:space="preserve">ו.1 המשפט המקובל (Common Law)</w:t>
      </w:r>
    </w:p>
    <w:p>
      <w:pPr>
        <w:pStyle w:val="Heading3"/>
        <w:bidi/>
        <w:spacing w:after="140" w:before="220"/>
      </w:pPr>
      <w:r>
        <w:rPr>
          <w:rFonts w:ascii="David" w:cs="David" w:eastAsia="David" w:hAnsi="David"/>
          <w:b/>
          <w:bCs/>
          <w:noProof/>
          <w:color w:val="000000"/>
          <w:sz w:val="26"/>
          <w:szCs w:val="26"/>
          <w:rtl/>
        </w:rPr>
        <w:t xml:space="preserve">ו.1.1 הבעלות שביושר: החוזה כמקור קניין</w:t>
      </w:r>
    </w:p>
    <w:p>
      <w:pPr>
        <w:bidi/>
        <w:spacing w:after="0" w:line="360"/>
        <w:jc w:val="both"/>
      </w:pPr>
      <w:r>
        <w:rPr>
          <w:rFonts w:ascii="David" w:cs="David" w:eastAsia="David" w:hAnsi="David"/>
          <w:noProof/>
          <w:sz w:val="24"/>
          <w:szCs w:val="24"/>
          <w:rtl/>
        </w:rPr>
        <w:t xml:space="preserve">אבן הפינה הונחה במאה התשע עשרה: משנכרת חוזה מכר הניתן לאכיפה בעין, הופך המוכר לנאמן של הקונה והקונה לבעלים שביושר, עוד בטרם הועברה הבעלות המשפטית. כך בעניין </w:t>
      </w:r>
      <w:r>
        <w:rPr>
          <w:rFonts w:ascii="Times New Roman" w:cs="Times New Roman" w:eastAsia="Times New Roman" w:hAnsi="Times New Roman"/>
          <w:i/>
          <w:iCs/>
          <w:noProof/>
          <w:sz w:val="24"/>
          <w:szCs w:val="24"/>
        </w:rPr>
        <w:t xml:space="preserve">Lysaght v Edwards</w:t>
      </w:r>
      <w:r>
        <w:rPr>
          <w:rFonts w:ascii="David" w:cs="David" w:eastAsia="David" w:hAnsi="David"/>
          <w:noProof/>
          <w:sz w:val="24"/>
          <w:szCs w:val="24"/>
          <w:rtl/>
        </w:rPr>
        <w:t xml:space="preserve">, שבו נקבע כי מות המוכר בין הכריתה להשלמה אינו מעלה ואינו מוריד, וכך בעניין </w:t>
      </w:r>
      <w:r>
        <w:rPr>
          <w:rFonts w:ascii="Times New Roman" w:cs="Times New Roman" w:eastAsia="Times New Roman" w:hAnsi="Times New Roman"/>
          <w:i/>
          <w:iCs/>
          <w:noProof/>
          <w:sz w:val="24"/>
          <w:szCs w:val="24"/>
        </w:rPr>
        <w:t xml:space="preserve">Walsh v Lonsdale</w:t>
      </w:r>
      <w:r>
        <w:rPr>
          <w:rFonts w:ascii="David" w:cs="David" w:eastAsia="David" w:hAnsi="David"/>
          <w:noProof/>
          <w:sz w:val="24"/>
          <w:szCs w:val="24"/>
          <w:rtl/>
        </w:rPr>
        <w:t xml:space="preserve">, שבו הוטבע הכלל "היושר רואה כעשוי את שראוי היה להיעשות" ונאכף הסכם לחכירה שלא נחתם בשטר.</w:t>
      </w:r>
      <w:r>
        <w:rPr>
          <w:rStyle w:val="FootnoteReference"/>
        </w:rPr>
        <w:footnoteReference w:id="75"/>
      </w:r>
      <w:r>
        <w:rPr>
          <w:rFonts w:ascii="David" w:cs="David" w:eastAsia="David" w:hAnsi="David"/>
          <w:noProof/>
          <w:sz w:val="24"/>
          <w:szCs w:val="24"/>
          <w:rtl/>
        </w:rPr>
        <w:t xml:space="preserve"> העומק הרעיוני: החוזה עצמו, ולא הרישום, מכונן את הזיקה הקניינית; וזהו המקור הישיר של הלכת </w:t>
      </w:r>
      <w:r>
        <w:rPr>
          <w:rFonts w:ascii="David" w:cs="David" w:eastAsia="David" w:hAnsi="David"/>
          <w:b/>
          <w:bCs/>
          <w:noProof/>
          <w:sz w:val="24"/>
          <w:szCs w:val="24"/>
          <w:rtl/>
        </w:rPr>
        <w:t xml:space="preserve">אהרונוב</w:t>
      </w:r>
      <w:r>
        <w:rPr>
          <w:rFonts w:ascii="David" w:cs="David" w:eastAsia="David" w:hAnsi="David"/>
          <w:noProof/>
          <w:sz w:val="24"/>
          <w:szCs w:val="24"/>
          <w:rtl/>
        </w:rPr>
        <w:t xml:space="preserve">, שכן "הזכות שביושר תוצרת הארץ" היא נכדתה של הבעלות שביושר האנגלית, לאחר שסעיף 161 ביקש לנתק את השיטה ממקורות היושר והפסיקה השיבה אותם דרך הדלת המקומית.</w:t>
      </w:r>
      <w:r>
        <w:rPr>
          <w:rStyle w:val="FootnoteReference"/>
        </w:rPr>
        <w:footnoteReference w:id="76"/>
      </w:r>
    </w:p>
    <w:p>
      <w:pPr>
        <w:pStyle w:val="Heading3"/>
        <w:bidi/>
        <w:spacing w:after="140" w:before="220"/>
      </w:pPr>
      <w:r>
        <w:rPr>
          <w:rFonts w:ascii="David" w:cs="David" w:eastAsia="David" w:hAnsi="David"/>
          <w:b/>
          <w:bCs/>
          <w:noProof/>
          <w:color w:val="000000"/>
          <w:sz w:val="26"/>
          <w:szCs w:val="26"/>
          <w:rtl/>
        </w:rPr>
        <w:t xml:space="preserve">ו.1.2 המרשם, "פער הרישום" והזכויות הגוברות</w:t>
      </w:r>
    </w:p>
    <w:p>
      <w:pPr>
        <w:bidi/>
        <w:spacing w:after="0" w:line="360"/>
        <w:jc w:val="both"/>
      </w:pPr>
      <w:r>
        <w:rPr>
          <w:rFonts w:ascii="David" w:cs="David" w:eastAsia="David" w:hAnsi="David"/>
          <w:noProof/>
          <w:sz w:val="24"/>
          <w:szCs w:val="24"/>
          <w:rtl/>
        </w:rPr>
        <w:t xml:space="preserve">המשפט האנגלי המודרני אימץ מרשם ריכוזי, וחוק רישום המקרקעין משנת 2002 קובע, בדומה לסעיף 7 הישראלי, כי דיספוזיציה טעונת רישום "אינה פועלת במשפט" עד שמולאו דרישות הרישום. אלא שהדין האנגלי העניק לקטגוריה שלמה של זכויות בלתי רשומות כוח לגבור אף על רוכש רשום: "הזכויות הגוברות" (</w:t>
      </w:r>
      <w:r>
        <w:rPr>
          <w:rFonts w:ascii="Times New Roman" w:cs="Times New Roman" w:eastAsia="Times New Roman" w:hAnsi="Times New Roman"/>
          <w:noProof/>
          <w:sz w:val="24"/>
          <w:szCs w:val="24"/>
        </w:rPr>
        <w:t xml:space="preserve">overriding interests</w:t>
      </w:r>
      <w:r>
        <w:rPr>
          <w:rFonts w:ascii="David" w:cs="David" w:eastAsia="David" w:hAnsi="David"/>
          <w:noProof/>
          <w:sz w:val="24"/>
          <w:szCs w:val="24"/>
          <w:rtl/>
        </w:rPr>
        <w:t xml:space="preserve">), ובראשן זכותו של המצוי בתפיסה ממשית. בפרשת </w:t>
      </w:r>
      <w:r>
        <w:rPr>
          <w:rFonts w:ascii="Times New Roman" w:cs="Times New Roman" w:eastAsia="Times New Roman" w:hAnsi="Times New Roman"/>
          <w:i/>
          <w:iCs/>
          <w:noProof/>
          <w:sz w:val="24"/>
          <w:szCs w:val="24"/>
        </w:rPr>
        <w:t xml:space="preserve">Boland</w:t>
      </w:r>
      <w:r>
        <w:rPr>
          <w:rFonts w:ascii="David" w:cs="David" w:eastAsia="David" w:hAnsi="David"/>
          <w:noProof/>
          <w:sz w:val="24"/>
          <w:szCs w:val="24"/>
          <w:rtl/>
        </w:rPr>
        <w:t xml:space="preserve"> הוחלה ההגנה על אישה שתרמה לרכישת בית שנרשם על שם בעלה: זכותה שביושר, בצירוף מגוריה, גברה על הבנק הממשכן.</w:t>
      </w:r>
      <w:r>
        <w:rPr>
          <w:rStyle w:val="FootnoteReference"/>
        </w:rPr>
        <w:footnoteReference w:id="77"/>
      </w:r>
      <w:r>
        <w:rPr>
          <w:rFonts w:ascii="David" w:cs="David" w:eastAsia="David" w:hAnsi="David"/>
          <w:noProof/>
          <w:sz w:val="24"/>
          <w:szCs w:val="24"/>
          <w:rtl/>
        </w:rPr>
        <w:t xml:space="preserve"> ההקבלה מתבקשת: בן המשפחה המתגורר עשרות שנים בבית שבנה על חלקת המשפחה הוא "המחזיק בתפיסה ממשית" שהדין האנגלי בחר להגן עליו. ובמישור המבני, את הפגם שהזכויות הגוברות פוגמות בו בעקרון המראה נושאת השיטה האנגלית בזכות עקרון הפיצוי, ואילו הדין הישראלי לא אימץ מנגנון שיפוי מקביל.</w:t>
      </w:r>
      <w:r>
        <w:rPr>
          <w:rStyle w:val="FootnoteReference"/>
        </w:rPr>
        <w:footnoteReference w:id="78"/>
      </w:r>
    </w:p>
    <w:p>
      <w:pPr>
        <w:pStyle w:val="Heading3"/>
        <w:bidi/>
        <w:spacing w:after="140" w:before="220"/>
      </w:pPr>
      <w:r>
        <w:rPr>
          <w:rFonts w:ascii="David" w:cs="David" w:eastAsia="David" w:hAnsi="David"/>
          <w:b/>
          <w:bCs/>
          <w:noProof/>
          <w:color w:val="000000"/>
          <w:sz w:val="26"/>
          <w:szCs w:val="26"/>
          <w:rtl/>
        </w:rPr>
        <w:t xml:space="preserve">ו.1.3 רכישה בלתי פורמלית בתוך המשפחה: נאמנות משתמעת והשתק קנייני</w:t>
      </w:r>
    </w:p>
    <w:p>
      <w:pPr>
        <w:bidi/>
        <w:spacing w:after="0" w:line="360"/>
        <w:jc w:val="both"/>
      </w:pPr>
      <w:r>
        <w:rPr>
          <w:rFonts w:ascii="David" w:cs="David" w:eastAsia="David" w:hAnsi="David"/>
          <w:noProof/>
          <w:sz w:val="24"/>
          <w:szCs w:val="24"/>
          <w:rtl/>
        </w:rPr>
        <w:t xml:space="preserve">את מקומם של ייפוי הכוח והעסקה בעל פה ממלאים באנגליה שני מוסדות יושר. הראשון, הנאמנות המשתמעת מכוונה משותפת (</w:t>
      </w:r>
      <w:r>
        <w:rPr>
          <w:rFonts w:ascii="Times New Roman" w:cs="Times New Roman" w:eastAsia="Times New Roman" w:hAnsi="Times New Roman"/>
          <w:noProof/>
          <w:sz w:val="24"/>
          <w:szCs w:val="24"/>
        </w:rPr>
        <w:t xml:space="preserve">common intention constructive trust</w:t>
      </w:r>
      <w:r>
        <w:rPr>
          <w:rFonts w:ascii="David" w:cs="David" w:eastAsia="David" w:hAnsi="David"/>
          <w:noProof/>
          <w:sz w:val="24"/>
          <w:szCs w:val="24"/>
          <w:rtl/>
        </w:rPr>
        <w:t xml:space="preserve">): מקום שבני משפחה רכשו והחזיקו נכס במשותף, נלמדות זכויותיהם ממכלול התנהלותם ולא מן הרישום.</w:t>
      </w:r>
      <w:r>
        <w:rPr>
          <w:rStyle w:val="FootnoteReference"/>
        </w:rPr>
        <w:footnoteReference w:id="79"/>
      </w:r>
      <w:r>
        <w:rPr>
          <w:rFonts w:ascii="David" w:cs="David" w:eastAsia="David" w:hAnsi="David"/>
          <w:noProof/>
          <w:sz w:val="24"/>
          <w:szCs w:val="24"/>
          <w:rtl/>
        </w:rPr>
        <w:t xml:space="preserve"> השני, ההשתק הקנייני (</w:t>
      </w:r>
      <w:r>
        <w:rPr>
          <w:rFonts w:ascii="Times New Roman" w:cs="Times New Roman" w:eastAsia="Times New Roman" w:hAnsi="Times New Roman"/>
          <w:noProof/>
          <w:sz w:val="24"/>
          <w:szCs w:val="24"/>
        </w:rPr>
        <w:t xml:space="preserve">proprietary estoppel</w:t>
      </w:r>
      <w:r>
        <w:rPr>
          <w:rFonts w:ascii="David" w:cs="David" w:eastAsia="David" w:hAnsi="David"/>
          <w:noProof/>
          <w:sz w:val="24"/>
          <w:szCs w:val="24"/>
          <w:rtl/>
        </w:rPr>
        <w:t xml:space="preserve">), שפותח בסכסוכי ירושה חקלאיים: מי שעבד שנים במשק המשפחתי על יסוד הבטחות, אף מרומזות, שיירש אותו, והסתמך עליהן לרעתו, זכאי לסעד קנייני. כך בעניין </w:t>
      </w:r>
      <w:r>
        <w:rPr>
          <w:rFonts w:ascii="Times New Roman" w:cs="Times New Roman" w:eastAsia="Times New Roman" w:hAnsi="Times New Roman"/>
          <w:i/>
          <w:iCs/>
          <w:noProof/>
          <w:sz w:val="24"/>
          <w:szCs w:val="24"/>
        </w:rPr>
        <w:t xml:space="preserve">Thorner v Major</w:t>
      </w:r>
      <w:r>
        <w:rPr>
          <w:rFonts w:ascii="David" w:cs="David" w:eastAsia="David" w:hAnsi="David"/>
          <w:noProof/>
          <w:sz w:val="24"/>
          <w:szCs w:val="24"/>
          <w:rtl/>
        </w:rPr>
        <w:t xml:space="preserve">, שבו הוכרה זכותו של בן משפחה שעבד שלושים שנה בלא שכר, ובעניין </w:t>
      </w:r>
      <w:r>
        <w:rPr>
          <w:rFonts w:ascii="Times New Roman" w:cs="Times New Roman" w:eastAsia="Times New Roman" w:hAnsi="Times New Roman"/>
          <w:i/>
          <w:iCs/>
          <w:noProof/>
          <w:sz w:val="24"/>
          <w:szCs w:val="24"/>
        </w:rPr>
        <w:t xml:space="preserve">Guest v Guest</w:t>
      </w:r>
      <w:r>
        <w:rPr>
          <w:rFonts w:ascii="David" w:cs="David" w:eastAsia="David" w:hAnsi="David"/>
          <w:noProof/>
          <w:sz w:val="24"/>
          <w:szCs w:val="24"/>
          <w:rtl/>
        </w:rPr>
        <w:t xml:space="preserve">, שבו נקבע כי נקודת המוצא לסעד היא הגשמת הציפייה שהובטחה ולא פיצוי על ההסתמכות בלבד.</w:t>
      </w:r>
      <w:r>
        <w:rPr>
          <w:rStyle w:val="FootnoteReference"/>
        </w:rPr>
        <w:footnoteReference w:id="80"/>
      </w:r>
      <w:r>
        <w:rPr>
          <w:rFonts w:ascii="David" w:cs="David" w:eastAsia="David" w:hAnsi="David"/>
          <w:noProof/>
          <w:sz w:val="24"/>
          <w:szCs w:val="24"/>
          <w:rtl/>
        </w:rPr>
        <w:t xml:space="preserve"> הנאמנות המשתמעת מצהירה על זכות שביושר הקיימת ממילא, ואילו ההשתק הוא מוסד תרופתי הנשען על ארבעה יסודות: הבטחה, הסתמכות, שינוי מצב לרעה ואי מצפוניות בהתכחשות. הדמיון לעובדות המקרים הישראליים ניכר: הלכת </w:t>
      </w:r>
      <w:r>
        <w:rPr>
          <w:rFonts w:ascii="David" w:cs="David" w:eastAsia="David" w:hAnsi="David"/>
          <w:b/>
          <w:bCs/>
          <w:noProof/>
          <w:sz w:val="24"/>
          <w:szCs w:val="24"/>
          <w:rtl/>
        </w:rPr>
        <w:t xml:space="preserve">קלמר</w:t>
      </w:r>
      <w:r>
        <w:rPr>
          <w:rFonts w:ascii="David" w:cs="David" w:eastAsia="David" w:hAnsi="David"/>
          <w:noProof/>
          <w:sz w:val="24"/>
          <w:szCs w:val="24"/>
          <w:rtl/>
        </w:rPr>
        <w:t xml:space="preserve"> ו"זעקת ההגינות" הן, פונקציונלית, השתק קנייני ללא השם, אך בלא המסגרת הדוקטרינרית הסדורה שפיתח הדין האנגלי.</w:t>
      </w:r>
    </w:p>
    <w:p>
      <w:pPr>
        <w:pStyle w:val="Heading3"/>
        <w:bidi/>
        <w:spacing w:after="140" w:before="220"/>
      </w:pPr>
      <w:r>
        <w:rPr>
          <w:rFonts w:ascii="David" w:cs="David" w:eastAsia="David" w:hAnsi="David"/>
          <w:b/>
          <w:bCs/>
          <w:noProof/>
          <w:color w:val="000000"/>
          <w:sz w:val="26"/>
          <w:szCs w:val="26"/>
          <w:rtl/>
        </w:rPr>
        <w:t xml:space="preserve">ו.1.4 מתנות, צורה וייפוי כוח בלתי חוזר</w:t>
      </w:r>
    </w:p>
    <w:p>
      <w:pPr>
        <w:bidi/>
        <w:spacing w:after="0" w:line="360"/>
        <w:jc w:val="both"/>
      </w:pPr>
      <w:r>
        <w:rPr>
          <w:rFonts w:ascii="David" w:cs="David" w:eastAsia="David" w:hAnsi="David"/>
          <w:noProof/>
          <w:sz w:val="24"/>
          <w:szCs w:val="24"/>
          <w:rtl/>
        </w:rPr>
        <w:t xml:space="preserve">בדיני המתנה מחזיק המשפט המקובל בכלל נוקשה: "היושר לא ישלים מתנה פגומה". עיקרון זה נקלט אל הפסיקה הישראלית: בעניין </w:t>
      </w:r>
      <w:r>
        <w:rPr>
          <w:rFonts w:ascii="David" w:cs="David" w:eastAsia="David" w:hAnsi="David"/>
          <w:b/>
          <w:bCs/>
          <w:noProof/>
          <w:sz w:val="24"/>
          <w:szCs w:val="24"/>
          <w:rtl/>
        </w:rPr>
        <w:t xml:space="preserve">כבהה</w:t>
      </w:r>
      <w:r>
        <w:rPr>
          <w:rFonts w:ascii="David" w:cs="David" w:eastAsia="David" w:hAnsi="David"/>
          <w:noProof/>
          <w:sz w:val="24"/>
          <w:szCs w:val="24"/>
          <w:rtl/>
        </w:rPr>
        <w:t xml:space="preserve"> נשללה תחולת דיני היושר ממקבלי מתנה שלא נרשמה, בנימוק שהיושר הגן על רוכש בתמורה ולא על מתנדב; ואולם גם כאן פיתחו דיני היושר חריצים, ובהם הלכת </w:t>
      </w:r>
      <w:r>
        <w:rPr>
          <w:rFonts w:ascii="Times New Roman" w:cs="Times New Roman" w:eastAsia="Times New Roman" w:hAnsi="Times New Roman"/>
          <w:i/>
          <w:iCs/>
          <w:noProof/>
          <w:sz w:val="24"/>
          <w:szCs w:val="24"/>
        </w:rPr>
        <w:t xml:space="preserve">Re Rose</w:t>
      </w:r>
      <w:r>
        <w:rPr>
          <w:rFonts w:ascii="David" w:cs="David" w:eastAsia="David" w:hAnsi="David"/>
          <w:noProof/>
          <w:sz w:val="24"/>
          <w:szCs w:val="24"/>
          <w:rtl/>
        </w:rPr>
        <w:t xml:space="preserve">, שלפיה משעשה הנותן כל שבידו המתנה שלמה ביושר אף בטרם הרישום.</w:t>
      </w:r>
      <w:r>
        <w:rPr>
          <w:rStyle w:val="FootnoteReference"/>
        </w:rPr>
        <w:footnoteReference w:id="81"/>
      </w:r>
      <w:r>
        <w:rPr>
          <w:rFonts w:ascii="David" w:cs="David" w:eastAsia="David" w:hAnsi="David"/>
          <w:noProof/>
          <w:sz w:val="24"/>
          <w:szCs w:val="24"/>
          <w:rtl/>
        </w:rPr>
        <w:t xml:space="preserve"> אשר לייפוי הכוח, הדין האנגלי צר ומדויק: חוק ייפויי הכוח משנת 1971 מכיר בייפוי כוח בלתי הדיר רק כשניתן להבטחת זכותו של מיופה הכוח עצמו, ואילו חוק השליחות הישראלי הרחיב את ההגנה גם לאינטרס של צד שלישי, הרחבה שחשיבותה רבה בעסקאות המשפחתיות.</w:t>
      </w:r>
      <w:r>
        <w:rPr>
          <w:rStyle w:val="FootnoteReference"/>
        </w:rPr>
        <w:footnoteReference w:id="82"/>
      </w:r>
      <w:r>
        <w:rPr>
          <w:rFonts w:ascii="David" w:cs="David" w:eastAsia="David" w:hAnsi="David"/>
          <w:noProof/>
          <w:sz w:val="24"/>
          <w:szCs w:val="24"/>
          <w:rtl/>
        </w:rPr>
        <w:t xml:space="preserve"> באנגליה לא צמחה, אפוא, פרקטיקה של "מכר בייפוי כוח": הזכות שביושר ייתרה את הצורך במכשיר עוקף, והמרשם הזול לא הרתיע מרישום; ואנגליה אף כמעט ביטלה את ההתיישנות הרוכשת במקרקעין רשומים.</w:t>
      </w:r>
      <w:r>
        <w:rPr>
          <w:rStyle w:val="FootnoteReference"/>
        </w:rPr>
        <w:footnoteReference w:id="83"/>
      </w:r>
    </w:p>
    <w:p>
      <w:pPr>
        <w:pStyle w:val="Heading2"/>
        <w:bidi/>
        <w:spacing w:after="180" w:before="280"/>
      </w:pPr>
      <w:r>
        <w:rPr>
          <w:rFonts w:ascii="David" w:cs="David" w:eastAsia="David" w:hAnsi="David"/>
          <w:b/>
          <w:bCs/>
          <w:noProof/>
          <w:color w:val="000000"/>
          <w:sz w:val="28"/>
          <w:szCs w:val="28"/>
          <w:rtl/>
        </w:rPr>
        <w:t xml:space="preserve">ו.2 המשפט המצרי</w:t>
      </w:r>
    </w:p>
    <w:p>
      <w:pPr>
        <w:pStyle w:val="Heading3"/>
        <w:bidi/>
        <w:spacing w:after="140" w:before="220"/>
      </w:pPr>
      <w:r>
        <w:rPr>
          <w:rFonts w:ascii="David" w:cs="David" w:eastAsia="David" w:hAnsi="David"/>
          <w:b/>
          <w:bCs/>
          <w:noProof/>
          <w:color w:val="000000"/>
          <w:sz w:val="26"/>
          <w:szCs w:val="26"/>
          <w:rtl/>
        </w:rPr>
        <w:t xml:space="preserve">ו.2.1 העיקרון: אין קניין בלא רישום, והמציאות: אין רישום</w:t>
      </w:r>
    </w:p>
    <w:p>
      <w:pPr>
        <w:bidi/>
        <w:spacing w:after="0" w:line="360"/>
        <w:jc w:val="both"/>
      </w:pPr>
      <w:r>
        <w:rPr>
          <w:rFonts w:ascii="David" w:cs="David" w:eastAsia="David" w:hAnsi="David"/>
          <w:noProof/>
          <w:sz w:val="24"/>
          <w:szCs w:val="24"/>
          <w:rtl/>
        </w:rPr>
        <w:t xml:space="preserve">הקוד האזרחי המצרי משנת 1948, פרי עטו של עבד אל-רזאק אל-סנהורי, הגדיר את המכר כחוזה אובליגטורי, וקבע בסעיף 934 כי הבעלות במקרקעין אינה עוברת, לא בין הצדדים ולא כלפי צדדים שלישיים, אלא לפי חוק הפומביות המקרקעית; וחוק הרישום משלים בסעיף 9 כי בהיעדר רישום אין לעסקה אלא תוקף של חיובים אישיים.</w:t>
      </w:r>
      <w:r>
        <w:rPr>
          <w:rStyle w:val="FootnoteReference"/>
        </w:rPr>
        <w:footnoteReference w:id="84"/>
      </w:r>
      <w:r>
        <w:rPr>
          <w:rFonts w:ascii="David" w:cs="David" w:eastAsia="David" w:hAnsi="David"/>
          <w:noProof/>
          <w:sz w:val="24"/>
          <w:szCs w:val="24"/>
          <w:rtl/>
        </w:rPr>
        <w:t xml:space="preserve"> עד כאן, תאומו של סעיף 7 הישראלי; אלא שהפער בין הדין למציאות הוא תהום: לפי הצהרת שר המשפטים המצרי בשנת 2022, למעלה מ-90% מן הנכסים אינם רשומים, ושיעור הרישום נותר נמוך מ-10% גם לאחר הרפורמות.</w:t>
      </w:r>
      <w:r>
        <w:rPr>
          <w:rStyle w:val="FootnoteReference"/>
        </w:rPr>
        <w:footnoteReference w:id="85"/>
      </w:r>
      <w:r>
        <w:rPr>
          <w:rFonts w:ascii="David" w:cs="David" w:eastAsia="David" w:hAnsi="David"/>
          <w:noProof/>
          <w:sz w:val="24"/>
          <w:szCs w:val="24"/>
          <w:rtl/>
        </w:rPr>
        <w:t xml:space="preserve"> הגורמים מוכרים מפרק ה: אגרות הנגזרות משווי הנכס, הליכים ממושכים, דרישות תיעוד שאין בידי המחזיקים למלא, וחשש מחשיפה לרשויות המס.</w:t>
      </w:r>
      <w:r>
        <w:rPr>
          <w:rStyle w:val="FootnoteReference"/>
        </w:rPr>
        <w:footnoteReference w:id="86"/>
      </w:r>
    </w:p>
    <w:p>
      <w:pPr>
        <w:pStyle w:val="Heading3"/>
        <w:bidi/>
        <w:spacing w:after="140" w:before="220"/>
      </w:pPr>
      <w:r>
        <w:rPr>
          <w:rFonts w:ascii="David" w:cs="David" w:eastAsia="David" w:hAnsi="David"/>
          <w:b/>
          <w:bCs/>
          <w:noProof/>
          <w:color w:val="000000"/>
          <w:sz w:val="26"/>
          <w:szCs w:val="26"/>
          <w:rtl/>
        </w:rPr>
        <w:t xml:space="preserve">ו.2.2 הפרקטיקה: מכר בייפוי כוח בלתי הדיר ותביעות האימות</w:t>
      </w:r>
    </w:p>
    <w:p>
      <w:pPr>
        <w:bidi/>
        <w:spacing w:after="0" w:line="360"/>
        <w:jc w:val="both"/>
      </w:pPr>
      <w:r>
        <w:rPr>
          <w:rFonts w:ascii="David" w:cs="David" w:eastAsia="David" w:hAnsi="David"/>
          <w:noProof/>
          <w:sz w:val="24"/>
          <w:szCs w:val="24"/>
          <w:rtl/>
        </w:rPr>
        <w:t xml:space="preserve">בחלל שבין הדין למציאות צמחה במצרים אותה פרקטיקה עצמה, והיא שם שיטת ההעברה הדומיננטית: המוכר אינו רושם דבר אלא מעניק לקונה "תַוְכִּיל", ייפוי כוח בלתי הדיר המסמיך אותו לעשות בנכס כבשלו. הבסיס מצוי בסעיף 715 לקוד, שלפיו שליחות שניתנה לטובת השלוח או לטובת צד שלישי אינה ניתנת לביטול בלא הסכמת הנהנה, ממש כסעיף 14(ב) הישראלי; ונקודות התורפה זהות לאלו שנחשפו בפרק ג.</w:t>
      </w:r>
      <w:r>
        <w:rPr>
          <w:rStyle w:val="FootnoteReference"/>
        </w:rPr>
        <w:footnoteReference w:id="87"/>
      </w:r>
      <w:r>
        <w:rPr>
          <w:rFonts w:ascii="David" w:cs="David" w:eastAsia="David" w:hAnsi="David"/>
          <w:noProof/>
          <w:sz w:val="24"/>
          <w:szCs w:val="24"/>
          <w:rtl/>
        </w:rPr>
        <w:t xml:space="preserve"> לכך פיתח הדין המצרי שתי תביעות: "תביעת אימות החתימה" (דעוא צחת אל-תוקיע), שבה מאשר בית המשפט את אמיתות החתימה בלבד; ו"תביעת התוקף והנפקות" (דעוא צחה ונפאד׳), שבה מוצהר על תוקפו של חוזה המכר. התוצאה: בתי המשפט הופכים לתחליף למרשם, כשם שהוועדה המקומית ומחלקת הגבייה הופכות לתחליף כזה בישראל, כמתואר בפרק ד.5.</w:t>
      </w:r>
      <w:r>
        <w:rPr>
          <w:rStyle w:val="FootnoteReference"/>
        </w:rPr>
        <w:footnoteReference w:id="88"/>
      </w:r>
    </w:p>
    <w:p>
      <w:pPr>
        <w:pStyle w:val="Heading3"/>
        <w:bidi/>
        <w:spacing w:after="140" w:before="220"/>
      </w:pPr>
      <w:r>
        <w:rPr>
          <w:rFonts w:ascii="David" w:cs="David" w:eastAsia="David" w:hAnsi="David"/>
          <w:b/>
          <w:bCs/>
          <w:noProof/>
          <w:color w:val="000000"/>
          <w:sz w:val="26"/>
          <w:szCs w:val="26"/>
          <w:rtl/>
        </w:rPr>
        <w:t xml:space="preserve">ו.2.3 ההתיישנות הרוכשת (אלתקאדם אלמכסב): החיים חזקים מן הנייר</w:t>
      </w:r>
    </w:p>
    <w:p>
      <w:pPr>
        <w:bidi/>
        <w:spacing w:after="0" w:line="360"/>
        <w:jc w:val="both"/>
      </w:pPr>
      <w:r>
        <w:rPr>
          <w:rFonts w:ascii="David" w:cs="David" w:eastAsia="David" w:hAnsi="David"/>
          <w:noProof/>
          <w:sz w:val="24"/>
          <w:szCs w:val="24"/>
          <w:rtl/>
        </w:rPr>
        <w:t xml:space="preserve">כאן טמון ההבדל המבני החשוב ביותר. סעיף 968 לקוד קובע התיישנות רוכשת ארוכה: מי שהחזיק במקרקעין חזקה רצופה חמש עשרה שנים רוכש בהם בעלות, בלא צורך בשטר ובלא דרישת תום לב; וסעיף 969 מוסיף התיישנות מקוצרת בת חמש שנים מקום שההחזקה נסמכת על "עילה כשרה".</w:t>
      </w:r>
      <w:r>
        <w:rPr>
          <w:rStyle w:val="FootnoteReference"/>
        </w:rPr>
        <w:footnoteReference w:id="89"/>
      </w:r>
      <w:r>
        <w:rPr>
          <w:rFonts w:ascii="David" w:cs="David" w:eastAsia="David" w:hAnsi="David"/>
          <w:noProof/>
          <w:sz w:val="24"/>
          <w:szCs w:val="24"/>
          <w:rtl/>
        </w:rPr>
        <w:t xml:space="preserve"> אין זו הפקרת הבעלות: הדין מתנה את ההתיישנות בחזקה רצופה, שקטה, גלויה ובלתי דו משמעית, ומי שהחזיק מכוח הסכמת הבעלים אינו רוכש בעלות. ההבדל מן הדין הישראלי אינו בקפדנות הדרישות אלא בתוצאה: בישראל זוכה העומד בהן לכל היותר במחסום דיוני, ואילו במצרים הוא רוכש בעלות הניתנת לרישום ולהעברה.</w:t>
      </w:r>
      <w:r>
        <w:rPr>
          <w:rStyle w:val="FootnoteReference"/>
        </w:rPr>
        <w:footnoteReference w:id="90"/>
      </w:r>
      <w:r>
        <w:rPr>
          <w:rFonts w:ascii="David" w:cs="David" w:eastAsia="David" w:hAnsi="David"/>
          <w:noProof/>
          <w:sz w:val="24"/>
          <w:szCs w:val="24"/>
          <w:rtl/>
        </w:rPr>
        <w:t xml:space="preserve"> המשמעות מרחיקת לכת: האח שהחזיק חמש עשרה שנים ללא עוררין הוא בעל החלקה, והתיישנותו "מנקה" את שרשרת העסקאות ההיסטורית על פגמיה; זהו מנגנון המאפשר למערכת להשלים עם עסקאות שתיעודן אבד, והעדרו הוא שמכביד על הדין הישראלי.</w:t>
      </w:r>
    </w:p>
    <w:p>
      <w:pPr>
        <w:pStyle w:val="Heading3"/>
        <w:bidi/>
        <w:spacing w:after="140" w:before="220"/>
      </w:pPr>
      <w:r>
        <w:rPr>
          <w:rFonts w:ascii="David" w:cs="David" w:eastAsia="David" w:hAnsi="David"/>
          <w:b/>
          <w:bCs/>
          <w:noProof/>
          <w:color w:val="000000"/>
          <w:sz w:val="26"/>
          <w:szCs w:val="26"/>
          <w:rtl/>
        </w:rPr>
        <w:t xml:space="preserve">ו.2.4 הרפורמה של 2020–2022 ומקומה של השריעה</w:t>
      </w:r>
    </w:p>
    <w:p>
      <w:pPr>
        <w:bidi/>
        <w:spacing w:after="0" w:line="360"/>
        <w:jc w:val="both"/>
      </w:pPr>
      <w:r>
        <w:rPr>
          <w:rFonts w:ascii="David" w:cs="David" w:eastAsia="David" w:hAnsi="David"/>
          <w:noProof/>
          <w:sz w:val="24"/>
          <w:szCs w:val="24"/>
          <w:rtl/>
        </w:rPr>
        <w:t xml:space="preserve">בשנת 2020 ניסתה מצרים לכפות רישום בכוח: תיקון לחוק 114/1946 התנה חיבור נכסים לחשמל, למים ולגז בהוכחת רישום; פרץ זעם ציבורי, והיישום נדחה בשנתיים. בשנת 2022 בא היפוך הגישה: חוק מס׳ 9 לשנת 2022 קיצר את הליך הרישום לתקרה של 37 ימים, החליף את האגרות היחסיות באגרות קבועות ומתונות, והחשוב מכול, ניתק את הרישום מתשלום מס העסקה.</w:t>
      </w:r>
      <w:r>
        <w:rPr>
          <w:rStyle w:val="FootnoteReference"/>
        </w:rPr>
        <w:footnoteReference w:id="91"/>
      </w:r>
      <w:r>
        <w:rPr>
          <w:rFonts w:ascii="David" w:cs="David" w:eastAsia="David" w:hAnsi="David"/>
          <w:noProof/>
          <w:sz w:val="24"/>
          <w:szCs w:val="24"/>
          <w:rtl/>
        </w:rPr>
        <w:t xml:space="preserve"> שלושה לקחי מדיניות עולים מכך, וכולם נוגעים לשאלת המחקר השנייה: כפיית רישום בשלילת שירותים כשלה, משום שהטילה את מלוא הנטל על האזרח בלי להסיר חסם; המעבר לאגרה קבועה הפך את עלות הרישום לצפויה; והפרדת הרישום מן המס היא ויתור מודע על מנוף גבייה, מתוך הכרה שמרשם מתפקד הוא נכס ציבורי שערכו עולה על הכנסה שממילא אינה נגבית.</w:t>
      </w:r>
    </w:p>
    <w:p>
      <w:pPr>
        <w:bidi/>
        <w:spacing w:after="0" w:line="360"/>
        <w:ind w:firstLine="420"/>
        <w:jc w:val="both"/>
      </w:pPr>
      <w:r>
        <w:rPr>
          <w:rFonts w:ascii="David" w:cs="David" w:eastAsia="David" w:hAnsi="David"/>
          <w:noProof/>
          <w:sz w:val="24"/>
          <w:szCs w:val="24"/>
          <w:rtl/>
        </w:rPr>
        <w:t xml:space="preserve">אשר לכינוי "המשפט המצרי (השרעי)", הוא מדויק רק בחלקו: אף שהחוקה קובעת כי עקרונות השריעה הם המקור הראשי לחקיקה, דיני הקניין והחיובים קונטיננטליים ביסודם, והשריעה שולטת שליטה מלאה רק בדיני הירושה.</w:t>
      </w:r>
      <w:r>
        <w:rPr>
          <w:rStyle w:val="FootnoteReference"/>
        </w:rPr>
        <w:footnoteReference w:id="92"/>
      </w:r>
      <w:r>
        <w:rPr>
          <w:rFonts w:ascii="David" w:cs="David" w:eastAsia="David" w:hAnsi="David"/>
          <w:noProof/>
          <w:sz w:val="24"/>
          <w:szCs w:val="24"/>
          <w:rtl/>
        </w:rPr>
        <w:t xml:space="preserve"> צירוף זה, ירושה שרעית קוגנטית מעל מרשם ריק, מוליד במצרים את הסכסוך המוכר מבתי המשפט בנצרת: עיזבון בלתי רשום, מנות שרעיות תיאורטיות והחזקות בפועל שחילקה המשפחה בדרכה שלה.</w:t>
      </w:r>
    </w:p>
    <w:p>
      <w:pPr>
        <w:pStyle w:val="Heading2"/>
        <w:bidi/>
        <w:spacing w:after="180" w:before="280"/>
      </w:pPr>
      <w:r>
        <w:rPr>
          <w:rFonts w:ascii="David" w:cs="David" w:eastAsia="David" w:hAnsi="David"/>
          <w:b/>
          <w:bCs/>
          <w:noProof/>
          <w:color w:val="000000"/>
          <w:sz w:val="28"/>
          <w:szCs w:val="28"/>
          <w:rtl/>
        </w:rPr>
        <w:t xml:space="preserve">ו.3 המשפט השרעי האסלאמי</w:t>
      </w:r>
    </w:p>
    <w:p>
      <w:pPr>
        <w:pStyle w:val="Heading3"/>
        <w:bidi/>
        <w:spacing w:after="140" w:before="220"/>
      </w:pPr>
      <w:r>
        <w:rPr>
          <w:rFonts w:ascii="David" w:cs="David" w:eastAsia="David" w:hAnsi="David"/>
          <w:b/>
          <w:bCs/>
          <w:noProof/>
          <w:color w:val="000000"/>
          <w:sz w:val="26"/>
          <w:szCs w:val="26"/>
          <w:rtl/>
        </w:rPr>
        <w:t xml:space="preserve">ו.3.1 מקורות ושיטה: מן הפִקְה אל המג׳לה</w:t>
      </w:r>
    </w:p>
    <w:p>
      <w:pPr>
        <w:bidi/>
        <w:spacing w:after="0" w:line="360"/>
        <w:jc w:val="both"/>
      </w:pPr>
      <w:r>
        <w:rPr>
          <w:rFonts w:ascii="David" w:cs="David" w:eastAsia="David" w:hAnsi="David"/>
          <w:noProof/>
          <w:sz w:val="24"/>
          <w:szCs w:val="24"/>
          <w:rtl/>
        </w:rPr>
        <w:t xml:space="preserve">המשפט השרעי הקלאסי אינו מכיר מרשם זכויות: ההקניה נשענת על מעשים גלויים, והפומביות מושגת בקהילה ולא בפנקס. הקודיפיקציה הנודעת של הדין האזרחי השרעי בנוסחו החנפי היא המג׳לה העות׳מאנית (1869–1876), ושלושה מספריה נוגעים לענייננו: ספר המתנות, ספר השליחות וספר מרור הזמן.</w:t>
      </w:r>
      <w:r>
        <w:rPr>
          <w:rStyle w:val="FootnoteReference"/>
        </w:rPr>
        <w:footnoteReference w:id="93"/>
      </w:r>
      <w:r>
        <w:rPr>
          <w:rFonts w:ascii="David" w:cs="David" w:eastAsia="David" w:hAnsi="David"/>
          <w:noProof/>
          <w:sz w:val="24"/>
          <w:szCs w:val="24"/>
          <w:rtl/>
        </w:rPr>
        <w:t xml:space="preserve"> המג׳לה חלה בארץ ישראל תחת המנדט ולאחר קום המדינה עד שבוטלה בשנת 1984; ולכך שתי משמעויות: על עסקאות שקדמו לחוקים המחליפים חלים ככלל דיני המג׳לה, וגם לאחר הביטול הוסיפו כמה ממושגיה לעצב את התודעה המשפטית של הציבור.</w:t>
      </w:r>
      <w:r>
        <w:rPr>
          <w:rStyle w:val="FootnoteReference"/>
        </w:rPr>
        <w:footnoteReference w:id="94"/>
      </w:r>
    </w:p>
    <w:p>
      <w:pPr>
        <w:pStyle w:val="Heading3"/>
        <w:bidi/>
        <w:spacing w:after="140" w:before="220"/>
      </w:pPr>
      <w:r>
        <w:rPr>
          <w:rFonts w:ascii="David" w:cs="David" w:eastAsia="David" w:hAnsi="David"/>
          <w:b/>
          <w:bCs/>
          <w:noProof/>
          <w:color w:val="000000"/>
          <w:sz w:val="26"/>
          <w:szCs w:val="26"/>
          <w:rtl/>
        </w:rPr>
        <w:t xml:space="preserve">ו.3.2 מתנה (הִבָּה) ודרישת התפיסה (קַבְּץ׳)</w:t>
      </w:r>
    </w:p>
    <w:p>
      <w:pPr>
        <w:bidi/>
        <w:spacing w:after="0" w:line="360"/>
        <w:jc w:val="both"/>
      </w:pPr>
      <w:r>
        <w:rPr>
          <w:rFonts w:ascii="David" w:cs="David" w:eastAsia="David" w:hAnsi="David"/>
          <w:noProof/>
          <w:sz w:val="24"/>
          <w:szCs w:val="24"/>
          <w:rtl/>
        </w:rPr>
        <w:t xml:space="preserve">ספר המתנות מגלם את הדוקטרינה השרעית: המתנה נכרתת בהצעה ובקיבול, אך מושלמת רק בתפיסה. סעיף 837 קובע כי "המתנה נכרתת בהצעה וקיבול, ומושלמת בתפיסה"; סעיף 861, כי המקבל נעשה בעלים עם קבלת החזקה; וסעיף 862, כי הנותן רשאי לחזור בו כל עוד לא נמסרה. החזקה, לא הכתב ולא הרישום, היא אפוא קו פרשת המים הקנייני; ושני כללים משלימים מלמדים כי בתוך המשפחה גוברת יציבות ההענקה שהושלמה על חופש החזרה: מתנה שהושלמה בין קרובים מדרגה אוסרת אינה ניתנת לחזרה כלל, ואילו מתנת שכיב מרע ליורש טעונה הסכמת שאר היורשים.</w:t>
      </w:r>
      <w:r>
        <w:rPr>
          <w:rStyle w:val="FootnoteReference"/>
        </w:rPr>
        <w:footnoteReference w:id="95"/>
      </w:r>
    </w:p>
    <w:p>
      <w:pPr>
        <w:bidi/>
        <w:spacing w:after="0" w:line="360"/>
        <w:ind w:firstLine="420"/>
        <w:jc w:val="both"/>
      </w:pPr>
      <w:r>
        <w:rPr>
          <w:rFonts w:ascii="David" w:cs="David" w:eastAsia="David" w:hAnsi="David"/>
          <w:noProof/>
          <w:sz w:val="24"/>
          <w:szCs w:val="24"/>
          <w:rtl/>
        </w:rPr>
        <w:t xml:space="preserve">כאן מתגלה המפתח ההיסטורי להבנת הפרקטיקה הנחקרת. תחת המג׳לה, אב שמסר לבנו את החזקה בחלקה השלים את המתנה; שום רישום לא נדרש, והחזרה נחסמה הן מחמת הקרבה הן מחמת התפיסה, וייפוי הכוח הבלתי חוזר שנוסף לפרקטיקה שימש שכבת ביטחון מנהלית בלבד. במונחי הדין שהמשפחות הכירו, "חזקה + ייפוי כוח" לא הייתה עסקה חסרה אלא עסקה שלמה; רק חוק המקרקעין, בהפכו את הרישום לקונסטיטוטיבי, הפך למפרע את השלם לחסר, והפער התודעתי הזה הוא המצע העמוק של הסכסוכים.</w:t>
      </w:r>
      <w:r>
        <w:rPr>
          <w:rStyle w:val="FootnoteReference"/>
        </w:rPr>
        <w:footnoteReference w:id="96"/>
      </w:r>
    </w:p>
    <w:p>
      <w:pPr>
        <w:pStyle w:val="Heading3"/>
        <w:bidi/>
        <w:spacing w:after="140" w:before="220"/>
      </w:pPr>
      <w:r>
        <w:rPr>
          <w:rFonts w:ascii="David" w:cs="David" w:eastAsia="David" w:hAnsi="David"/>
          <w:b/>
          <w:bCs/>
          <w:noProof/>
          <w:color w:val="000000"/>
          <w:sz w:val="26"/>
          <w:szCs w:val="26"/>
          <w:rtl/>
        </w:rPr>
        <w:t xml:space="preserve">ו.3.3 חִיאזָה ו"וַצְ׳ע אל-יַד": עליונות ההחזקה בפועל</w:t>
      </w:r>
    </w:p>
    <w:p>
      <w:pPr>
        <w:bidi/>
        <w:spacing w:after="0" w:line="360"/>
        <w:jc w:val="both"/>
      </w:pPr>
      <w:r>
        <w:rPr>
          <w:rFonts w:ascii="David" w:cs="David" w:eastAsia="David" w:hAnsi="David"/>
          <w:noProof/>
          <w:sz w:val="24"/>
          <w:szCs w:val="24"/>
          <w:rtl/>
        </w:rPr>
        <w:t xml:space="preserve">המענה השרעי לשאלת היעדר הרישום גלום במוסד החִיאזָה ובמושג "וַצְ׳ע אל-יַד", ההחזקה הגלויה כמקור לגיטימציה, ושני ביטויים נורמטיביים לו: דיני מרור הזמן שבמג׳לה, שלפיהם תביעה במקרקעי מוּלְכּ שננטשה חמש עשרה שנים "לא תישמע" עוד, בעוד סעיף 1674 מבהיר כי חלוף הזמן חוסם את שמיעת התביעה אך אינו מפקיע את הזכות, מקורה ההיסטורי הישיר של ההתיישנות הדיונית הישראלית;</w:t>
      </w:r>
      <w:r>
        <w:rPr>
          <w:rStyle w:val="FootnoteReference"/>
        </w:rPr>
        <w:footnoteReference w:id="97"/>
      </w:r>
      <w:r>
        <w:rPr>
          <w:rFonts w:ascii="David" w:cs="David" w:eastAsia="David" w:hAnsi="David"/>
          <w:noProof/>
          <w:sz w:val="24"/>
          <w:szCs w:val="24"/>
          <w:rtl/>
        </w:rPr>
        <w:t xml:space="preserve"> וסעיף 78 לחוק הקרקעות העות׳מאני, שהעניק למי שהחזיק ועיבד קרקע מירי עשר שנים זכות לקבל שטר טאבו: ההחזקה מבשילה לרישום, ולא להפך.</w:t>
      </w:r>
      <w:r>
        <w:rPr>
          <w:rStyle w:val="FootnoteReference"/>
        </w:rPr>
        <w:footnoteReference w:id="98"/>
      </w:r>
      <w:r>
        <w:rPr>
          <w:rFonts w:ascii="David" w:cs="David" w:eastAsia="David" w:hAnsi="David"/>
          <w:noProof/>
          <w:sz w:val="24"/>
          <w:szCs w:val="24"/>
          <w:rtl/>
        </w:rPr>
        <w:t xml:space="preserve"> ראייה לכוחה מצויה, שלא במודע, בעניין </w:t>
      </w:r>
      <w:r>
        <w:rPr>
          <w:rFonts w:ascii="David" w:cs="David" w:eastAsia="David" w:hAnsi="David"/>
          <w:b/>
          <w:bCs/>
          <w:noProof/>
          <w:sz w:val="24"/>
          <w:szCs w:val="24"/>
          <w:rtl/>
        </w:rPr>
        <w:t xml:space="preserve">אבו ג׳נימה</w:t>
      </w:r>
      <w:r>
        <w:rPr>
          <w:rFonts w:ascii="David" w:cs="David" w:eastAsia="David" w:hAnsi="David"/>
          <w:noProof/>
          <w:sz w:val="24"/>
          <w:szCs w:val="24"/>
          <w:rtl/>
        </w:rPr>
        <w:t xml:space="preserve">: המשקל המכריע שנתן בית המשפט להחזקה גלויה בת עשרות שנים ולשתיקת בני המשפחה הוא, במונחים שרעיים, הכרה בחיאזה. עם זאת אין להפריז: המודל עובד כל עוד הקהילה קטנה ובעלת זיכרון משותף, והוא מקפח את מי שאינו נוכח בשטח, ובראשן נשים שעזבו את הכפר עם נישואיהן.</w:t>
      </w:r>
    </w:p>
    <w:p>
      <w:pPr>
        <w:pStyle w:val="Heading3"/>
        <w:bidi/>
        <w:spacing w:after="140" w:before="220"/>
      </w:pPr>
      <w:r>
        <w:rPr>
          <w:rFonts w:ascii="David" w:cs="David" w:eastAsia="David" w:hAnsi="David"/>
          <w:b/>
          <w:bCs/>
          <w:noProof/>
          <w:color w:val="000000"/>
          <w:sz w:val="26"/>
          <w:szCs w:val="26"/>
          <w:rtl/>
        </w:rPr>
        <w:t xml:space="preserve">ו.3.4 שליחות (וַכַּאלָה), ירושה שרעית ודפוסי המשפחה</w:t>
      </w:r>
    </w:p>
    <w:p>
      <w:pPr>
        <w:bidi/>
        <w:spacing w:after="0" w:line="360"/>
        <w:jc w:val="both"/>
      </w:pPr>
      <w:r>
        <w:rPr>
          <w:rFonts w:ascii="David" w:cs="David" w:eastAsia="David" w:hAnsi="David"/>
          <w:noProof/>
          <w:sz w:val="24"/>
          <w:szCs w:val="24"/>
          <w:rtl/>
        </w:rPr>
        <w:t xml:space="preserve">גם מוסד ייפוי הכוח שרעי במקורו: ספר השליחות קובע כי השולח רשאי לסלק את שלוחו, אלא אם נקשרה בשליחות זכותו של אחר; ואין זו השערה גנאלוגית, שכן ברק מציין במפורש כי בעיצוב ההרשאה להבטחת זכותו של אחר הלך המחוקק "בעקבות המג׳לה".</w:t>
      </w:r>
      <w:r>
        <w:rPr>
          <w:rStyle w:val="FootnoteReference"/>
        </w:rPr>
        <w:footnoteReference w:id="99"/>
      </w:r>
      <w:r>
        <w:rPr>
          <w:rFonts w:ascii="David" w:cs="David" w:eastAsia="David" w:hAnsi="David"/>
          <w:noProof/>
          <w:sz w:val="24"/>
          <w:szCs w:val="24"/>
          <w:rtl/>
        </w:rPr>
        <w:t xml:space="preserve"> ואילו דיני הירושה השרעיים מקצים מנות קבועות, ובהן מנה לבנות השווה למחצית מנת הבנים, ועל רקע זה התפתחו דפוסים מתועדים היטב: השהיית חלוקת העיזבון דור ומעלה; "תַחַ׳ארוּג׳", הסתלקות יורש כנגד פיצוי; וויתור, ולעיתים כפוי חברתית, של נשים לטובת אחיהן; והווַקְף הזֻ׳רִי, ההקדש המשפחתי, שעקבותיו ניכרים במרשם עד היום.</w:t>
      </w:r>
      <w:r>
        <w:rPr>
          <w:rStyle w:val="FootnoteReference"/>
        </w:rPr>
        <w:footnoteReference w:id="100"/>
      </w:r>
      <w:r>
        <w:rPr>
          <w:rFonts w:ascii="David" w:cs="David" w:eastAsia="David" w:hAnsi="David"/>
          <w:noProof/>
          <w:sz w:val="24"/>
          <w:szCs w:val="24"/>
          <w:rtl/>
        </w:rPr>
        <w:t xml:space="preserve"> ובמישור הקרקעי נתקל חוק הקרקעות העות׳מאני בהתחמקות המונית: איכרים רשמו את אדמותיהם על שם נכבדים או נמנעו מרישום כליל.</w:t>
      </w:r>
      <w:r>
        <w:rPr>
          <w:rStyle w:val="FootnoteReference"/>
        </w:rPr>
        <w:footnoteReference w:id="101"/>
      </w:r>
      <w:r>
        <w:rPr>
          <w:rFonts w:ascii="David" w:cs="David" w:eastAsia="David" w:hAnsi="David"/>
          <w:noProof/>
          <w:sz w:val="24"/>
          <w:szCs w:val="24"/>
          <w:rtl/>
        </w:rPr>
        <w:t xml:space="preserve"> צירופם של אלה מסביר מדוע רבים מן הסכסוכים נסבים לא על השאלה "של מי הקרקע" אלא על השאלה "מה סוכם בין הדורות".</w:t>
      </w:r>
    </w:p>
    <w:p>
      <w:pPr>
        <w:pStyle w:val="Heading2"/>
        <w:bidi/>
        <w:spacing w:after="180" w:before="280"/>
      </w:pPr>
      <w:r>
        <w:rPr>
          <w:rFonts w:ascii="David" w:cs="David" w:eastAsia="David" w:hAnsi="David"/>
          <w:b/>
          <w:bCs/>
          <w:noProof/>
          <w:color w:val="000000"/>
          <w:sz w:val="28"/>
          <w:szCs w:val="28"/>
          <w:rtl/>
        </w:rPr>
        <w:t xml:space="preserve">ו.4 ניתוח השוואתי: ארבעה צירים ולקחיהם</w:t>
      </w:r>
    </w:p>
    <w:p>
      <w:pPr>
        <w:bidi/>
        <w:spacing w:after="0" w:line="360"/>
        <w:jc w:val="both"/>
      </w:pPr>
      <w:r>
        <w:rPr>
          <w:rFonts w:ascii="David" w:cs="David" w:eastAsia="David" w:hAnsi="David"/>
          <w:b/>
          <w:bCs/>
          <w:noProof/>
          <w:sz w:val="24"/>
          <w:szCs w:val="24"/>
          <w:rtl/>
        </w:rPr>
        <w:t xml:space="preserve">הציר הראשון: מעמד הרוכש הבלתי רשום. </w:t>
      </w:r>
      <w:r>
        <w:rPr>
          <w:rFonts w:ascii="David" w:cs="David" w:eastAsia="David" w:hAnsi="David"/>
          <w:noProof/>
          <w:sz w:val="24"/>
          <w:szCs w:val="24"/>
          <w:rtl/>
        </w:rPr>
        <w:t xml:space="preserve">שלוש השיטות המודרניות מסכימות על נקודת המוצא, אך נבדלות במה שנותר בידי מי שלא נרשם: באנגליה, בעלות שביושר מלאה, העשויה לגבור על רוכש רשום מכוח תפיסה ממשית; בישראל, זכות שביושר הגוברת על נושים אך נסוגה מפני רוכש רשום תם לב; ובמצרים, חיוב אישי בלבד. המשפט השרעי ניצב מחוץ לציר, שכן בהיעדר מרשם התפיסה עצמה היא ההקניה; והדין הישראלי ממוקם בתווך, כשהפסיקה בסכסוכים המשפחתיים מטה אותו בפועל לונדונה. </w:t>
      </w:r>
      <w:r>
        <w:rPr>
          <w:rFonts w:ascii="David" w:cs="David" w:eastAsia="David" w:hAnsi="David"/>
          <w:b/>
          <w:bCs/>
          <w:noProof/>
          <w:sz w:val="24"/>
          <w:szCs w:val="24"/>
          <w:rtl/>
        </w:rPr>
        <w:t xml:space="preserve">הציר השני: מכשיר העקיפה. </w:t>
      </w:r>
      <w:r>
        <w:rPr>
          <w:rFonts w:ascii="David" w:cs="David" w:eastAsia="David" w:hAnsi="David"/>
          <w:noProof/>
          <w:sz w:val="24"/>
          <w:szCs w:val="24"/>
          <w:rtl/>
        </w:rPr>
        <w:t xml:space="preserve">באנגליה התחליף שיפוטי (נאמנות משתמעת והשתק קנייני); במצרים ובחברה הערבית בישראל, מסמך פרטי (ייפוי הכוח הבלתי הדיר); ובשריעה, עובדתי (הקבּץ׳ והחיאזה). המקבילה המבנית בין מצרים לחברה הערבית בישראל היא הממצא ההשוואתי המרכזי של עבודה זו: אותו מכשיר עצמו, מאותם טעמים ועם אותן נקודות תורפה; והדמיון אינו מקרה, שכן שתי האוכלוסיות יורשות של אותה מסורת עות׳מאנית ושרעית שנתקלה במרשם מודרני בלא שהוסרו חסמי הגישה אליו.</w:t>
      </w:r>
    </w:p>
    <w:p>
      <w:pPr>
        <w:bidi/>
        <w:spacing w:after="0" w:line="360"/>
        <w:ind w:firstLine="420"/>
        <w:jc w:val="both"/>
      </w:pPr>
      <w:r>
        <w:rPr>
          <w:rFonts w:ascii="David" w:cs="David" w:eastAsia="David" w:hAnsi="David"/>
          <w:b/>
          <w:bCs/>
          <w:noProof/>
          <w:sz w:val="24"/>
          <w:szCs w:val="24"/>
          <w:rtl/>
        </w:rPr>
        <w:t xml:space="preserve">הציר השלישי: ההעברה הפנים משפחתית וההחזקה רבת השנים. </w:t>
      </w:r>
      <w:r>
        <w:rPr>
          <w:rFonts w:ascii="David" w:cs="David" w:eastAsia="David" w:hAnsi="David"/>
          <w:noProof/>
          <w:sz w:val="24"/>
          <w:szCs w:val="24"/>
          <w:rtl/>
        </w:rPr>
        <w:t xml:space="preserve">השריעה מקשיחה את ההקניה (דרישת תפיסה) ומרככת את החזרה (איסור חזרה בין קרובים); מצרים מתרגמת רעיון זה ללשון חקיקתית: חמש עשרה שנות חזקה, בעלות; והאנגלים מרככים את הצורה עצמה. הדין הישראלי משלב דרישת כתב קשיחה עם שסתומי יושר, אך בלא מסלול שבו החזקה כשלעצמה מבשילה לזכות, ולכן השילוב עובד במחיר אי ודאות ניכר. </w:t>
      </w:r>
      <w:r>
        <w:rPr>
          <w:rFonts w:ascii="David" w:cs="David" w:eastAsia="David" w:hAnsi="David"/>
          <w:b/>
          <w:bCs/>
          <w:noProof/>
          <w:sz w:val="24"/>
          <w:szCs w:val="24"/>
          <w:rtl/>
        </w:rPr>
        <w:t xml:space="preserve">הציר הרביעי: היחס בין המרשם למס. </w:t>
      </w:r>
      <w:r>
        <w:rPr>
          <w:rFonts w:ascii="David" w:cs="David" w:eastAsia="David" w:hAnsi="David"/>
          <w:noProof/>
          <w:sz w:val="24"/>
          <w:szCs w:val="24"/>
          <w:rtl/>
        </w:rPr>
        <w:t xml:space="preserve">כאן מציעה ההשוואה את לקח המדיניות החד ביותר: אנגליה מעולם לא כרכה את הרישום בגביית מסי העסקה במלוא החומרה הישראלית; מצרים כרכה, קצרה אי רישום של תשעים אחוזים, ומשהבינה זאת ניתקה בשנת 2022 את הרישום מן המס; וישראל עודנה מחזיקה בצימוד מלא. הניסיון המצרי מלמד שצימוד כזה, ביישומו על אוכלוסייה שבה אי הרישום הוא נחלת הכלל, אינו מגבה את הגבייה אלא מקבע אותו. ארבעת הצירים יחדיו מספקים את המסד לפרק הדיון.</w:t>
      </w:r>
    </w:p>
    <w:p>
      <w:pPr>
        <w:pStyle w:val="Heading1"/>
        <w:bidi/>
        <w:spacing w:after="240" w:before="360"/>
      </w:pPr>
      <w:r>
        <w:rPr>
          <w:rFonts w:ascii="David" w:cs="David" w:eastAsia="David" w:hAnsi="David"/>
          <w:b/>
          <w:bCs/>
          <w:noProof/>
          <w:color w:val="000000"/>
          <w:sz w:val="32"/>
          <w:szCs w:val="32"/>
          <w:rtl/>
        </w:rPr>
        <w:t xml:space="preserve">פרק ז: דיון</w:t>
      </w:r>
    </w:p>
    <w:p>
      <w:pPr>
        <w:bidi/>
        <w:spacing w:after="0" w:line="360"/>
        <w:jc w:val="both"/>
      </w:pPr>
      <w:r>
        <w:rPr>
          <w:rFonts w:ascii="David" w:cs="David" w:eastAsia="David" w:hAnsi="David"/>
          <w:noProof/>
          <w:sz w:val="24"/>
          <w:szCs w:val="24"/>
          <w:rtl/>
        </w:rPr>
        <w:t xml:space="preserve">שלוש שאלות המחקר נבחנו כל אחת בפרקה, אך רק משמניחים את הממצאים זה לצד זה מתגלה כי אלה שלושה פנים של תופעה אחת. הכלים שבהם מכריעים בתי המשפט הם התגובה השיפוטית לחלל שיצר "מסך המרשם" בהיפגשו עם דפוסי הקניין המשפחתיים; המשקל שניתן להיתרי הבנייה ולארנונה הוא תוצר של אותו חלל; ו"התניית הרישום" במס היא המנוע המבני המשמר אותו. נוצר מעגל סגור: חסם הכניסה למרשם מנציח את אי הרישום; אי הרישום דוחק את המשפחות אל תחליפים פרטיים ומנהליים; התחליפים קורסים בחילופי הדורות אל תוך סכסוך; ואף פסק הדין שבסוף הדרך אינו ניתן לרישום, שכן החסם הפיסקלי עודנו ניצב. אין זה כשל אכיפה אלא כשל תכנוני של הדין עצמו, שהניח מציאות חברתית אחת והוחל על אחרת; וההשוואה לימדה שהמעגל אינו ייחודי לישראל. ייחודו הישראלי הוא בכך שהוא פוגע באוכלוסייה מובחנת בעוד הדין הכללי מתפקד היטב עבור השוק המסחרי, כשל חלוקתי במונחי פרק א.</w:t>
      </w:r>
    </w:p>
    <w:p>
      <w:pPr>
        <w:bidi/>
        <w:spacing w:after="0" w:line="360"/>
        <w:ind w:firstLine="420"/>
        <w:jc w:val="both"/>
      </w:pPr>
      <w:r>
        <w:rPr>
          <w:rFonts w:ascii="David" w:cs="David" w:eastAsia="David" w:hAnsi="David"/>
          <w:noProof/>
          <w:sz w:val="24"/>
          <w:szCs w:val="24"/>
          <w:rtl/>
        </w:rPr>
        <w:t xml:space="preserve">על רקע זה יש להעריך את ההישג הפסיקתי, וההערכה כפולת פנים. במישור המקרה הבודד לפנינו הצלחה, שכן הפסיקה מנעה תוצאות בלתי צודקות: מהכרה בזכותה שביושר של רוכשת שהחזיקה בדירתה חמישים שנה,</w:t>
      </w:r>
      <w:r>
        <w:rPr>
          <w:rStyle w:val="FootnoteReference"/>
        </w:rPr>
        <w:footnoteReference w:id="102"/>
      </w:r>
      <w:r>
        <w:rPr>
          <w:rFonts w:ascii="David" w:cs="David" w:eastAsia="David" w:hAnsi="David"/>
          <w:noProof/>
          <w:sz w:val="24"/>
          <w:szCs w:val="24"/>
          <w:rtl/>
        </w:rPr>
        <w:t xml:space="preserve"> דרך אכיפת עסקה משנת 1968 שמסמכיה אבדו,</w:t>
      </w:r>
      <w:r>
        <w:rPr>
          <w:rStyle w:val="FootnoteReference"/>
        </w:rPr>
        <w:footnoteReference w:id="103"/>
      </w:r>
      <w:r>
        <w:rPr>
          <w:rFonts w:ascii="David" w:cs="David" w:eastAsia="David" w:hAnsi="David"/>
          <w:noProof/>
          <w:sz w:val="24"/>
          <w:szCs w:val="24"/>
          <w:rtl/>
        </w:rPr>
        <w:t xml:space="preserve"> ועד ביטול רישום מאוחר שנעשה תוך עקיפת ייפוי כוח משפחתי מוקדם.</w:t>
      </w:r>
      <w:r>
        <w:rPr>
          <w:rStyle w:val="FootnoteReference"/>
        </w:rPr>
        <w:footnoteReference w:id="104"/>
      </w:r>
      <w:r>
        <w:rPr>
          <w:rFonts w:ascii="David" w:cs="David" w:eastAsia="David" w:hAnsi="David"/>
          <w:noProof/>
          <w:sz w:val="24"/>
          <w:szCs w:val="24"/>
          <w:rtl/>
        </w:rPr>
        <w:t xml:space="preserve"> ואולם דווקא ההצלחה הנקודתית מסתירה כישלון מערכתי: כל אחד מן הכלים הוא חריג שנבנה על חריג, ומשטר הנשען על הערכה שיפוטית בדיעבד של הגינות והסתמכות מייצר תוצאות המשתנות מתיק לתיק ומשופט לשופט; אי הוודאות מקשה על פשרה ומוסיפה דלק להתדיינות, והתדיינות פנים משפחתית מותירה קרעים שאינם מתאחים בקהילות שבהן הצדדים ימשיכו לחיות זה לצד זה; והכלים כולם פועלים במישור הבין אישי ואינם מייצרים רישום, כך שהזוכה המושלם, שהוכיח את עסקתו וזכה להצהרה, נותר עומד לפני אותו מחסום מס שהרתיע את אביו ואת סבו לפניו.</w:t>
      </w:r>
    </w:p>
    <w:p>
      <w:pPr>
        <w:bidi/>
        <w:spacing w:after="0" w:line="360"/>
        <w:ind w:firstLine="420"/>
        <w:jc w:val="both"/>
      </w:pPr>
      <w:r>
        <w:rPr>
          <w:rFonts w:ascii="David" w:cs="David" w:eastAsia="David" w:hAnsi="David"/>
          <w:noProof/>
          <w:sz w:val="24"/>
          <w:szCs w:val="24"/>
          <w:rtl/>
        </w:rPr>
        <w:t xml:space="preserve">המבט ההשוואתי מעניק לביקורת קנה מידה וכיוון. מן הדין האנגלי עולה כי גמישות שיפוטית אינה חייבת להיות חסרת צורה: ההשתק הקנייני, שצמח באותם סכסוכי משק משפחתי עצמם, הוא עילה סדורה בת יסודות מוגדרים;</w:t>
      </w:r>
      <w:r>
        <w:rPr>
          <w:rStyle w:val="FootnoteReference"/>
        </w:rPr>
        <w:footnoteReference w:id="105"/>
      </w:r>
      <w:r>
        <w:rPr>
          <w:rFonts w:ascii="David" w:cs="David" w:eastAsia="David" w:hAnsi="David"/>
          <w:noProof/>
          <w:sz w:val="24"/>
          <w:szCs w:val="24"/>
          <w:rtl/>
        </w:rPr>
        <w:t xml:space="preserve"> ואילו הלכת </w:t>
      </w:r>
      <w:r>
        <w:rPr>
          <w:rFonts w:ascii="David" w:cs="David" w:eastAsia="David" w:hAnsi="David"/>
          <w:b/>
          <w:bCs/>
          <w:noProof/>
          <w:sz w:val="24"/>
          <w:szCs w:val="24"/>
          <w:rtl/>
        </w:rPr>
        <w:t xml:space="preserve">קלמר</w:t>
      </w:r>
      <w:r>
        <w:rPr>
          <w:rFonts w:ascii="David" w:cs="David" w:eastAsia="David" w:hAnsi="David"/>
          <w:noProof/>
          <w:sz w:val="24"/>
          <w:szCs w:val="24"/>
          <w:rtl/>
        </w:rPr>
        <w:t xml:space="preserve"> עושה את אותה מלאכה בלא המסגרת, ולכן בלא היכולת לבקר את הפעלתה ובלא שהציבור יכול לכלכל צעדיו על פיה; והעובדה שהדוקטרינה הישראלית עצמה כבר קוראת לעצמה "השתק קנייני" מלמדת שהמסגור המוצע אינו שאילה זרה אלא הודאה במקור קיים. מן הדין המצרי עולה הלקח ההפוך: מקום שהמחוקק אינו מתקן את החסם המבני, שום תחכום של תחליפים אינו בולם את קריסת המרשם, ומשהבינה זאת מצרים בחרה ברפורמת 2022 לוותר על מנוף הגבייה כדי להציל את הפנקס. ומן המשפט השרעי עולה תובנה שלישית: שיטה יכולה להשתית יציבות קניינית על עובדה חברתית גלויה ולא על פנקס, ויש בכך כדי להצדיק מתן משקל גדול בהרבה להחזקה ארוכת שנים שאין חולק עליה.</w:t>
      </w:r>
    </w:p>
    <w:p>
      <w:pPr>
        <w:bidi/>
        <w:spacing w:after="0" w:line="360"/>
        <w:ind w:firstLine="420"/>
        <w:jc w:val="both"/>
      </w:pPr>
      <w:r>
        <w:rPr>
          <w:rFonts w:ascii="David" w:cs="David" w:eastAsia="David" w:hAnsi="David"/>
          <w:noProof/>
          <w:sz w:val="24"/>
          <w:szCs w:val="24"/>
          <w:rtl/>
        </w:rPr>
        <w:t xml:space="preserve">משלושת הלקחים נגזרים כיווני התיקון, והם חייבים לפעול בשלושת המישורים בעת ובעונה אחת, שכן המעגל אינו ניתן לשבירה בנקודה אחת. במישור החקיקתי והפיסקלי, פריצת המעגל מתחילה בנקודה שזיהתה מצרים: הוראת שעה להסדרת עסקאות פנים משפחתיות היסטוריות, שתכלול ויתור על קנסות וריבית (להבדיל מקרן המס), תקרת חבות ומסלול שומה מקוצר לעסקאות שמסמכיהן אבדו. עלות הוויתור נמוכה משנדמה, שכן המס ההיסטורי ממילא אינו נגבה, ואילו התועלת שבהכנסת דור שלם של נכסים למרשם ולבסיס המס העתידי ניכרת.</w:t>
      </w:r>
      <w:r>
        <w:rPr>
          <w:rStyle w:val="FootnoteReference"/>
        </w:rPr>
        <w:footnoteReference w:id="106"/>
      </w:r>
      <w:r>
        <w:rPr>
          <w:rFonts w:ascii="David" w:cs="David" w:eastAsia="David" w:hAnsi="David"/>
          <w:noProof/>
          <w:sz w:val="24"/>
          <w:szCs w:val="24"/>
          <w:rtl/>
        </w:rPr>
        <w:t xml:space="preserve"> במישור המוסדי, יש להשלים את הליכי ההסדר ביישובים שבהם לא הושלמו, הפעם בשיתוף הקהילות ובהכרה בראיות ההחזקה המסורתיות, ולצדם לשקול מסלול "רישום ראשון מוסכם" לחלוקות משפחתיות שאין עליהן מחלוקת.</w:t>
      </w:r>
      <w:r>
        <w:rPr>
          <w:rStyle w:val="FootnoteReference"/>
        </w:rPr>
        <w:footnoteReference w:id="107"/>
      </w:r>
      <w:r>
        <w:rPr>
          <w:rFonts w:ascii="David" w:cs="David" w:eastAsia="David" w:hAnsi="David"/>
          <w:noProof/>
          <w:sz w:val="24"/>
          <w:szCs w:val="24"/>
          <w:rtl/>
        </w:rPr>
        <w:t xml:space="preserve"> ובמישור השיפוטי, ראוי לעגן את המדרג הראייתי שהותווה בפרק ד ולהכיר בכך שהיעדר מסמכים ואי דיווח היסטורי הם נורמה תרבותית ולא אינדיקציה לחוסר אמינות; להמשיג, ברוח הדין האנגלי, "השתק קנייני ישראלי" בן ארבעה יסודות שיחליף את הפנייה לזעקת ההגינות; ולהקנות לבתי המשפט לענייני משפחה סמכות להורות, אגב פסק הדין, על השלמת הרישום בכפוף להסדרת המס. שלושת המישורים תלויים זה בזה: בלא ההקלה הפיסקלית יישאר העיגון השיפוטי הצהרתי; בלא המסגור הדוקטרינרי תישאר ההקלה בלתי מנוצלת בידי מי שאינו יכול להוכיח את עסקתו; ובלא השלמת ההסדר יוסיף כל דור להוריש לדור הבא סכסוך גדול משהוריש לו קודמו. רק פעולה משולבת תהפוך את הדרך אל המרשם מחומה לגשר.</w:t>
      </w:r>
    </w:p>
    <w:p>
      <w:pPr>
        <w:pStyle w:val="Heading1"/>
        <w:bidi/>
        <w:spacing w:after="240" w:before="360"/>
      </w:pPr>
      <w:r>
        <w:rPr>
          <w:rFonts w:ascii="David" w:cs="David" w:eastAsia="David" w:hAnsi="David"/>
          <w:b/>
          <w:bCs/>
          <w:noProof/>
          <w:color w:val="000000"/>
          <w:sz w:val="32"/>
          <w:szCs w:val="32"/>
          <w:rtl/>
        </w:rPr>
        <w:t xml:space="preserve">סיכום ומסקנות</w:t>
      </w:r>
    </w:p>
    <w:p>
      <w:pPr>
        <w:bidi/>
        <w:spacing w:after="0" w:line="360"/>
        <w:jc w:val="both"/>
      </w:pPr>
      <w:r>
        <w:rPr>
          <w:rFonts w:ascii="David" w:cs="David" w:eastAsia="David" w:hAnsi="David"/>
          <w:b/>
          <w:bCs/>
          <w:noProof/>
          <w:sz w:val="24"/>
          <w:szCs w:val="24"/>
          <w:rtl/>
        </w:rPr>
        <w:t xml:space="preserve">לשאלת המחקר הראשונה</w:t>
      </w:r>
      <w:r>
        <w:rPr>
          <w:rFonts w:ascii="David" w:cs="David" w:eastAsia="David" w:hAnsi="David"/>
          <w:noProof/>
          <w:sz w:val="24"/>
          <w:szCs w:val="24"/>
          <w:rtl/>
        </w:rPr>
        <w:t xml:space="preserve"> (כלי ההכרעה בהיעדר רישום) העלה העיון ארגז כלים עשיר אך מדורג: הזכות שביושר מכוח הלכת </w:t>
      </w:r>
      <w:r>
        <w:rPr>
          <w:rFonts w:ascii="David" w:cs="David" w:eastAsia="David" w:hAnsi="David"/>
          <w:b/>
          <w:bCs/>
          <w:noProof/>
          <w:sz w:val="24"/>
          <w:szCs w:val="24"/>
          <w:rtl/>
        </w:rPr>
        <w:t xml:space="preserve">אהרונוב</w:t>
      </w:r>
      <w:r>
        <w:rPr>
          <w:rFonts w:ascii="David" w:cs="David" w:eastAsia="David" w:hAnsi="David"/>
          <w:noProof/>
          <w:sz w:val="24"/>
          <w:szCs w:val="24"/>
          <w:rtl/>
        </w:rPr>
        <w:t xml:space="preserve"> היא עמוד השדרה, המקנה למחזיק הבלתי רשום מעמד מהותי מוגן; ייפוי הכוח הבלתי חוזר הוכר הן כמסמך הממלא את דרישת הכתב הן כוויתור על זכות החזרה ממתנה; עקרון תום הלב ו"זעקת ההגינות" משמשים שסתום למקרי הקיצון שבהם אין כל מסמך; והרישיון במקרקעין מגן על מי שהחזיק בהסכמה בלא עסקה. ואולם, כפי שהראה פרק ז, זהו מענה שיפוטי בדיעבד: הוא מציל את המקרה הקונקרטי ואינו מרפא את הכשל המבני.</w:t>
      </w:r>
    </w:p>
    <w:p>
      <w:pPr>
        <w:bidi/>
        <w:spacing w:after="0" w:line="360"/>
        <w:ind w:firstLine="420"/>
        <w:jc w:val="both"/>
      </w:pPr>
      <w:r>
        <w:rPr>
          <w:rFonts w:ascii="David" w:cs="David" w:eastAsia="David" w:hAnsi="David"/>
          <w:b/>
          <w:bCs/>
          <w:noProof/>
          <w:sz w:val="24"/>
          <w:szCs w:val="24"/>
          <w:rtl/>
        </w:rPr>
        <w:t xml:space="preserve">לשאלת המחקר השנייה</w:t>
      </w:r>
      <w:r>
        <w:rPr>
          <w:rFonts w:ascii="David" w:cs="David" w:eastAsia="David" w:hAnsi="David"/>
          <w:noProof/>
          <w:sz w:val="24"/>
          <w:szCs w:val="24"/>
          <w:rtl/>
        </w:rPr>
        <w:t xml:space="preserve"> (התניית הרישום במס) נמצא כי הצימוד שבין המרשם לרשות המסים פועל על עסקאות היסטוריות כחסם מצטבר: חוב השבח, הרכישה, ההצמדה, הריבית והקנסות של עסקת שנות השבעים מוטל כתנאי סף על הדור המבקש להסדיר היום. במישור האזרחי אין באי הדיווח כדי לאיין את העסקה, אך במישור המעשי הוא מקים "מעגל אי רישום" המזין את עצמו ומחולל סכסוכים. הניסיון המצרי, שבו הוליד צימוד דומה אי רישום של למעלה מתשעים אחוזים עד שנותק ברפורמת 2022, מלמד כי מדובר בכשל מדיניות מבני ולא בכשל אכיפה.</w:t>
      </w:r>
    </w:p>
    <w:p>
      <w:pPr>
        <w:bidi/>
        <w:spacing w:after="0" w:line="360"/>
        <w:ind w:firstLine="420"/>
        <w:jc w:val="both"/>
      </w:pPr>
      <w:r>
        <w:rPr>
          <w:rFonts w:ascii="David" w:cs="David" w:eastAsia="David" w:hAnsi="David"/>
          <w:b/>
          <w:bCs/>
          <w:noProof/>
          <w:sz w:val="24"/>
          <w:szCs w:val="24"/>
          <w:rtl/>
        </w:rPr>
        <w:t xml:space="preserve">לשאלת המחקר השלישית</w:t>
      </w:r>
      <w:r>
        <w:rPr>
          <w:rFonts w:ascii="David" w:cs="David" w:eastAsia="David" w:hAnsi="David"/>
          <w:noProof/>
          <w:sz w:val="24"/>
          <w:szCs w:val="24"/>
          <w:rtl/>
        </w:rPr>
        <w:t xml:space="preserve"> (משקלם של היתר הבנייה והארנונה) הוצע בפרק ד מדרג: אלה אינן ראיות בעלות, שכן מוסדות התכנון והגבייה אינם מכריעים בקניין והארנונה נגבית מן המחזיק באשר הוא; אך הן ראיות נסיבתיות רבות ערך להחזקה, להשקעה ולהסכמה המשפחתית שבזמן אמת. כוחן במצטבר ובקוהרנטיות שלהן עם יתר הראיות, לא כתחליף רישום.</w:t>
      </w:r>
    </w:p>
    <w:p>
      <w:pPr>
        <w:bidi/>
        <w:spacing w:after="0" w:line="360"/>
        <w:ind w:firstLine="420"/>
        <w:jc w:val="both"/>
      </w:pPr>
      <w:r>
        <w:rPr>
          <w:rFonts w:ascii="David" w:cs="David" w:eastAsia="David" w:hAnsi="David"/>
          <w:b/>
          <w:bCs/>
          <w:noProof/>
          <w:sz w:val="24"/>
          <w:szCs w:val="24"/>
          <w:rtl/>
        </w:rPr>
        <w:t xml:space="preserve">במישור ההשוואתי</w:t>
      </w:r>
      <w:r>
        <w:rPr>
          <w:rFonts w:ascii="David" w:cs="David" w:eastAsia="David" w:hAnsi="David"/>
          <w:noProof/>
          <w:sz w:val="24"/>
          <w:szCs w:val="24"/>
          <w:rtl/>
        </w:rPr>
        <w:t xml:space="preserve"> חשפה העבודה רצף גנאלוגי אחד: מן הקַבְּץ׳ והחִיאזָה השרעיים, דרך המג׳לה וחוק הקרקעות העות׳מאני, אל ייפוי הכוח הבלתי חוזר של הפרקטיקה הערבית ואל הזכות שביושר שמקורה אנגלי. הסכסוך הפנים משפחתי על מקרקעין לא רשומים איננו "סטייה" מקומית מן הדין, אלא מפגש בין שלוש תפיסות הקניה החיות בשכבות השיטה: תפיסה פיזית, מסמך פרטי ומרשם ממלכתי; והשופט הישראלי המכריע בתיק כזה מיישב, בלא דעת, בין המג׳לה לבין חוק המקרקעין.</w:t>
      </w:r>
    </w:p>
    <w:p>
      <w:pPr>
        <w:bidi/>
        <w:spacing w:after="0" w:line="360"/>
        <w:ind w:firstLine="420"/>
        <w:jc w:val="both"/>
      </w:pPr>
      <w:r>
        <w:rPr>
          <w:rFonts w:ascii="David" w:cs="David" w:eastAsia="David" w:hAnsi="David"/>
          <w:noProof/>
          <w:sz w:val="24"/>
          <w:szCs w:val="24"/>
          <w:rtl/>
        </w:rPr>
        <w:t xml:space="preserve">המסקנה המרכזית העולה מן המכלול היא שנקודת הכובד של הטיפול בתופעה חייבת לנוע מן ההכרעה השיפוטית בדיעבד אל הסרת החסמים מראש: הסדרה פיסקלית מקילה לעסקאות היסטוריות, השלמת הליכי ההסדר בשיתוף הקהילות, ומסגור דוקטרינרי יציב של ההגנה על המסתמך. נותרות פתוחות שאלות הראויות למחקר המשך, ובהן היקפה האמפירי של התופעה ומעמדן של נשים בהסדרים הפנים משפחתיים הנדונים. המרשם הוא משאת הנפש; אך עד שיגיעו אליו כל בתי החברה הערבית, מוטב שהדרך אליו תהיה גשר, ולא חומה.</w:t>
      </w:r>
    </w:p>
    <w:p>
      <w:pPr>
        <w:pStyle w:val="Heading1"/>
        <w:bidi/>
        <w:spacing w:after="240" w:before="360"/>
      </w:pPr>
      <w:r>
        <w:rPr>
          <w:rFonts w:ascii="David" w:cs="David" w:eastAsia="David" w:hAnsi="David"/>
          <w:b/>
          <w:bCs/>
          <w:noProof/>
          <w:color w:val="000000"/>
          <w:sz w:val="32"/>
          <w:szCs w:val="32"/>
          <w:rtl/>
        </w:rPr>
        <w:t xml:space="preserve">ביבליוגרפיה</w:t>
      </w:r>
    </w:p>
    <w:p>
      <w:pPr>
        <w:pStyle w:val="Heading2"/>
        <w:bidi/>
        <w:spacing w:after="160" w:before="240"/>
      </w:pPr>
      <w:r>
        <w:rPr>
          <w:rFonts w:ascii="David" w:cs="David" w:eastAsia="David" w:hAnsi="David"/>
          <w:b/>
          <w:bCs/>
          <w:color w:val="000000"/>
          <w:sz w:val="28"/>
          <w:szCs w:val="28"/>
          <w:rtl/>
        </w:rPr>
        <w:t xml:space="preserve">חקיקה ישראלית</w:t>
      </w:r>
    </w:p>
    <w:p>
      <w:pPr>
        <w:bidi/>
        <w:spacing w:after="120" w:line="300"/>
        <w:ind w:start="420" w:hanging="420"/>
        <w:jc w:val="both"/>
      </w:pPr>
      <w:r>
        <w:rPr>
          <w:rFonts w:ascii="David" w:cs="David" w:eastAsia="David" w:hAnsi="David"/>
          <w:noProof/>
          <w:sz w:val="24"/>
          <w:szCs w:val="24"/>
          <w:rtl/>
        </w:rPr>
        <w:t xml:space="preserve">חוק המקרקעין, התשכ"ט–1969.</w:t>
      </w:r>
    </w:p>
    <w:p>
      <w:pPr>
        <w:bidi/>
        <w:spacing w:after="120" w:line="300"/>
        <w:ind w:start="420" w:hanging="420"/>
        <w:jc w:val="both"/>
      </w:pPr>
      <w:r>
        <w:rPr>
          <w:rFonts w:ascii="David" w:cs="David" w:eastAsia="David" w:hAnsi="David"/>
          <w:noProof/>
          <w:sz w:val="24"/>
          <w:szCs w:val="24"/>
          <w:rtl/>
        </w:rPr>
        <w:t xml:space="preserve">חוק המתנה, התשכ"ח–1968.</w:t>
      </w:r>
    </w:p>
    <w:p>
      <w:pPr>
        <w:bidi/>
        <w:spacing w:after="120" w:line="300"/>
        <w:ind w:start="420" w:hanging="420"/>
        <w:jc w:val="both"/>
      </w:pPr>
      <w:r>
        <w:rPr>
          <w:rFonts w:ascii="David" w:cs="David" w:eastAsia="David" w:hAnsi="David"/>
          <w:noProof/>
          <w:sz w:val="24"/>
          <w:szCs w:val="24"/>
          <w:rtl/>
        </w:rPr>
        <w:t xml:space="preserve">חוק השליחות, התשכ"ה–1965.</w:t>
      </w:r>
    </w:p>
    <w:p>
      <w:pPr>
        <w:bidi/>
        <w:spacing w:after="120" w:line="300"/>
        <w:ind w:start="420" w:hanging="420"/>
        <w:jc w:val="both"/>
      </w:pPr>
      <w:r>
        <w:rPr>
          <w:rFonts w:ascii="David" w:cs="David" w:eastAsia="David" w:hAnsi="David"/>
          <w:noProof/>
          <w:sz w:val="24"/>
          <w:szCs w:val="24"/>
          <w:rtl/>
        </w:rPr>
        <w:t xml:space="preserve">חוק הירושה, התשכ"ה–1965.</w:t>
      </w:r>
    </w:p>
    <w:p>
      <w:pPr>
        <w:bidi/>
        <w:spacing w:after="120" w:line="300"/>
        <w:ind w:start="420" w:hanging="420"/>
        <w:jc w:val="both"/>
      </w:pPr>
      <w:r>
        <w:rPr>
          <w:rFonts w:ascii="David" w:cs="David" w:eastAsia="David" w:hAnsi="David"/>
          <w:noProof/>
          <w:sz w:val="24"/>
          <w:szCs w:val="24"/>
          <w:rtl/>
        </w:rPr>
        <w:t xml:space="preserve">חוק מיסוי מקרקעין (שבח ורכישה), התשכ"ג–1963.</w:t>
      </w:r>
    </w:p>
    <w:p>
      <w:pPr>
        <w:bidi/>
        <w:spacing w:after="120" w:line="300"/>
        <w:ind w:start="420" w:hanging="420"/>
        <w:jc w:val="both"/>
      </w:pPr>
      <w:r>
        <w:rPr>
          <w:rFonts w:ascii="David" w:cs="David" w:eastAsia="David" w:hAnsi="David"/>
          <w:noProof/>
          <w:sz w:val="24"/>
          <w:szCs w:val="24"/>
          <w:rtl/>
        </w:rPr>
        <w:t xml:space="preserve">חוק ההתיישנות, התשי"ח–1958.</w:t>
      </w:r>
    </w:p>
    <w:p>
      <w:pPr>
        <w:bidi/>
        <w:spacing w:after="120" w:line="300"/>
        <w:ind w:start="420" w:hanging="420"/>
        <w:jc w:val="both"/>
      </w:pPr>
      <w:r>
        <w:rPr>
          <w:rFonts w:ascii="David" w:cs="David" w:eastAsia="David" w:hAnsi="David"/>
          <w:noProof/>
          <w:sz w:val="24"/>
          <w:szCs w:val="24"/>
          <w:rtl/>
        </w:rPr>
        <w:t xml:space="preserve">חוק לביטול המג׳לה, התשמ"ד–1984.</w:t>
      </w:r>
    </w:p>
    <w:p>
      <w:pPr>
        <w:bidi/>
        <w:spacing w:after="120" w:line="300"/>
        <w:ind w:start="420" w:hanging="420"/>
        <w:jc w:val="both"/>
      </w:pPr>
      <w:r>
        <w:rPr>
          <w:rFonts w:ascii="David" w:cs="David" w:eastAsia="David" w:hAnsi="David"/>
          <w:noProof/>
          <w:sz w:val="24"/>
          <w:szCs w:val="24"/>
          <w:rtl/>
        </w:rPr>
        <w:t xml:space="preserve">פקודת הסדר זכויות במקרקעין [נוסח חדש], התשכ"ט–1969.</w:t>
      </w:r>
    </w:p>
    <w:p>
      <w:pPr>
        <w:bidi/>
        <w:spacing w:after="120" w:line="300"/>
        <w:ind w:start="420" w:hanging="420"/>
        <w:jc w:val="both"/>
      </w:pPr>
      <w:r>
        <w:rPr>
          <w:rFonts w:ascii="David" w:cs="David" w:eastAsia="David" w:hAnsi="David"/>
          <w:noProof/>
          <w:sz w:val="24"/>
          <w:szCs w:val="24"/>
          <w:rtl/>
        </w:rPr>
        <w:t xml:space="preserve">פקודת הראיות [נוסח חדש], התשל"א–1971.</w:t>
      </w:r>
    </w:p>
    <w:p>
      <w:pPr>
        <w:bidi/>
        <w:spacing w:after="120" w:line="300"/>
        <w:ind w:start="420" w:hanging="420"/>
        <w:jc w:val="both"/>
      </w:pPr>
      <w:r>
        <w:rPr>
          <w:rFonts w:ascii="David" w:cs="David" w:eastAsia="David" w:hAnsi="David"/>
          <w:noProof/>
          <w:sz w:val="24"/>
          <w:szCs w:val="24"/>
          <w:rtl/>
        </w:rPr>
        <w:t xml:space="preserve">חוק התכנון והבנייה, התשכ"ה–1965.</w:t>
      </w:r>
    </w:p>
    <w:p>
      <w:pPr>
        <w:bidi/>
        <w:spacing w:after="120" w:line="300"/>
        <w:ind w:start="420" w:hanging="420"/>
        <w:jc w:val="both"/>
      </w:pPr>
      <w:r>
        <w:rPr>
          <w:rFonts w:ascii="David" w:cs="David" w:eastAsia="David" w:hAnsi="David"/>
          <w:noProof/>
          <w:sz w:val="24"/>
          <w:szCs w:val="24"/>
          <w:rtl/>
        </w:rPr>
        <w:t xml:space="preserve">פקודת העיריות [נוסח חדש].</w:t>
      </w:r>
    </w:p>
    <w:p>
      <w:pPr>
        <w:bidi/>
        <w:spacing w:after="120" w:line="300"/>
        <w:ind w:start="420" w:hanging="420"/>
        <w:jc w:val="both"/>
      </w:pPr>
      <w:r>
        <w:rPr>
          <w:rFonts w:ascii="David" w:cs="David" w:eastAsia="David" w:hAnsi="David"/>
          <w:noProof/>
          <w:sz w:val="24"/>
          <w:szCs w:val="24"/>
          <w:rtl/>
        </w:rPr>
        <w:t xml:space="preserve">תקנות התכנון והבניה (רישוי בניה), התשע"ו–2016.</w:t>
      </w:r>
    </w:p>
    <w:p>
      <w:pPr>
        <w:bidi/>
        <w:spacing w:after="120" w:line="300"/>
        <w:ind w:start="420" w:hanging="420"/>
        <w:jc w:val="both"/>
      </w:pPr>
      <w:r>
        <w:rPr>
          <w:rFonts w:ascii="David" w:cs="David" w:eastAsia="David" w:hAnsi="David"/>
          <w:noProof/>
          <w:sz w:val="24"/>
          <w:szCs w:val="24"/>
          <w:rtl/>
        </w:rPr>
        <w:t xml:space="preserve">חוק הקרקעות העות׳מאני, 1858.</w:t>
      </w:r>
    </w:p>
    <w:p>
      <w:pPr>
        <w:bidi/>
        <w:spacing w:after="120" w:line="300"/>
        <w:ind w:start="420" w:hanging="420"/>
        <w:jc w:val="both"/>
      </w:pPr>
      <w:r>
        <w:rPr>
          <w:rFonts w:ascii="David" w:cs="David" w:eastAsia="David" w:hAnsi="David"/>
          <w:noProof/>
          <w:sz w:val="24"/>
          <w:szCs w:val="24"/>
          <w:rtl/>
        </w:rPr>
        <w:t xml:space="preserve">מג׳לת אל-אחכאם אל-עדליה (המג׳לה), 1869–1876.</w:t>
      </w:r>
    </w:p>
    <w:p>
      <w:pPr>
        <w:pStyle w:val="Heading2"/>
        <w:bidi/>
        <w:spacing w:after="160" w:before="240"/>
      </w:pPr>
      <w:r>
        <w:rPr>
          <w:rFonts w:ascii="David" w:cs="David" w:eastAsia="David" w:hAnsi="David"/>
          <w:b/>
          <w:bCs/>
          <w:color w:val="000000"/>
          <w:sz w:val="28"/>
          <w:szCs w:val="28"/>
          <w:rtl/>
        </w:rPr>
        <w:t xml:space="preserve">פסיקה ישראלית</w:t>
      </w:r>
    </w:p>
    <w:p>
      <w:pPr>
        <w:bidi/>
        <w:spacing w:after="120" w:line="300"/>
        <w:ind w:start="420" w:hanging="420"/>
        <w:jc w:val="both"/>
      </w:pPr>
      <w:r>
        <w:rPr>
          <w:rFonts w:ascii="David" w:cs="David" w:eastAsia="David" w:hAnsi="David"/>
          <w:noProof/>
          <w:sz w:val="24"/>
          <w:szCs w:val="24"/>
          <w:rtl/>
        </w:rPr>
        <w:t xml:space="preserve">ע"פ 114/63 </w:t>
      </w:r>
      <w:r>
        <w:rPr>
          <w:rFonts w:ascii="David" w:cs="David" w:eastAsia="David" w:hAnsi="David"/>
          <w:b/>
          <w:bCs/>
          <w:noProof/>
          <w:sz w:val="24"/>
          <w:szCs w:val="24"/>
          <w:rtl/>
        </w:rPr>
        <w:t xml:space="preserve">קר נ׳ היועץ המשפטי לממשלה</w:t>
      </w:r>
      <w:r>
        <w:rPr>
          <w:rFonts w:ascii="David" w:cs="David" w:eastAsia="David" w:hAnsi="David"/>
          <w:noProof/>
          <w:sz w:val="24"/>
          <w:szCs w:val="24"/>
          <w:rtl/>
        </w:rPr>
        <w:t xml:space="preserve">, פ"ד יח(3) 561 (1964).</w:t>
      </w:r>
    </w:p>
    <w:p>
      <w:pPr>
        <w:bidi/>
        <w:spacing w:after="120" w:line="300"/>
        <w:ind w:start="420" w:hanging="420"/>
        <w:jc w:val="both"/>
      </w:pPr>
      <w:r>
        <w:rPr>
          <w:rFonts w:ascii="David" w:cs="David" w:eastAsia="David" w:hAnsi="David"/>
          <w:noProof/>
          <w:sz w:val="24"/>
          <w:szCs w:val="24"/>
          <w:rtl/>
        </w:rPr>
        <w:t xml:space="preserve">ע"א 516/65 </w:t>
      </w:r>
      <w:r>
        <w:rPr>
          <w:rFonts w:ascii="David" w:cs="David" w:eastAsia="David" w:hAnsi="David"/>
          <w:b/>
          <w:bCs/>
          <w:noProof/>
          <w:sz w:val="24"/>
          <w:szCs w:val="24"/>
          <w:rtl/>
        </w:rPr>
        <w:t xml:space="preserve">ריעס נ׳ פורר</w:t>
      </w:r>
      <w:r>
        <w:rPr>
          <w:rFonts w:ascii="David" w:cs="David" w:eastAsia="David" w:hAnsi="David"/>
          <w:noProof/>
          <w:sz w:val="24"/>
          <w:szCs w:val="24"/>
          <w:rtl/>
        </w:rPr>
        <w:t xml:space="preserve">, פ"ד כ(3) 488 (1966).</w:t>
      </w:r>
    </w:p>
    <w:p>
      <w:pPr>
        <w:bidi/>
        <w:spacing w:after="120" w:line="300"/>
        <w:ind w:start="420" w:hanging="420"/>
        <w:jc w:val="both"/>
      </w:pPr>
      <w:r>
        <w:rPr>
          <w:rFonts w:ascii="David" w:cs="David" w:eastAsia="David" w:hAnsi="David"/>
          <w:noProof/>
          <w:sz w:val="24"/>
          <w:szCs w:val="24"/>
          <w:rtl/>
        </w:rPr>
        <w:t xml:space="preserve">בר"ע 178/70 </w:t>
      </w:r>
      <w:r>
        <w:rPr>
          <w:rFonts w:ascii="David" w:cs="David" w:eastAsia="David" w:hAnsi="David"/>
          <w:b/>
          <w:bCs/>
          <w:noProof/>
          <w:sz w:val="24"/>
          <w:szCs w:val="24"/>
          <w:rtl/>
        </w:rPr>
        <w:t xml:space="preserve">בוקר נ׳ חברה אנגלו-ישראלית לניהול ואחריות בע"מ</w:t>
      </w:r>
      <w:r>
        <w:rPr>
          <w:rFonts w:ascii="David" w:cs="David" w:eastAsia="David" w:hAnsi="David"/>
          <w:noProof/>
          <w:sz w:val="24"/>
          <w:szCs w:val="24"/>
          <w:rtl/>
        </w:rPr>
        <w:t xml:space="preserve">, פ"ד כה(2) 121 (1971).</w:t>
      </w:r>
    </w:p>
    <w:p>
      <w:pPr>
        <w:bidi/>
        <w:spacing w:after="120" w:line="300"/>
        <w:ind w:start="420" w:hanging="420"/>
        <w:jc w:val="both"/>
      </w:pPr>
      <w:r>
        <w:rPr>
          <w:rFonts w:ascii="David" w:cs="David" w:eastAsia="David" w:hAnsi="David"/>
          <w:noProof/>
          <w:sz w:val="24"/>
          <w:szCs w:val="24"/>
          <w:rtl/>
        </w:rPr>
        <w:t xml:space="preserve">ע"א 726/71 </w:t>
      </w:r>
      <w:r>
        <w:rPr>
          <w:rFonts w:ascii="David" w:cs="David" w:eastAsia="David" w:hAnsi="David"/>
          <w:b/>
          <w:bCs/>
          <w:noProof/>
          <w:sz w:val="24"/>
          <w:szCs w:val="24"/>
          <w:rtl/>
        </w:rPr>
        <w:t xml:space="preserve">גרוסמן את ק.ב.ק. בע"מ נ׳ מנהלי עזבון בידרמן</w:t>
      </w:r>
      <w:r>
        <w:rPr>
          <w:rFonts w:ascii="David" w:cs="David" w:eastAsia="David" w:hAnsi="David"/>
          <w:noProof/>
          <w:sz w:val="24"/>
          <w:szCs w:val="24"/>
          <w:rtl/>
        </w:rPr>
        <w:t xml:space="preserve">, פ"ד כו(2) 781 (1972).</w:t>
      </w:r>
    </w:p>
    <w:p>
      <w:pPr>
        <w:bidi/>
        <w:spacing w:after="120" w:line="300"/>
        <w:ind w:start="420" w:hanging="420"/>
        <w:jc w:val="both"/>
      </w:pPr>
      <w:r>
        <w:rPr>
          <w:rFonts w:ascii="David" w:cs="David" w:eastAsia="David" w:hAnsi="David"/>
          <w:noProof/>
          <w:sz w:val="24"/>
          <w:szCs w:val="24"/>
          <w:rtl/>
        </w:rPr>
        <w:t xml:space="preserve">ע"א 649/73 </w:t>
      </w:r>
      <w:r>
        <w:rPr>
          <w:rFonts w:ascii="David" w:cs="David" w:eastAsia="David" w:hAnsi="David"/>
          <w:b/>
          <w:bCs/>
          <w:noProof/>
          <w:sz w:val="24"/>
          <w:szCs w:val="24"/>
          <w:rtl/>
        </w:rPr>
        <w:t xml:space="preserve">קפולסקי נ׳ גני גולן בע"מ</w:t>
      </w:r>
      <w:r>
        <w:rPr>
          <w:rFonts w:ascii="David" w:cs="David" w:eastAsia="David" w:hAnsi="David"/>
          <w:noProof/>
          <w:sz w:val="24"/>
          <w:szCs w:val="24"/>
          <w:rtl/>
        </w:rPr>
        <w:t xml:space="preserve">, פ"ד כח(2) 291 (1974).</w:t>
      </w:r>
    </w:p>
    <w:p>
      <w:pPr>
        <w:bidi/>
        <w:spacing w:after="120" w:line="300"/>
        <w:ind w:start="420" w:hanging="420"/>
        <w:jc w:val="both"/>
      </w:pPr>
      <w:r>
        <w:rPr>
          <w:rFonts w:ascii="David" w:cs="David" w:eastAsia="David" w:hAnsi="David"/>
          <w:noProof/>
          <w:sz w:val="24"/>
          <w:szCs w:val="24"/>
          <w:rtl/>
        </w:rPr>
        <w:t xml:space="preserve">ע"א 515/76 </w:t>
      </w:r>
      <w:r>
        <w:rPr>
          <w:rFonts w:ascii="David" w:cs="David" w:eastAsia="David" w:hAnsi="David"/>
          <w:b/>
          <w:bCs/>
          <w:noProof/>
          <w:sz w:val="24"/>
          <w:szCs w:val="24"/>
          <w:rtl/>
        </w:rPr>
        <w:t xml:space="preserve">לוי נ׳ ויימן</w:t>
      </w:r>
      <w:r>
        <w:rPr>
          <w:rFonts w:ascii="David" w:cs="David" w:eastAsia="David" w:hAnsi="David"/>
          <w:noProof/>
          <w:sz w:val="24"/>
          <w:szCs w:val="24"/>
          <w:rtl/>
        </w:rPr>
        <w:t xml:space="preserve">, פ"ד לא(2) 127 (1977).</w:t>
      </w:r>
    </w:p>
    <w:p>
      <w:pPr>
        <w:bidi/>
        <w:spacing w:after="120" w:line="300"/>
        <w:ind w:start="420" w:hanging="420"/>
        <w:jc w:val="both"/>
      </w:pPr>
      <w:r>
        <w:rPr>
          <w:rFonts w:ascii="David" w:cs="David" w:eastAsia="David" w:hAnsi="David"/>
          <w:noProof/>
          <w:sz w:val="24"/>
          <w:szCs w:val="24"/>
          <w:rtl/>
        </w:rPr>
        <w:t xml:space="preserve">ע"א 514/76 </w:t>
      </w:r>
      <w:r>
        <w:rPr>
          <w:rFonts w:ascii="David" w:cs="David" w:eastAsia="David" w:hAnsi="David"/>
          <w:b/>
          <w:bCs/>
          <w:noProof/>
          <w:sz w:val="24"/>
          <w:szCs w:val="24"/>
          <w:rtl/>
        </w:rPr>
        <w:t xml:space="preserve">חשש נ׳ דמארי</w:t>
      </w:r>
      <w:r>
        <w:rPr>
          <w:rFonts w:ascii="David" w:cs="David" w:eastAsia="David" w:hAnsi="David"/>
          <w:noProof/>
          <w:sz w:val="24"/>
          <w:szCs w:val="24"/>
          <w:rtl/>
        </w:rPr>
        <w:t xml:space="preserve">, פ"ד לא(2) 505 (1977).</w:t>
      </w:r>
    </w:p>
    <w:p>
      <w:pPr>
        <w:bidi/>
        <w:spacing w:after="120" w:line="300"/>
        <w:ind w:start="420" w:hanging="420"/>
        <w:jc w:val="both"/>
      </w:pPr>
      <w:r>
        <w:rPr>
          <w:rFonts w:ascii="David" w:cs="David" w:eastAsia="David" w:hAnsi="David"/>
          <w:noProof/>
          <w:sz w:val="24"/>
          <w:szCs w:val="24"/>
          <w:rtl/>
        </w:rPr>
        <w:t xml:space="preserve">ע"א 32/77 </w:t>
      </w:r>
      <w:r>
        <w:rPr>
          <w:rFonts w:ascii="David" w:cs="David" w:eastAsia="David" w:hAnsi="David"/>
          <w:b/>
          <w:bCs/>
          <w:noProof/>
          <w:sz w:val="24"/>
          <w:szCs w:val="24"/>
          <w:rtl/>
        </w:rPr>
        <w:t xml:space="preserve">טבוליצקי נ׳ בית-כנסת ובית-מדרש החסידים</w:t>
      </w:r>
      <w:r>
        <w:rPr>
          <w:rFonts w:ascii="David" w:cs="David" w:eastAsia="David" w:hAnsi="David"/>
          <w:noProof/>
          <w:sz w:val="24"/>
          <w:szCs w:val="24"/>
          <w:rtl/>
        </w:rPr>
        <w:t xml:space="preserve">, פ"ד לא(3) 210 (1977).</w:t>
      </w:r>
    </w:p>
    <w:p>
      <w:pPr>
        <w:bidi/>
        <w:spacing w:after="120" w:line="300"/>
        <w:ind w:start="420" w:hanging="420"/>
        <w:jc w:val="both"/>
      </w:pPr>
      <w:r>
        <w:rPr>
          <w:rFonts w:ascii="David" w:cs="David" w:eastAsia="David" w:hAnsi="David"/>
          <w:noProof/>
          <w:sz w:val="24"/>
          <w:szCs w:val="24"/>
          <w:rtl/>
        </w:rPr>
        <w:t xml:space="preserve">ע"א 463/79 </w:t>
      </w:r>
      <w:r>
        <w:rPr>
          <w:rFonts w:ascii="David" w:cs="David" w:eastAsia="David" w:hAnsi="David"/>
          <w:b/>
          <w:bCs/>
          <w:noProof/>
          <w:sz w:val="24"/>
          <w:szCs w:val="24"/>
          <w:rtl/>
        </w:rPr>
        <w:t xml:space="preserve">ג׳בראן נ׳ ג׳בראן</w:t>
      </w:r>
      <w:r>
        <w:rPr>
          <w:rFonts w:ascii="David" w:cs="David" w:eastAsia="David" w:hAnsi="David"/>
          <w:noProof/>
          <w:sz w:val="24"/>
          <w:szCs w:val="24"/>
          <w:rtl/>
        </w:rPr>
        <w:t xml:space="preserve">, פ"ד לו(4) 403 (1982).</w:t>
      </w:r>
    </w:p>
    <w:p>
      <w:pPr>
        <w:bidi/>
        <w:spacing w:after="120" w:line="300"/>
        <w:ind w:start="420" w:hanging="420"/>
        <w:jc w:val="both"/>
      </w:pPr>
      <w:r>
        <w:rPr>
          <w:rFonts w:ascii="David" w:cs="David" w:eastAsia="David" w:hAnsi="David"/>
          <w:noProof/>
          <w:sz w:val="24"/>
          <w:szCs w:val="24"/>
          <w:rtl/>
        </w:rPr>
        <w:t xml:space="preserve">ע"א 496/82 </w:t>
      </w:r>
      <w:r>
        <w:rPr>
          <w:rFonts w:ascii="David" w:cs="David" w:eastAsia="David" w:hAnsi="David"/>
          <w:b/>
          <w:bCs/>
          <w:noProof/>
          <w:sz w:val="24"/>
          <w:szCs w:val="24"/>
          <w:rtl/>
        </w:rPr>
        <w:t xml:space="preserve">רוזן נ׳ סלונים</w:t>
      </w:r>
      <w:r>
        <w:rPr>
          <w:rFonts w:ascii="David" w:cs="David" w:eastAsia="David" w:hAnsi="David"/>
          <w:noProof/>
          <w:sz w:val="24"/>
          <w:szCs w:val="24"/>
          <w:rtl/>
        </w:rPr>
        <w:t xml:space="preserve">, פ"ד לט(2) 337 (1985).</w:t>
      </w:r>
    </w:p>
    <w:p>
      <w:pPr>
        <w:bidi/>
        <w:spacing w:after="120" w:line="300"/>
        <w:ind w:start="420" w:hanging="420"/>
        <w:jc w:val="both"/>
      </w:pPr>
      <w:r>
        <w:rPr>
          <w:rFonts w:ascii="David" w:cs="David" w:eastAsia="David" w:hAnsi="David"/>
          <w:noProof/>
          <w:sz w:val="24"/>
          <w:szCs w:val="24"/>
          <w:rtl/>
        </w:rPr>
        <w:t xml:space="preserve">ע"א 986/93 </w:t>
      </w:r>
      <w:r>
        <w:rPr>
          <w:rFonts w:ascii="David" w:cs="David" w:eastAsia="David" w:hAnsi="David"/>
          <w:b/>
          <w:bCs/>
          <w:noProof/>
          <w:sz w:val="24"/>
          <w:szCs w:val="24"/>
          <w:rtl/>
        </w:rPr>
        <w:t xml:space="preserve">קלמר נ׳ גיא</w:t>
      </w:r>
      <w:r>
        <w:rPr>
          <w:rFonts w:ascii="David" w:cs="David" w:eastAsia="David" w:hAnsi="David"/>
          <w:noProof/>
          <w:sz w:val="24"/>
          <w:szCs w:val="24"/>
          <w:rtl/>
        </w:rPr>
        <w:t xml:space="preserve">, פ"ד נ(1) 185 (1996).</w:t>
      </w:r>
    </w:p>
    <w:p>
      <w:pPr>
        <w:bidi/>
        <w:spacing w:after="120" w:line="300"/>
        <w:ind w:start="420" w:hanging="420"/>
        <w:jc w:val="both"/>
      </w:pPr>
      <w:r>
        <w:rPr>
          <w:rFonts w:ascii="David" w:cs="David" w:eastAsia="David" w:hAnsi="David"/>
          <w:noProof/>
          <w:sz w:val="24"/>
          <w:szCs w:val="24"/>
          <w:rtl/>
        </w:rPr>
        <w:t xml:space="preserve">ע"א 189/95 </w:t>
      </w:r>
      <w:r>
        <w:rPr>
          <w:rFonts w:ascii="David" w:cs="David" w:eastAsia="David" w:hAnsi="David"/>
          <w:b/>
          <w:bCs/>
          <w:noProof/>
          <w:sz w:val="24"/>
          <w:szCs w:val="24"/>
          <w:rtl/>
        </w:rPr>
        <w:t xml:space="preserve">בנק אוצר החייל בע"מ נ׳ אהרונוב</w:t>
      </w:r>
      <w:r>
        <w:rPr>
          <w:rFonts w:ascii="David" w:cs="David" w:eastAsia="David" w:hAnsi="David"/>
          <w:noProof/>
          <w:sz w:val="24"/>
          <w:szCs w:val="24"/>
          <w:rtl/>
        </w:rPr>
        <w:t xml:space="preserve">, פ"ד נג(4) 199 (1999).</w:t>
      </w:r>
    </w:p>
    <w:p>
      <w:pPr>
        <w:bidi/>
        <w:spacing w:after="120" w:line="300"/>
        <w:ind w:start="420" w:hanging="420"/>
        <w:jc w:val="both"/>
      </w:pPr>
      <w:r>
        <w:rPr>
          <w:rFonts w:ascii="David" w:cs="David" w:eastAsia="David" w:hAnsi="David"/>
          <w:noProof/>
          <w:sz w:val="24"/>
          <w:szCs w:val="24"/>
          <w:rtl/>
        </w:rPr>
        <w:t xml:space="preserve">ע"א 1516/99 </w:t>
      </w:r>
      <w:r>
        <w:rPr>
          <w:rFonts w:ascii="David" w:cs="David" w:eastAsia="David" w:hAnsi="David"/>
          <w:b/>
          <w:bCs/>
          <w:noProof/>
          <w:sz w:val="24"/>
          <w:szCs w:val="24"/>
          <w:rtl/>
        </w:rPr>
        <w:t xml:space="preserve">לוי נ׳ חיג׳אזי</w:t>
      </w:r>
      <w:r>
        <w:rPr>
          <w:rFonts w:ascii="David" w:cs="David" w:eastAsia="David" w:hAnsi="David"/>
          <w:noProof/>
          <w:sz w:val="24"/>
          <w:szCs w:val="24"/>
          <w:rtl/>
        </w:rPr>
        <w:t xml:space="preserve">, פ"ד נה(4) 730 (2001).</w:t>
      </w:r>
    </w:p>
    <w:p>
      <w:pPr>
        <w:bidi/>
        <w:spacing w:after="120" w:line="300"/>
        <w:ind w:start="420" w:hanging="420"/>
        <w:jc w:val="both"/>
      </w:pPr>
      <w:r>
        <w:rPr>
          <w:rFonts w:ascii="David" w:cs="David" w:eastAsia="David" w:hAnsi="David"/>
          <w:noProof/>
          <w:sz w:val="24"/>
          <w:szCs w:val="24"/>
          <w:rtl/>
        </w:rPr>
        <w:t xml:space="preserve">ע"א 3205/00 </w:t>
      </w:r>
      <w:r>
        <w:rPr>
          <w:rFonts w:ascii="David" w:cs="David" w:eastAsia="David" w:hAnsi="David"/>
          <w:b/>
          <w:bCs/>
          <w:noProof/>
          <w:sz w:val="24"/>
          <w:szCs w:val="24"/>
          <w:rtl/>
        </w:rPr>
        <w:t xml:space="preserve">נאטור נ׳ יאסין</w:t>
      </w:r>
      <w:r>
        <w:rPr>
          <w:rFonts w:ascii="David" w:cs="David" w:eastAsia="David" w:hAnsi="David"/>
          <w:noProof/>
          <w:sz w:val="24"/>
          <w:szCs w:val="24"/>
          <w:rtl/>
        </w:rPr>
        <w:t xml:space="preserve">, פ"ד נה(4) 145 (2001).</w:t>
      </w:r>
    </w:p>
    <w:p>
      <w:pPr>
        <w:bidi/>
        <w:spacing w:after="120" w:line="300"/>
        <w:ind w:start="420" w:hanging="420"/>
        <w:jc w:val="both"/>
      </w:pPr>
      <w:r>
        <w:rPr>
          <w:rFonts w:ascii="David" w:cs="David" w:eastAsia="David" w:hAnsi="David"/>
          <w:noProof/>
          <w:sz w:val="24"/>
          <w:szCs w:val="24"/>
          <w:rtl/>
        </w:rPr>
        <w:t xml:space="preserve">ע"א 3911/01 </w:t>
      </w:r>
      <w:r>
        <w:rPr>
          <w:rFonts w:ascii="David" w:cs="David" w:eastAsia="David" w:hAnsi="David"/>
          <w:b/>
          <w:bCs/>
          <w:noProof/>
          <w:sz w:val="24"/>
          <w:szCs w:val="24"/>
          <w:rtl/>
        </w:rPr>
        <w:t xml:space="preserve">כספי נ׳ נס</w:t>
      </w:r>
      <w:r>
        <w:rPr>
          <w:rFonts w:ascii="David" w:cs="David" w:eastAsia="David" w:hAnsi="David"/>
          <w:noProof/>
          <w:sz w:val="24"/>
          <w:szCs w:val="24"/>
          <w:rtl/>
        </w:rPr>
        <w:t xml:space="preserve">, פ"ד נו(6) 752 (2002).</w:t>
      </w:r>
    </w:p>
    <w:p>
      <w:pPr>
        <w:bidi/>
        <w:spacing w:after="120" w:line="300"/>
        <w:ind w:start="420" w:hanging="420"/>
        <w:jc w:val="both"/>
      </w:pPr>
      <w:r>
        <w:rPr>
          <w:rFonts w:ascii="David" w:cs="David" w:eastAsia="David" w:hAnsi="David"/>
          <w:noProof/>
          <w:sz w:val="24"/>
          <w:szCs w:val="24"/>
          <w:rtl/>
        </w:rPr>
        <w:t xml:space="preserve">רע"א 1156/02 </w:t>
      </w:r>
      <w:r>
        <w:rPr>
          <w:rFonts w:ascii="David" w:cs="David" w:eastAsia="David" w:hAnsi="David"/>
          <w:b/>
          <w:bCs/>
          <w:noProof/>
          <w:sz w:val="24"/>
          <w:szCs w:val="24"/>
          <w:rtl/>
        </w:rPr>
        <w:t xml:space="preserve">חיר נ׳ לידאי</w:t>
      </w:r>
      <w:r>
        <w:rPr>
          <w:rFonts w:ascii="David" w:cs="David" w:eastAsia="David" w:hAnsi="David"/>
          <w:noProof/>
          <w:sz w:val="24"/>
          <w:szCs w:val="24"/>
          <w:rtl/>
        </w:rPr>
        <w:t xml:space="preserve">, פ"ד נז(3) 949 (2003).</w:t>
      </w:r>
    </w:p>
    <w:p>
      <w:pPr>
        <w:bidi/>
        <w:spacing w:after="120" w:line="300"/>
        <w:ind w:start="420" w:hanging="420"/>
        <w:jc w:val="both"/>
      </w:pPr>
      <w:r>
        <w:rPr>
          <w:rFonts w:ascii="David" w:cs="David" w:eastAsia="David" w:hAnsi="David"/>
          <w:noProof/>
          <w:sz w:val="24"/>
          <w:szCs w:val="24"/>
          <w:rtl/>
        </w:rPr>
        <w:t xml:space="preserve">ע"א 1559/99 </w:t>
      </w:r>
      <w:r>
        <w:rPr>
          <w:rFonts w:ascii="David" w:cs="David" w:eastAsia="David" w:hAnsi="David"/>
          <w:b/>
          <w:bCs/>
          <w:noProof/>
          <w:sz w:val="24"/>
          <w:szCs w:val="24"/>
          <w:rtl/>
        </w:rPr>
        <w:t xml:space="preserve">צימבלר נ׳ תורג׳מן</w:t>
      </w:r>
      <w:r>
        <w:rPr>
          <w:rFonts w:ascii="David" w:cs="David" w:eastAsia="David" w:hAnsi="David"/>
          <w:noProof/>
          <w:sz w:val="24"/>
          <w:szCs w:val="24"/>
          <w:rtl/>
        </w:rPr>
        <w:t xml:space="preserve">, פ"ד נז(5) 49 (2003).</w:t>
      </w:r>
    </w:p>
    <w:p>
      <w:pPr>
        <w:bidi/>
        <w:spacing w:after="120" w:line="300"/>
        <w:ind w:start="420" w:hanging="420"/>
        <w:jc w:val="both"/>
      </w:pPr>
      <w:r>
        <w:rPr>
          <w:rFonts w:ascii="David" w:cs="David" w:eastAsia="David" w:hAnsi="David"/>
          <w:noProof/>
          <w:sz w:val="24"/>
          <w:szCs w:val="24"/>
          <w:rtl/>
        </w:rPr>
        <w:t xml:space="preserve">ע"א 7139/99 </w:t>
      </w:r>
      <w:r>
        <w:rPr>
          <w:rFonts w:ascii="David" w:cs="David" w:eastAsia="David" w:hAnsi="David"/>
          <w:b/>
          <w:bCs/>
          <w:noProof/>
          <w:sz w:val="24"/>
          <w:szCs w:val="24"/>
          <w:rtl/>
        </w:rPr>
        <w:t xml:space="preserve">אלוני נ׳ ארד</w:t>
      </w:r>
      <w:r>
        <w:rPr>
          <w:rFonts w:ascii="David" w:cs="David" w:eastAsia="David" w:hAnsi="David"/>
          <w:noProof/>
          <w:sz w:val="24"/>
          <w:szCs w:val="24"/>
          <w:rtl/>
        </w:rPr>
        <w:t xml:space="preserve">, פ"ד נח(4) 27 (2004).</w:t>
      </w:r>
    </w:p>
    <w:p>
      <w:pPr>
        <w:bidi/>
        <w:spacing w:after="120" w:line="300"/>
        <w:ind w:start="420" w:hanging="420"/>
        <w:jc w:val="both"/>
      </w:pPr>
      <w:r>
        <w:rPr>
          <w:rFonts w:ascii="David" w:cs="David" w:eastAsia="David" w:hAnsi="David"/>
          <w:noProof/>
          <w:sz w:val="24"/>
          <w:szCs w:val="24"/>
          <w:rtl/>
        </w:rPr>
        <w:t xml:space="preserve">ע"א 8234/09 </w:t>
      </w:r>
      <w:r>
        <w:rPr>
          <w:rFonts w:ascii="David" w:cs="David" w:eastAsia="David" w:hAnsi="David"/>
          <w:b/>
          <w:bCs/>
          <w:noProof/>
          <w:sz w:val="24"/>
          <w:szCs w:val="24"/>
          <w:rtl/>
        </w:rPr>
        <w:t xml:space="preserve">שם טוב נ׳ פרץ</w:t>
      </w:r>
      <w:r>
        <w:rPr>
          <w:rFonts w:ascii="David" w:cs="David" w:eastAsia="David" w:hAnsi="David"/>
          <w:noProof/>
          <w:sz w:val="24"/>
          <w:szCs w:val="24"/>
          <w:rtl/>
        </w:rPr>
        <w:t xml:space="preserve"> (נבו 21.3.2011).</w:t>
      </w:r>
    </w:p>
    <w:p>
      <w:pPr>
        <w:bidi/>
        <w:spacing w:after="120" w:line="300"/>
        <w:ind w:start="420" w:hanging="420"/>
        <w:jc w:val="both"/>
      </w:pPr>
      <w:r>
        <w:rPr>
          <w:rFonts w:ascii="David" w:cs="David" w:eastAsia="David" w:hAnsi="David"/>
          <w:noProof/>
          <w:sz w:val="24"/>
          <w:szCs w:val="24"/>
          <w:rtl/>
        </w:rPr>
        <w:t xml:space="preserve">ע"א 2110/09 </w:t>
      </w:r>
      <w:r>
        <w:rPr>
          <w:rFonts w:ascii="David" w:cs="David" w:eastAsia="David" w:hAnsi="David"/>
          <w:b/>
          <w:bCs/>
          <w:noProof/>
          <w:sz w:val="24"/>
          <w:szCs w:val="24"/>
          <w:rtl/>
        </w:rPr>
        <w:t xml:space="preserve">קדור נ׳ דקסה</w:t>
      </w:r>
      <w:r>
        <w:rPr>
          <w:rFonts w:ascii="David" w:cs="David" w:eastAsia="David" w:hAnsi="David"/>
          <w:noProof/>
          <w:sz w:val="24"/>
          <w:szCs w:val="24"/>
          <w:rtl/>
        </w:rPr>
        <w:t xml:space="preserve"> (נבו 20.9.2012).</w:t>
      </w:r>
    </w:p>
    <w:p>
      <w:pPr>
        <w:bidi/>
        <w:spacing w:after="120" w:line="300"/>
        <w:ind w:start="420" w:hanging="420"/>
        <w:jc w:val="both"/>
      </w:pPr>
      <w:r>
        <w:rPr>
          <w:rFonts w:ascii="David" w:cs="David" w:eastAsia="David" w:hAnsi="David"/>
          <w:noProof/>
          <w:sz w:val="24"/>
          <w:szCs w:val="24"/>
          <w:rtl/>
        </w:rPr>
        <w:t xml:space="preserve">ע"א 6766/11 </w:t>
      </w:r>
      <w:r>
        <w:rPr>
          <w:rFonts w:ascii="David" w:cs="David" w:eastAsia="David" w:hAnsi="David"/>
          <w:b/>
          <w:bCs/>
          <w:noProof/>
          <w:sz w:val="24"/>
          <w:szCs w:val="24"/>
          <w:rtl/>
        </w:rPr>
        <w:t xml:space="preserve">חג׳אזי נ׳ חג׳אזי</w:t>
      </w:r>
      <w:r>
        <w:rPr>
          <w:rFonts w:ascii="David" w:cs="David" w:eastAsia="David" w:hAnsi="David"/>
          <w:noProof/>
          <w:sz w:val="24"/>
          <w:szCs w:val="24"/>
          <w:rtl/>
        </w:rPr>
        <w:t xml:space="preserve"> (נבו 23.6.2013).</w:t>
      </w:r>
    </w:p>
    <w:p>
      <w:pPr>
        <w:bidi/>
        <w:spacing w:after="120" w:line="300"/>
        <w:ind w:start="420" w:hanging="420"/>
        <w:jc w:val="both"/>
      </w:pPr>
      <w:r>
        <w:rPr>
          <w:rFonts w:ascii="David" w:cs="David" w:eastAsia="David" w:hAnsi="David"/>
          <w:noProof/>
          <w:sz w:val="24"/>
          <w:szCs w:val="24"/>
          <w:rtl/>
        </w:rPr>
        <w:t xml:space="preserve">ע"א 6588/12 </w:t>
      </w:r>
      <w:r>
        <w:rPr>
          <w:rFonts w:ascii="David" w:cs="David" w:eastAsia="David" w:hAnsi="David"/>
          <w:b/>
          <w:bCs/>
          <w:noProof/>
          <w:sz w:val="24"/>
          <w:szCs w:val="24"/>
          <w:rtl/>
        </w:rPr>
        <w:t xml:space="preserve">כבהה נ׳ כבהה</w:t>
      </w:r>
      <w:r>
        <w:rPr>
          <w:rFonts w:ascii="David" w:cs="David" w:eastAsia="David" w:hAnsi="David"/>
          <w:noProof/>
          <w:sz w:val="24"/>
          <w:szCs w:val="24"/>
          <w:rtl/>
        </w:rPr>
        <w:t xml:space="preserve"> (נבו 24.12.2014).</w:t>
      </w:r>
    </w:p>
    <w:p>
      <w:pPr>
        <w:bidi/>
        <w:spacing w:after="120" w:line="300"/>
        <w:ind w:start="420" w:hanging="420"/>
        <w:jc w:val="both"/>
      </w:pPr>
      <w:r>
        <w:rPr>
          <w:rFonts w:ascii="David" w:cs="David" w:eastAsia="David" w:hAnsi="David"/>
          <w:noProof/>
          <w:sz w:val="24"/>
          <w:szCs w:val="24"/>
          <w:rtl/>
        </w:rPr>
        <w:t xml:space="preserve">רע"א 7060/12 </w:t>
      </w:r>
      <w:r>
        <w:rPr>
          <w:rFonts w:ascii="David" w:cs="David" w:eastAsia="David" w:hAnsi="David"/>
          <w:b/>
          <w:bCs/>
          <w:noProof/>
          <w:sz w:val="24"/>
          <w:szCs w:val="24"/>
          <w:rtl/>
        </w:rPr>
        <w:t xml:space="preserve">מדינת ישראל נ׳ </w:t>
      </w:r>
      <w:r>
        <w:rPr>
          <w:rFonts w:ascii="Times New Roman" w:cs="Times New Roman" w:eastAsia="Times New Roman" w:hAnsi="Times New Roman"/>
          <w:b/>
          <w:bCs/>
          <w:noProof/>
          <w:sz w:val="24"/>
          <w:szCs w:val="24"/>
        </w:rPr>
        <w:t xml:space="preserve">United Israel Appeal Inc</w:t>
      </w:r>
      <w:r>
        <w:rPr>
          <w:rFonts w:ascii="David" w:cs="David" w:eastAsia="David" w:hAnsi="David"/>
          <w:noProof/>
          <w:sz w:val="24"/>
          <w:szCs w:val="24"/>
          <w:rtl/>
        </w:rPr>
        <w:t xml:space="preserve"> (נבו 30.4.2015).</w:t>
      </w:r>
    </w:p>
    <w:p>
      <w:pPr>
        <w:bidi/>
        <w:spacing w:after="120" w:line="300"/>
        <w:ind w:start="420" w:hanging="420"/>
        <w:jc w:val="both"/>
      </w:pPr>
      <w:r>
        <w:rPr>
          <w:rFonts w:ascii="David" w:cs="David" w:eastAsia="David" w:hAnsi="David"/>
          <w:noProof/>
          <w:sz w:val="24"/>
          <w:szCs w:val="24"/>
          <w:rtl/>
        </w:rPr>
        <w:t xml:space="preserve">ע"א 6757/13 </w:t>
      </w:r>
      <w:r>
        <w:rPr>
          <w:rFonts w:ascii="David" w:cs="David" w:eastAsia="David" w:hAnsi="David"/>
          <w:b/>
          <w:bCs/>
          <w:noProof/>
          <w:sz w:val="24"/>
          <w:szCs w:val="24"/>
          <w:rtl/>
        </w:rPr>
        <w:t xml:space="preserve">נחום נ׳ רשות הפיתוח</w:t>
      </w:r>
      <w:r>
        <w:rPr>
          <w:rFonts w:ascii="David" w:cs="David" w:eastAsia="David" w:hAnsi="David"/>
          <w:noProof/>
          <w:sz w:val="24"/>
          <w:szCs w:val="24"/>
          <w:rtl/>
        </w:rPr>
        <w:t xml:space="preserve"> (נבו 19.8.2015).</w:t>
      </w:r>
    </w:p>
    <w:p>
      <w:pPr>
        <w:bidi/>
        <w:spacing w:after="120" w:line="300"/>
        <w:ind w:start="420" w:hanging="420"/>
        <w:jc w:val="both"/>
      </w:pPr>
      <w:r>
        <w:rPr>
          <w:rFonts w:ascii="David" w:cs="David" w:eastAsia="David" w:hAnsi="David"/>
          <w:noProof/>
          <w:sz w:val="24"/>
          <w:szCs w:val="24"/>
          <w:rtl/>
        </w:rPr>
        <w:t xml:space="preserve">רע"א 4890/15 </w:t>
      </w:r>
      <w:r>
        <w:rPr>
          <w:rFonts w:ascii="David" w:cs="David" w:eastAsia="David" w:hAnsi="David"/>
          <w:b/>
          <w:bCs/>
          <w:noProof/>
          <w:sz w:val="24"/>
          <w:szCs w:val="24"/>
          <w:rtl/>
        </w:rPr>
        <w:t xml:space="preserve">אלוש נ׳ עיריית טבריה</w:t>
      </w:r>
      <w:r>
        <w:rPr>
          <w:rFonts w:ascii="David" w:cs="David" w:eastAsia="David" w:hAnsi="David"/>
          <w:noProof/>
          <w:sz w:val="24"/>
          <w:szCs w:val="24"/>
          <w:rtl/>
        </w:rPr>
        <w:t xml:space="preserve"> (נבו 31.12.2015).</w:t>
      </w:r>
    </w:p>
    <w:p>
      <w:pPr>
        <w:bidi/>
        <w:spacing w:after="120" w:line="300"/>
        <w:ind w:start="420" w:hanging="420"/>
        <w:jc w:val="both"/>
      </w:pPr>
      <w:r>
        <w:rPr>
          <w:rFonts w:ascii="David" w:cs="David" w:eastAsia="David" w:hAnsi="David"/>
          <w:noProof/>
          <w:sz w:val="24"/>
          <w:szCs w:val="24"/>
          <w:rtl/>
        </w:rPr>
        <w:t xml:space="preserve">ו"ע (מחוזי חי׳) 4631-12-13 </w:t>
      </w:r>
      <w:r>
        <w:rPr>
          <w:rFonts w:ascii="David" w:cs="David" w:eastAsia="David" w:hAnsi="David"/>
          <w:b/>
          <w:bCs/>
          <w:noProof/>
          <w:sz w:val="24"/>
          <w:szCs w:val="24"/>
          <w:rtl/>
        </w:rPr>
        <w:t xml:space="preserve">גולדברג נ׳ מנהל מיסוי מקרקעין – חדרה</w:t>
      </w:r>
      <w:r>
        <w:rPr>
          <w:rFonts w:ascii="David" w:cs="David" w:eastAsia="David" w:hAnsi="David"/>
          <w:noProof/>
          <w:sz w:val="24"/>
          <w:szCs w:val="24"/>
          <w:rtl/>
        </w:rPr>
        <w:t xml:space="preserve">, </w:t>
      </w:r>
      <w:r>
        <w:rPr>
          <w:rFonts w:ascii="David" w:cs="David" w:eastAsia="David" w:hAnsi="David"/>
          <w:b/>
          <w:bCs/>
          <w:noProof/>
          <w:sz w:val="24"/>
          <w:szCs w:val="24"/>
          <w:rtl/>
        </w:rPr>
        <w:t xml:space="preserve">מיסים</w:t>
      </w:r>
      <w:r>
        <w:rPr>
          <w:rFonts w:ascii="David" w:cs="David" w:eastAsia="David" w:hAnsi="David"/>
          <w:noProof/>
          <w:sz w:val="24"/>
          <w:szCs w:val="24"/>
          <w:rtl/>
        </w:rPr>
        <w:t xml:space="preserve"> כט/3 ה-320 (2015).</w:t>
      </w:r>
    </w:p>
    <w:p>
      <w:pPr>
        <w:bidi/>
        <w:spacing w:after="120" w:line="300"/>
        <w:ind w:start="420" w:hanging="420"/>
        <w:jc w:val="both"/>
      </w:pPr>
      <w:r>
        <w:rPr>
          <w:rFonts w:ascii="David" w:cs="David" w:eastAsia="David" w:hAnsi="David"/>
          <w:noProof/>
          <w:sz w:val="24"/>
          <w:szCs w:val="24"/>
          <w:rtl/>
        </w:rPr>
        <w:t xml:space="preserve">ע"א 483/16 </w:t>
      </w:r>
      <w:r>
        <w:rPr>
          <w:rFonts w:ascii="David" w:cs="David" w:eastAsia="David" w:hAnsi="David"/>
          <w:b/>
          <w:bCs/>
          <w:noProof/>
          <w:sz w:val="24"/>
          <w:szCs w:val="24"/>
          <w:rtl/>
        </w:rPr>
        <w:t xml:space="preserve">יהודאי נ׳ חלמיש – חברה ממשלתית-עירונית לדיור, לשיקום ולהתחדשות שכונות בתל-אביב בע"מ</w:t>
      </w:r>
      <w:r>
        <w:rPr>
          <w:rFonts w:ascii="David" w:cs="David" w:eastAsia="David" w:hAnsi="David"/>
          <w:noProof/>
          <w:sz w:val="24"/>
          <w:szCs w:val="24"/>
          <w:rtl/>
        </w:rPr>
        <w:t xml:space="preserve"> (נבו 3.10.2017).</w:t>
      </w:r>
    </w:p>
    <w:p>
      <w:pPr>
        <w:bidi/>
        <w:spacing w:after="120" w:line="300"/>
        <w:ind w:start="420" w:hanging="420"/>
        <w:jc w:val="both"/>
      </w:pPr>
      <w:r>
        <w:rPr>
          <w:rFonts w:ascii="David" w:cs="David" w:eastAsia="David" w:hAnsi="David"/>
          <w:noProof/>
          <w:sz w:val="24"/>
          <w:szCs w:val="24"/>
          <w:rtl/>
        </w:rPr>
        <w:t xml:space="preserve">בע"מ 7496/19 </w:t>
      </w:r>
      <w:r>
        <w:rPr>
          <w:rFonts w:ascii="David" w:cs="David" w:eastAsia="David" w:hAnsi="David"/>
          <w:b/>
          <w:bCs/>
          <w:noProof/>
          <w:sz w:val="24"/>
          <w:szCs w:val="24"/>
          <w:rtl/>
        </w:rPr>
        <w:t xml:space="preserve">פלוני נ׳ פלוני</w:t>
      </w:r>
      <w:r>
        <w:rPr>
          <w:rFonts w:ascii="David" w:cs="David" w:eastAsia="David" w:hAnsi="David"/>
          <w:noProof/>
          <w:sz w:val="24"/>
          <w:szCs w:val="24"/>
          <w:rtl/>
        </w:rPr>
        <w:t xml:space="preserve"> (נבו 30.12.2019).</w:t>
      </w:r>
    </w:p>
    <w:p>
      <w:pPr>
        <w:bidi/>
        <w:spacing w:after="120" w:line="300"/>
        <w:ind w:start="420" w:hanging="420"/>
        <w:jc w:val="both"/>
      </w:pPr>
      <w:r>
        <w:rPr>
          <w:rFonts w:ascii="David" w:cs="David" w:eastAsia="David" w:hAnsi="David"/>
          <w:noProof/>
          <w:sz w:val="24"/>
          <w:szCs w:val="24"/>
          <w:rtl/>
        </w:rPr>
        <w:t xml:space="preserve">ע"א 749/18 </w:t>
      </w:r>
      <w:r>
        <w:rPr>
          <w:rFonts w:ascii="David" w:cs="David" w:eastAsia="David" w:hAnsi="David"/>
          <w:b/>
          <w:bCs/>
          <w:noProof/>
          <w:sz w:val="24"/>
          <w:szCs w:val="24"/>
          <w:rtl/>
        </w:rPr>
        <w:t xml:space="preserve">עיזבון אבו ג׳נימה נ׳ עיזבון אבו ג׳נימה</w:t>
      </w:r>
      <w:r>
        <w:rPr>
          <w:rFonts w:ascii="David" w:cs="David" w:eastAsia="David" w:hAnsi="David"/>
          <w:noProof/>
          <w:sz w:val="24"/>
          <w:szCs w:val="24"/>
          <w:rtl/>
        </w:rPr>
        <w:t xml:space="preserve"> (נבו 26.7.2020).</w:t>
      </w:r>
    </w:p>
    <w:p>
      <w:pPr>
        <w:bidi/>
        <w:spacing w:after="120" w:line="300"/>
        <w:ind w:start="420" w:hanging="420"/>
        <w:jc w:val="both"/>
      </w:pPr>
      <w:r>
        <w:rPr>
          <w:rFonts w:ascii="David" w:cs="David" w:eastAsia="David" w:hAnsi="David"/>
          <w:noProof/>
          <w:sz w:val="24"/>
          <w:szCs w:val="24"/>
          <w:rtl/>
        </w:rPr>
        <w:t xml:space="preserve">ע"א 3274/18 </w:t>
      </w:r>
      <w:r>
        <w:rPr>
          <w:rFonts w:ascii="David" w:cs="David" w:eastAsia="David" w:hAnsi="David"/>
          <w:b/>
          <w:bCs/>
          <w:noProof/>
          <w:sz w:val="24"/>
          <w:szCs w:val="24"/>
          <w:rtl/>
        </w:rPr>
        <w:t xml:space="preserve">אבו אסמעיל נ׳ סלימאן</w:t>
      </w:r>
      <w:r>
        <w:rPr>
          <w:rFonts w:ascii="David" w:cs="David" w:eastAsia="David" w:hAnsi="David"/>
          <w:noProof/>
          <w:sz w:val="24"/>
          <w:szCs w:val="24"/>
          <w:rtl/>
        </w:rPr>
        <w:t xml:space="preserve"> (נבו 28.7.2020).</w:t>
      </w:r>
    </w:p>
    <w:p>
      <w:pPr>
        <w:bidi/>
        <w:spacing w:after="120" w:line="300"/>
        <w:ind w:start="420" w:hanging="420"/>
        <w:jc w:val="both"/>
      </w:pPr>
      <w:r>
        <w:rPr>
          <w:rFonts w:ascii="David" w:cs="David" w:eastAsia="David" w:hAnsi="David"/>
          <w:noProof/>
          <w:sz w:val="24"/>
          <w:szCs w:val="24"/>
          <w:rtl/>
        </w:rPr>
        <w:t xml:space="preserve">ה"פ (מחוזי י-ם) 48783-04-18 </w:t>
      </w:r>
      <w:r>
        <w:rPr>
          <w:rFonts w:ascii="David" w:cs="David" w:eastAsia="David" w:hAnsi="David"/>
          <w:b/>
          <w:bCs/>
          <w:noProof/>
          <w:sz w:val="24"/>
          <w:szCs w:val="24"/>
          <w:rtl/>
        </w:rPr>
        <w:t xml:space="preserve">הוך נ׳ בריכטא</w:t>
      </w:r>
      <w:r>
        <w:rPr>
          <w:rFonts w:ascii="David" w:cs="David" w:eastAsia="David" w:hAnsi="David"/>
          <w:noProof/>
          <w:sz w:val="24"/>
          <w:szCs w:val="24"/>
          <w:rtl/>
        </w:rPr>
        <w:t xml:space="preserve"> (נבו 4.5.2020).</w:t>
      </w:r>
    </w:p>
    <w:p>
      <w:pPr>
        <w:bidi/>
        <w:spacing w:after="120" w:line="300"/>
        <w:ind w:start="420" w:hanging="420"/>
        <w:jc w:val="both"/>
      </w:pPr>
      <w:r>
        <w:rPr>
          <w:rFonts w:ascii="David" w:cs="David" w:eastAsia="David" w:hAnsi="David"/>
          <w:noProof/>
          <w:sz w:val="24"/>
          <w:szCs w:val="24"/>
          <w:rtl/>
        </w:rPr>
        <w:t xml:space="preserve">ע"א 4116/20 </w:t>
      </w:r>
      <w:r>
        <w:rPr>
          <w:rFonts w:ascii="David" w:cs="David" w:eastAsia="David" w:hAnsi="David"/>
          <w:b/>
          <w:bCs/>
          <w:noProof/>
          <w:sz w:val="24"/>
          <w:szCs w:val="24"/>
          <w:rtl/>
        </w:rPr>
        <w:t xml:space="preserve">הוך נ׳ בריכטא</w:t>
      </w:r>
      <w:r>
        <w:rPr>
          <w:rFonts w:ascii="David" w:cs="David" w:eastAsia="David" w:hAnsi="David"/>
          <w:noProof/>
          <w:sz w:val="24"/>
          <w:szCs w:val="24"/>
          <w:rtl/>
        </w:rPr>
        <w:t xml:space="preserve"> (נבו 17.9.2020) (החלטה).</w:t>
      </w:r>
    </w:p>
    <w:p>
      <w:pPr>
        <w:bidi/>
        <w:spacing w:after="120" w:line="300"/>
        <w:ind w:start="420" w:hanging="420"/>
        <w:jc w:val="both"/>
      </w:pPr>
      <w:r>
        <w:rPr>
          <w:rFonts w:ascii="David" w:cs="David" w:eastAsia="David" w:hAnsi="David"/>
          <w:noProof/>
          <w:sz w:val="24"/>
          <w:szCs w:val="24"/>
          <w:rtl/>
        </w:rPr>
        <w:t xml:space="preserve">ע"א 2693/19 </w:t>
      </w:r>
      <w:r>
        <w:rPr>
          <w:rFonts w:ascii="David" w:cs="David" w:eastAsia="David" w:hAnsi="David"/>
          <w:b/>
          <w:bCs/>
          <w:noProof/>
          <w:sz w:val="24"/>
          <w:szCs w:val="24"/>
          <w:rtl/>
        </w:rPr>
        <w:t xml:space="preserve">משעל נ׳ כמאל</w:t>
      </w:r>
      <w:r>
        <w:rPr>
          <w:rFonts w:ascii="David" w:cs="David" w:eastAsia="David" w:hAnsi="David"/>
          <w:noProof/>
          <w:sz w:val="24"/>
          <w:szCs w:val="24"/>
          <w:rtl/>
        </w:rPr>
        <w:t xml:space="preserve"> (נבו 22.9.2020).</w:t>
      </w:r>
    </w:p>
    <w:p>
      <w:pPr>
        <w:bidi/>
        <w:spacing w:after="120" w:line="300"/>
        <w:ind w:start="420" w:hanging="420"/>
        <w:jc w:val="both"/>
      </w:pPr>
      <w:r>
        <w:rPr>
          <w:rFonts w:ascii="David" w:cs="David" w:eastAsia="David" w:hAnsi="David"/>
          <w:noProof/>
          <w:sz w:val="24"/>
          <w:szCs w:val="24"/>
          <w:rtl/>
        </w:rPr>
        <w:t xml:space="preserve">בע"מ 2311/22 </w:t>
      </w:r>
      <w:r>
        <w:rPr>
          <w:rFonts w:ascii="David" w:cs="David" w:eastAsia="David" w:hAnsi="David"/>
          <w:b/>
          <w:bCs/>
          <w:noProof/>
          <w:sz w:val="24"/>
          <w:szCs w:val="24"/>
          <w:rtl/>
        </w:rPr>
        <w:t xml:space="preserve">פלוני נ׳ פלוני</w:t>
      </w:r>
      <w:r>
        <w:rPr>
          <w:rFonts w:ascii="David" w:cs="David" w:eastAsia="David" w:hAnsi="David"/>
          <w:noProof/>
          <w:sz w:val="24"/>
          <w:szCs w:val="24"/>
          <w:rtl/>
        </w:rPr>
        <w:t xml:space="preserve"> (נבו 13.4.2022).</w:t>
      </w:r>
    </w:p>
    <w:p>
      <w:pPr>
        <w:bidi/>
        <w:spacing w:after="120" w:line="300"/>
        <w:ind w:start="420" w:hanging="420"/>
        <w:jc w:val="both"/>
      </w:pPr>
      <w:r>
        <w:rPr>
          <w:rFonts w:ascii="David" w:cs="David" w:eastAsia="David" w:hAnsi="David"/>
          <w:noProof/>
          <w:sz w:val="24"/>
          <w:szCs w:val="24"/>
          <w:rtl/>
        </w:rPr>
        <w:t xml:space="preserve">ת"א (מחוזי חי׳) 64669-10-18 </w:t>
      </w:r>
      <w:r>
        <w:rPr>
          <w:rFonts w:ascii="David" w:cs="David" w:eastAsia="David" w:hAnsi="David"/>
          <w:b/>
          <w:bCs/>
          <w:noProof/>
          <w:sz w:val="24"/>
          <w:szCs w:val="24"/>
          <w:rtl/>
        </w:rPr>
        <w:t xml:space="preserve">בדארנה נ׳ בדארנה</w:t>
      </w:r>
      <w:r>
        <w:rPr>
          <w:rFonts w:ascii="David" w:cs="David" w:eastAsia="David" w:hAnsi="David"/>
          <w:noProof/>
          <w:sz w:val="24"/>
          <w:szCs w:val="24"/>
          <w:rtl/>
        </w:rPr>
        <w:t xml:space="preserve"> (נבו 9.1.2022).</w:t>
      </w:r>
    </w:p>
    <w:p>
      <w:pPr>
        <w:bidi/>
        <w:spacing w:after="120" w:line="300"/>
        <w:ind w:start="420" w:hanging="420"/>
        <w:jc w:val="both"/>
      </w:pPr>
      <w:r>
        <w:rPr>
          <w:rFonts w:ascii="David" w:cs="David" w:eastAsia="David" w:hAnsi="David"/>
          <w:noProof/>
          <w:sz w:val="24"/>
          <w:szCs w:val="24"/>
          <w:rtl/>
        </w:rPr>
        <w:t xml:space="preserve">עמ"ש (מחוזי מר׳) 52601-10-23 </w:t>
      </w:r>
      <w:r>
        <w:rPr>
          <w:rFonts w:ascii="David" w:cs="David" w:eastAsia="David" w:hAnsi="David"/>
          <w:b/>
          <w:bCs/>
          <w:noProof/>
          <w:sz w:val="24"/>
          <w:szCs w:val="24"/>
          <w:rtl/>
        </w:rPr>
        <w:t xml:space="preserve">א.א. נ׳ אר.א</w:t>
      </w:r>
      <w:r>
        <w:rPr>
          <w:rFonts w:ascii="David" w:cs="David" w:eastAsia="David" w:hAnsi="David"/>
          <w:noProof/>
          <w:sz w:val="24"/>
          <w:szCs w:val="24"/>
          <w:rtl/>
        </w:rPr>
        <w:t xml:space="preserve"> (נבו 1.11.2024).</w:t>
      </w:r>
    </w:p>
    <w:p>
      <w:pPr>
        <w:bidi/>
        <w:spacing w:after="120" w:line="300"/>
        <w:ind w:start="420" w:hanging="420"/>
        <w:jc w:val="both"/>
      </w:pPr>
      <w:r>
        <w:rPr>
          <w:rFonts w:ascii="David" w:cs="David" w:eastAsia="David" w:hAnsi="David"/>
          <w:noProof/>
          <w:sz w:val="24"/>
          <w:szCs w:val="24"/>
          <w:rtl/>
        </w:rPr>
        <w:t xml:space="preserve">ת"א (שלום נצ׳) 19781-06-18 </w:t>
      </w:r>
      <w:r>
        <w:rPr>
          <w:rFonts w:ascii="David" w:cs="David" w:eastAsia="David" w:hAnsi="David"/>
          <w:b/>
          <w:bCs/>
          <w:noProof/>
          <w:sz w:val="24"/>
          <w:szCs w:val="24"/>
          <w:rtl/>
        </w:rPr>
        <w:t xml:space="preserve">אבו ליל נ׳ פאהום</w:t>
      </w:r>
      <w:r>
        <w:rPr>
          <w:rFonts w:ascii="David" w:cs="David" w:eastAsia="David" w:hAnsi="David"/>
          <w:noProof/>
          <w:sz w:val="24"/>
          <w:szCs w:val="24"/>
          <w:rtl/>
        </w:rPr>
        <w:t xml:space="preserve"> (נבו 18.10.2023).</w:t>
      </w:r>
    </w:p>
    <w:p>
      <w:pPr>
        <w:bidi/>
        <w:spacing w:after="120" w:line="300"/>
        <w:ind w:start="420" w:hanging="420"/>
        <w:jc w:val="both"/>
      </w:pPr>
      <w:r>
        <w:rPr>
          <w:rFonts w:ascii="David" w:cs="David" w:eastAsia="David" w:hAnsi="David"/>
          <w:noProof/>
          <w:sz w:val="24"/>
          <w:szCs w:val="24"/>
          <w:rtl/>
        </w:rPr>
        <w:t xml:space="preserve">תמ"ש (משפחה ת"א) 18541-01-22 </w:t>
      </w:r>
      <w:r>
        <w:rPr>
          <w:rFonts w:ascii="David" w:cs="David" w:eastAsia="David" w:hAnsi="David"/>
          <w:b/>
          <w:bCs/>
          <w:noProof/>
          <w:sz w:val="24"/>
          <w:szCs w:val="24"/>
          <w:rtl/>
        </w:rPr>
        <w:t xml:space="preserve">פלונים נ׳ אלמונים</w:t>
      </w:r>
      <w:r>
        <w:rPr>
          <w:rFonts w:ascii="David" w:cs="David" w:eastAsia="David" w:hAnsi="David"/>
          <w:noProof/>
          <w:sz w:val="24"/>
          <w:szCs w:val="24"/>
          <w:rtl/>
        </w:rPr>
        <w:t xml:space="preserve"> (נבו 15.1.2023).</w:t>
      </w:r>
    </w:p>
    <w:p>
      <w:pPr>
        <w:bidi/>
        <w:spacing w:after="120" w:line="300"/>
        <w:ind w:start="420" w:hanging="420"/>
        <w:jc w:val="both"/>
      </w:pPr>
      <w:r>
        <w:rPr>
          <w:rFonts w:ascii="David" w:cs="David" w:eastAsia="David" w:hAnsi="David"/>
          <w:noProof/>
          <w:sz w:val="24"/>
          <w:szCs w:val="24"/>
          <w:rtl/>
        </w:rPr>
        <w:t xml:space="preserve">תלה"מ (משפחה נצ׳) 60777-07-20 </w:t>
      </w:r>
      <w:r>
        <w:rPr>
          <w:rFonts w:ascii="David" w:cs="David" w:eastAsia="David" w:hAnsi="David"/>
          <w:b/>
          <w:bCs/>
          <w:noProof/>
          <w:sz w:val="24"/>
          <w:szCs w:val="24"/>
          <w:rtl/>
        </w:rPr>
        <w:t xml:space="preserve">ג.ס נ׳ מ.ד</w:t>
      </w:r>
      <w:r>
        <w:rPr>
          <w:rFonts w:ascii="David" w:cs="David" w:eastAsia="David" w:hAnsi="David"/>
          <w:noProof/>
          <w:sz w:val="24"/>
          <w:szCs w:val="24"/>
          <w:rtl/>
        </w:rPr>
        <w:t xml:space="preserve"> (נבו 14.4.2021).</w:t>
      </w:r>
    </w:p>
    <w:p>
      <w:pPr>
        <w:bidi/>
        <w:spacing w:after="120" w:line="300"/>
        <w:ind w:start="420" w:hanging="420"/>
        <w:jc w:val="both"/>
      </w:pPr>
      <w:r>
        <w:rPr>
          <w:rFonts w:ascii="David" w:cs="David" w:eastAsia="David" w:hAnsi="David"/>
          <w:noProof/>
          <w:sz w:val="24"/>
          <w:szCs w:val="24"/>
          <w:rtl/>
        </w:rPr>
        <w:t xml:space="preserve">תמ"ש (משפחה נצ׳) 4821-07 </w:t>
      </w:r>
      <w:r>
        <w:rPr>
          <w:rFonts w:ascii="David" w:cs="David" w:eastAsia="David" w:hAnsi="David"/>
          <w:b/>
          <w:bCs/>
          <w:noProof/>
          <w:sz w:val="24"/>
          <w:szCs w:val="24"/>
          <w:rtl/>
        </w:rPr>
        <w:t xml:space="preserve">ס.ע.ז נ׳ ע.ע.ז</w:t>
      </w:r>
      <w:r>
        <w:rPr>
          <w:rFonts w:ascii="David" w:cs="David" w:eastAsia="David" w:hAnsi="David"/>
          <w:noProof/>
          <w:sz w:val="24"/>
          <w:szCs w:val="24"/>
          <w:rtl/>
        </w:rPr>
        <w:t xml:space="preserve"> (נבו 2012).</w:t>
      </w:r>
    </w:p>
    <w:p>
      <w:pPr>
        <w:bidi/>
        <w:spacing w:after="120" w:line="300"/>
        <w:ind w:start="420" w:hanging="420"/>
        <w:jc w:val="both"/>
      </w:pPr>
      <w:r>
        <w:rPr>
          <w:rFonts w:ascii="David" w:cs="David" w:eastAsia="David" w:hAnsi="David"/>
          <w:noProof/>
          <w:sz w:val="24"/>
          <w:szCs w:val="24"/>
          <w:rtl/>
        </w:rPr>
        <w:t xml:space="preserve">תמ"ש (משפחה נצ׳) 27669-01-17 </w:t>
      </w:r>
      <w:r>
        <w:rPr>
          <w:rFonts w:ascii="David" w:cs="David" w:eastAsia="David" w:hAnsi="David"/>
          <w:b/>
          <w:bCs/>
          <w:noProof/>
          <w:sz w:val="24"/>
          <w:szCs w:val="24"/>
          <w:rtl/>
        </w:rPr>
        <w:t xml:space="preserve">ו.ע נ׳ כ.ע</w:t>
      </w:r>
      <w:r>
        <w:rPr>
          <w:rFonts w:ascii="David" w:cs="David" w:eastAsia="David" w:hAnsi="David"/>
          <w:noProof/>
          <w:sz w:val="24"/>
          <w:szCs w:val="24"/>
          <w:rtl/>
        </w:rPr>
        <w:t xml:space="preserve"> (נבו 22.4.2018).</w:t>
      </w:r>
    </w:p>
    <w:p>
      <w:pPr>
        <w:bidi/>
        <w:spacing w:after="120" w:line="300"/>
        <w:ind w:start="420" w:hanging="420"/>
        <w:jc w:val="both"/>
      </w:pPr>
      <w:r>
        <w:rPr>
          <w:rFonts w:ascii="David" w:cs="David" w:eastAsia="David" w:hAnsi="David"/>
          <w:noProof/>
          <w:sz w:val="24"/>
          <w:szCs w:val="24"/>
          <w:rtl/>
        </w:rPr>
        <w:t xml:space="preserve">תלה"מ (משפחה נצ׳) 39735-12-19 </w:t>
      </w:r>
      <w:r>
        <w:rPr>
          <w:rFonts w:ascii="David" w:cs="David" w:eastAsia="David" w:hAnsi="David"/>
          <w:b/>
          <w:bCs/>
          <w:noProof/>
          <w:sz w:val="24"/>
          <w:szCs w:val="24"/>
          <w:rtl/>
        </w:rPr>
        <w:t xml:space="preserve">פלונית נ׳ פלוני</w:t>
      </w:r>
      <w:r>
        <w:rPr>
          <w:rFonts w:ascii="David" w:cs="David" w:eastAsia="David" w:hAnsi="David"/>
          <w:noProof/>
          <w:sz w:val="24"/>
          <w:szCs w:val="24"/>
          <w:rtl/>
        </w:rPr>
        <w:t xml:space="preserve"> (נבו 14.10.2022).</w:t>
      </w:r>
    </w:p>
    <w:p>
      <w:pPr>
        <w:bidi/>
        <w:spacing w:after="120" w:line="300"/>
        <w:ind w:start="420" w:hanging="420"/>
        <w:jc w:val="both"/>
      </w:pPr>
      <w:r>
        <w:rPr>
          <w:rFonts w:ascii="David" w:cs="David" w:eastAsia="David" w:hAnsi="David"/>
          <w:noProof/>
          <w:sz w:val="24"/>
          <w:szCs w:val="24"/>
          <w:rtl/>
        </w:rPr>
        <w:t xml:space="preserve">תמ"ש (משפחה חד׳) 44358-11-19 </w:t>
      </w:r>
      <w:r>
        <w:rPr>
          <w:rFonts w:ascii="David" w:cs="David" w:eastAsia="David" w:hAnsi="David"/>
          <w:b/>
          <w:bCs/>
          <w:noProof/>
          <w:sz w:val="24"/>
          <w:szCs w:val="24"/>
          <w:rtl/>
        </w:rPr>
        <w:t xml:space="preserve">אלמונית נ׳ פלונית</w:t>
      </w:r>
      <w:r>
        <w:rPr>
          <w:rFonts w:ascii="David" w:cs="David" w:eastAsia="David" w:hAnsi="David"/>
          <w:noProof/>
          <w:sz w:val="24"/>
          <w:szCs w:val="24"/>
          <w:rtl/>
        </w:rPr>
        <w:t xml:space="preserve"> (נבו 7.5.2023).</w:t>
      </w:r>
    </w:p>
    <w:p>
      <w:pPr>
        <w:bidi/>
        <w:spacing w:after="120" w:line="300"/>
        <w:ind w:start="420" w:hanging="420"/>
        <w:jc w:val="both"/>
      </w:pPr>
      <w:r>
        <w:rPr>
          <w:rFonts w:ascii="David" w:cs="David" w:eastAsia="David" w:hAnsi="David"/>
          <w:noProof/>
          <w:sz w:val="24"/>
          <w:szCs w:val="24"/>
          <w:rtl/>
        </w:rPr>
        <w:t xml:space="preserve">ת"א (מחוזי חי׳) 41898-04-18 </w:t>
      </w:r>
      <w:r>
        <w:rPr>
          <w:rFonts w:ascii="David" w:cs="David" w:eastAsia="David" w:hAnsi="David"/>
          <w:b/>
          <w:bCs/>
          <w:noProof/>
          <w:sz w:val="24"/>
          <w:szCs w:val="24"/>
          <w:rtl/>
        </w:rPr>
        <w:t xml:space="preserve">שחוק נ׳ עיזבון המנוח שחוק ז"ל</w:t>
      </w:r>
      <w:r>
        <w:rPr>
          <w:rFonts w:ascii="David" w:cs="David" w:eastAsia="David" w:hAnsi="David"/>
          <w:noProof/>
          <w:sz w:val="24"/>
          <w:szCs w:val="24"/>
          <w:rtl/>
        </w:rPr>
        <w:t xml:space="preserve"> (נבו 21.2.2021).</w:t>
      </w:r>
    </w:p>
    <w:p>
      <w:pPr>
        <w:bidi/>
        <w:spacing w:after="120" w:line="300"/>
        <w:ind w:start="420" w:hanging="420"/>
        <w:jc w:val="both"/>
      </w:pPr>
      <w:r>
        <w:rPr>
          <w:rFonts w:ascii="David" w:cs="David" w:eastAsia="David" w:hAnsi="David"/>
          <w:noProof/>
          <w:sz w:val="24"/>
          <w:szCs w:val="24"/>
          <w:rtl/>
        </w:rPr>
        <w:t xml:space="preserve">תמ"ש (משפחה נצ׳) 59099-02-24 </w:t>
      </w:r>
      <w:r>
        <w:rPr>
          <w:rFonts w:ascii="David" w:cs="David" w:eastAsia="David" w:hAnsi="David"/>
          <w:b/>
          <w:bCs/>
          <w:noProof/>
          <w:sz w:val="24"/>
          <w:szCs w:val="24"/>
          <w:rtl/>
        </w:rPr>
        <w:t xml:space="preserve">א.ז נ׳ מ.ז</w:t>
      </w:r>
      <w:r>
        <w:rPr>
          <w:rFonts w:ascii="David" w:cs="David" w:eastAsia="David" w:hAnsi="David"/>
          <w:noProof/>
          <w:sz w:val="24"/>
          <w:szCs w:val="24"/>
          <w:rtl/>
        </w:rPr>
        <w:t xml:space="preserve"> (נבו 10.3.2026).</w:t>
      </w:r>
    </w:p>
    <w:p>
      <w:pPr>
        <w:pStyle w:val="Heading2"/>
        <w:bidi/>
        <w:spacing w:after="160" w:before="240"/>
      </w:pPr>
      <w:r>
        <w:rPr>
          <w:rFonts w:ascii="David" w:cs="David" w:eastAsia="David" w:hAnsi="David"/>
          <w:b/>
          <w:bCs/>
          <w:color w:val="000000"/>
          <w:sz w:val="28"/>
          <w:szCs w:val="28"/>
          <w:rtl/>
        </w:rPr>
        <w:t xml:space="preserve">ספרות עברית</w:t>
      </w:r>
    </w:p>
    <w:p>
      <w:pPr>
        <w:bidi/>
        <w:spacing w:after="120" w:line="300"/>
        <w:ind w:start="420" w:hanging="420"/>
        <w:jc w:val="both"/>
      </w:pPr>
      <w:r>
        <w:rPr>
          <w:rFonts w:ascii="David" w:cs="David" w:eastAsia="David" w:hAnsi="David"/>
          <w:noProof/>
          <w:sz w:val="24"/>
          <w:szCs w:val="24"/>
          <w:rtl/>
        </w:rPr>
        <w:t xml:space="preserve">דוד בר-אופיר </w:t>
      </w:r>
      <w:r>
        <w:rPr>
          <w:rFonts w:ascii="David" w:cs="David" w:eastAsia="David" w:hAnsi="David"/>
          <w:b/>
          <w:bCs/>
          <w:noProof/>
          <w:sz w:val="24"/>
          <w:szCs w:val="24"/>
          <w:rtl/>
        </w:rPr>
        <w:t xml:space="preserve">הוצאה לפועל – הליכים והלכות</w:t>
      </w:r>
      <w:r>
        <w:rPr>
          <w:rFonts w:ascii="David" w:cs="David" w:eastAsia="David" w:hAnsi="David"/>
          <w:noProof/>
          <w:sz w:val="24"/>
          <w:szCs w:val="24"/>
          <w:rtl/>
        </w:rPr>
        <w:t xml:space="preserve"> (מהדורה שביעית 2018).</w:t>
      </w:r>
    </w:p>
    <w:p>
      <w:pPr>
        <w:bidi/>
        <w:spacing w:after="120" w:line="300"/>
        <w:ind w:start="420" w:hanging="420"/>
        <w:jc w:val="both"/>
      </w:pPr>
      <w:r>
        <w:rPr>
          <w:rFonts w:ascii="David" w:cs="David" w:eastAsia="David" w:hAnsi="David"/>
          <w:noProof/>
          <w:sz w:val="24"/>
          <w:szCs w:val="24"/>
          <w:rtl/>
        </w:rPr>
        <w:t xml:space="preserve">אהרן ברק </w:t>
      </w:r>
      <w:r>
        <w:rPr>
          <w:rFonts w:ascii="David" w:cs="David" w:eastAsia="David" w:hAnsi="David"/>
          <w:b/>
          <w:bCs/>
          <w:noProof/>
          <w:sz w:val="24"/>
          <w:szCs w:val="24"/>
          <w:rtl/>
        </w:rPr>
        <w:t xml:space="preserve">חוק השליחות</w:t>
      </w:r>
      <w:r>
        <w:rPr>
          <w:rFonts w:ascii="David" w:cs="David" w:eastAsia="David" w:hAnsi="David"/>
          <w:noProof/>
          <w:sz w:val="24"/>
          <w:szCs w:val="24"/>
          <w:rtl/>
        </w:rPr>
        <w:t xml:space="preserve"> (מהדורה שנייה 1996).</w:t>
      </w:r>
    </w:p>
    <w:p>
      <w:pPr>
        <w:bidi/>
        <w:spacing w:after="120" w:line="300"/>
        <w:ind w:start="420" w:hanging="420"/>
        <w:jc w:val="both"/>
      </w:pPr>
      <w:r>
        <w:rPr>
          <w:rFonts w:ascii="David" w:cs="David" w:eastAsia="David" w:hAnsi="David"/>
          <w:noProof/>
          <w:sz w:val="24"/>
          <w:szCs w:val="24"/>
          <w:rtl/>
        </w:rPr>
        <w:t xml:space="preserve">אבי גורמן ושי אהרונוביץ׳ </w:t>
      </w:r>
      <w:r>
        <w:rPr>
          <w:rFonts w:ascii="David" w:cs="David" w:eastAsia="David" w:hAnsi="David"/>
          <w:b/>
          <w:bCs/>
          <w:noProof/>
          <w:sz w:val="24"/>
          <w:szCs w:val="24"/>
          <w:rtl/>
        </w:rPr>
        <w:t xml:space="preserve">מיסוי מקרקעין – פרשנות, הלכה ומעשה</w:t>
      </w:r>
      <w:r>
        <w:rPr>
          <w:rFonts w:ascii="David" w:cs="David" w:eastAsia="David" w:hAnsi="David"/>
          <w:noProof/>
          <w:sz w:val="24"/>
          <w:szCs w:val="24"/>
          <w:rtl/>
        </w:rPr>
        <w:t xml:space="preserve"> (2017).</w:t>
      </w:r>
    </w:p>
    <w:p>
      <w:pPr>
        <w:bidi/>
        <w:spacing w:after="120" w:line="300"/>
        <w:ind w:start="420" w:hanging="420"/>
        <w:jc w:val="both"/>
      </w:pPr>
      <w:r>
        <w:rPr>
          <w:rFonts w:ascii="David" w:cs="David" w:eastAsia="David" w:hAnsi="David"/>
          <w:noProof/>
          <w:sz w:val="24"/>
          <w:szCs w:val="24"/>
          <w:rtl/>
        </w:rPr>
        <w:t xml:space="preserve">טל חבקין </w:t>
      </w:r>
      <w:r>
        <w:rPr>
          <w:rFonts w:ascii="David" w:cs="David" w:eastAsia="David" w:hAnsi="David"/>
          <w:b/>
          <w:bCs/>
          <w:noProof/>
          <w:sz w:val="24"/>
          <w:szCs w:val="24"/>
          <w:rtl/>
        </w:rPr>
        <w:t xml:space="preserve">התיישנות</w:t>
      </w:r>
      <w:r>
        <w:rPr>
          <w:rFonts w:ascii="David" w:cs="David" w:eastAsia="David" w:hAnsi="David"/>
          <w:noProof/>
          <w:sz w:val="24"/>
          <w:szCs w:val="24"/>
          <w:rtl/>
        </w:rPr>
        <w:t xml:space="preserve"> (מהדורה שנייה 2021).</w:t>
      </w:r>
    </w:p>
    <w:p>
      <w:pPr>
        <w:bidi/>
        <w:spacing w:after="120" w:line="300"/>
        <w:ind w:start="420" w:hanging="420"/>
        <w:jc w:val="both"/>
      </w:pPr>
      <w:r>
        <w:rPr>
          <w:rFonts w:ascii="David" w:cs="David" w:eastAsia="David" w:hAnsi="David"/>
          <w:noProof/>
          <w:sz w:val="24"/>
          <w:szCs w:val="24"/>
          <w:rtl/>
        </w:rPr>
        <w:t xml:space="preserve">יהושע ויסמן </w:t>
      </w:r>
      <w:r>
        <w:rPr>
          <w:rFonts w:ascii="David" w:cs="David" w:eastAsia="David" w:hAnsi="David"/>
          <w:b/>
          <w:bCs/>
          <w:noProof/>
          <w:sz w:val="24"/>
          <w:szCs w:val="24"/>
          <w:rtl/>
        </w:rPr>
        <w:t xml:space="preserve">דיני קניין – חלק כללי</w:t>
      </w:r>
      <w:r>
        <w:rPr>
          <w:rFonts w:ascii="David" w:cs="David" w:eastAsia="David" w:hAnsi="David"/>
          <w:noProof/>
          <w:sz w:val="24"/>
          <w:szCs w:val="24"/>
          <w:rtl/>
        </w:rPr>
        <w:t xml:space="preserve"> (1993).</w:t>
      </w:r>
    </w:p>
    <w:p>
      <w:pPr>
        <w:bidi/>
        <w:spacing w:after="120" w:line="300"/>
        <w:ind w:start="420" w:hanging="420"/>
        <w:jc w:val="both"/>
      </w:pPr>
      <w:r>
        <w:rPr>
          <w:rFonts w:ascii="David" w:cs="David" w:eastAsia="David" w:hAnsi="David"/>
          <w:noProof/>
          <w:sz w:val="24"/>
          <w:szCs w:val="24"/>
          <w:rtl/>
        </w:rPr>
        <w:t xml:space="preserve">יהושע ויסמן "יפוי-כוח בלתי-חוזר כתחליף לבעלות" </w:t>
      </w:r>
      <w:r>
        <w:rPr>
          <w:rFonts w:ascii="David" w:cs="David" w:eastAsia="David" w:hAnsi="David"/>
          <w:b/>
          <w:bCs/>
          <w:noProof/>
          <w:sz w:val="24"/>
          <w:szCs w:val="24"/>
          <w:rtl/>
        </w:rPr>
        <w:t xml:space="preserve">משפטים</w:t>
      </w:r>
      <w:r>
        <w:rPr>
          <w:rFonts w:ascii="David" w:cs="David" w:eastAsia="David" w:hAnsi="David"/>
          <w:noProof/>
          <w:sz w:val="24"/>
          <w:szCs w:val="24"/>
          <w:rtl/>
        </w:rPr>
        <w:t xml:space="preserve"> יד 572 (התשמ"ה).</w:t>
      </w:r>
    </w:p>
    <w:p>
      <w:pPr>
        <w:bidi/>
        <w:spacing w:after="120" w:line="300"/>
        <w:ind w:start="420" w:hanging="420"/>
        <w:jc w:val="both"/>
      </w:pPr>
      <w:r>
        <w:rPr>
          <w:rFonts w:ascii="David" w:cs="David" w:eastAsia="David" w:hAnsi="David"/>
          <w:noProof/>
          <w:sz w:val="24"/>
          <w:szCs w:val="24"/>
          <w:rtl/>
        </w:rPr>
        <w:t xml:space="preserve">נינה זלצמן "רישיון במקרקעין" </w:t>
      </w:r>
      <w:r>
        <w:rPr>
          <w:rFonts w:ascii="David" w:cs="David" w:eastAsia="David" w:hAnsi="David"/>
          <w:b/>
          <w:bCs/>
          <w:noProof/>
          <w:sz w:val="24"/>
          <w:szCs w:val="24"/>
          <w:rtl/>
        </w:rPr>
        <w:t xml:space="preserve">הפרקליט</w:t>
      </w:r>
      <w:r>
        <w:rPr>
          <w:rFonts w:ascii="David" w:cs="David" w:eastAsia="David" w:hAnsi="David"/>
          <w:noProof/>
          <w:sz w:val="24"/>
          <w:szCs w:val="24"/>
          <w:rtl/>
        </w:rPr>
        <w:t xml:space="preserve"> מב 24 (התשנ"ה).</w:t>
      </w:r>
    </w:p>
    <w:p>
      <w:pPr>
        <w:bidi/>
        <w:spacing w:after="120" w:line="300"/>
        <w:ind w:start="420" w:hanging="420"/>
        <w:jc w:val="both"/>
      </w:pPr>
      <w:r>
        <w:rPr>
          <w:rFonts w:ascii="David" w:cs="David" w:eastAsia="David" w:hAnsi="David"/>
          <w:noProof/>
          <w:sz w:val="24"/>
          <w:szCs w:val="24"/>
          <w:rtl/>
        </w:rPr>
        <w:t xml:space="preserve">"חוזים על פי דיני התורה" </w:t>
      </w:r>
      <w:r>
        <w:rPr>
          <w:rFonts w:ascii="David" w:cs="David" w:eastAsia="David" w:hAnsi="David"/>
          <w:b/>
          <w:bCs/>
          <w:noProof/>
          <w:sz w:val="24"/>
          <w:szCs w:val="24"/>
          <w:rtl/>
        </w:rPr>
        <w:t xml:space="preserve">כתר</w:t>
      </w:r>
      <w:r>
        <w:rPr>
          <w:rFonts w:ascii="David" w:cs="David" w:eastAsia="David" w:hAnsi="David"/>
          <w:noProof/>
          <w:sz w:val="24"/>
          <w:szCs w:val="24"/>
          <w:rtl/>
        </w:rPr>
        <w:t xml:space="preserve"> א 71 (התשנ"ו).</w:t>
      </w:r>
    </w:p>
    <w:p>
      <w:pPr>
        <w:bidi/>
        <w:spacing w:after="120" w:line="300"/>
        <w:ind w:start="420" w:hanging="420"/>
        <w:jc w:val="both"/>
      </w:pPr>
      <w:r>
        <w:rPr>
          <w:rFonts w:ascii="David" w:cs="David" w:eastAsia="David" w:hAnsi="David"/>
          <w:noProof/>
          <w:sz w:val="24"/>
          <w:szCs w:val="24"/>
          <w:rtl/>
        </w:rPr>
        <w:t xml:space="preserve">מוחמד ח׳לאילה ואחמד בדראן </w:t>
      </w:r>
      <w:r>
        <w:rPr>
          <w:rFonts w:ascii="David" w:cs="David" w:eastAsia="David" w:hAnsi="David"/>
          <w:b/>
          <w:bCs/>
          <w:noProof/>
          <w:sz w:val="24"/>
          <w:szCs w:val="24"/>
          <w:rtl/>
        </w:rPr>
        <w:t xml:space="preserve">שנתון החברה הערבית בישראל 2023</w:t>
      </w:r>
      <w:r>
        <w:rPr>
          <w:rFonts w:ascii="David" w:cs="David" w:eastAsia="David" w:hAnsi="David"/>
          <w:noProof/>
          <w:sz w:val="24"/>
          <w:szCs w:val="24"/>
          <w:rtl/>
        </w:rPr>
        <w:t xml:space="preserve"> (2023).</w:t>
      </w:r>
    </w:p>
    <w:p>
      <w:pPr>
        <w:bidi/>
        <w:spacing w:after="120" w:line="300"/>
        <w:ind w:start="420" w:hanging="420"/>
        <w:jc w:val="both"/>
      </w:pPr>
      <w:r>
        <w:rPr>
          <w:rFonts w:ascii="David" w:cs="David" w:eastAsia="David" w:hAnsi="David"/>
          <w:noProof/>
          <w:sz w:val="24"/>
          <w:szCs w:val="24"/>
          <w:rtl/>
        </w:rPr>
        <w:t xml:space="preserve">חיים זנדברג </w:t>
      </w:r>
      <w:r>
        <w:rPr>
          <w:rFonts w:ascii="David" w:cs="David" w:eastAsia="David" w:hAnsi="David"/>
          <w:b/>
          <w:bCs/>
          <w:noProof/>
          <w:sz w:val="24"/>
          <w:szCs w:val="24"/>
          <w:rtl/>
        </w:rPr>
        <w:t xml:space="preserve">הסדר זכויות במקרקעין בארץ-ישראל ובמדינת ישראל</w:t>
      </w:r>
      <w:r>
        <w:rPr>
          <w:rFonts w:ascii="David" w:cs="David" w:eastAsia="David" w:hAnsi="David"/>
          <w:noProof/>
          <w:sz w:val="24"/>
          <w:szCs w:val="24"/>
          <w:rtl/>
        </w:rPr>
        <w:t xml:space="preserve"> (התש"ס).</w:t>
      </w:r>
    </w:p>
    <w:p>
      <w:pPr>
        <w:bidi/>
        <w:spacing w:after="120" w:line="300"/>
        <w:ind w:start="420" w:hanging="420"/>
        <w:jc w:val="both"/>
      </w:pPr>
      <w:r>
        <w:rPr>
          <w:rFonts w:ascii="David" w:cs="David" w:eastAsia="David" w:hAnsi="David"/>
          <w:noProof/>
          <w:sz w:val="24"/>
          <w:szCs w:val="24"/>
          <w:rtl/>
        </w:rPr>
        <w:t xml:space="preserve">חיים זנדברג "עסקה בזכות אובליגטורית או בזכות במקרקעין? תכלית, לשון ואקטיביזם שיפוטי" </w:t>
      </w:r>
      <w:r>
        <w:rPr>
          <w:rFonts w:ascii="David" w:cs="David" w:eastAsia="David" w:hAnsi="David"/>
          <w:b/>
          <w:bCs/>
          <w:noProof/>
          <w:sz w:val="24"/>
          <w:szCs w:val="24"/>
          <w:rtl/>
        </w:rPr>
        <w:t xml:space="preserve">משפטים על אתר</w:t>
      </w:r>
      <w:r>
        <w:rPr>
          <w:rFonts w:ascii="David" w:cs="David" w:eastAsia="David" w:hAnsi="David"/>
          <w:noProof/>
          <w:sz w:val="24"/>
          <w:szCs w:val="24"/>
          <w:rtl/>
        </w:rPr>
        <w:t xml:space="preserve"> יג 79 (התש"ף).</w:t>
      </w:r>
    </w:p>
    <w:p>
      <w:pPr>
        <w:bidi/>
        <w:spacing w:after="120" w:line="300"/>
        <w:ind w:start="420" w:hanging="420"/>
        <w:jc w:val="both"/>
      </w:pPr>
      <w:r>
        <w:rPr>
          <w:rFonts w:ascii="David" w:cs="David" w:eastAsia="David" w:hAnsi="David"/>
          <w:noProof/>
          <w:sz w:val="24"/>
          <w:szCs w:val="24"/>
          <w:rtl/>
        </w:rPr>
        <w:t xml:space="preserve">גד טדסקי "הרשאה בלתי-הדירה לביצוע מתנה לאדם שלישי" </w:t>
      </w:r>
      <w:r>
        <w:rPr>
          <w:rFonts w:ascii="David" w:cs="David" w:eastAsia="David" w:hAnsi="David"/>
          <w:b/>
          <w:bCs/>
          <w:noProof/>
          <w:sz w:val="24"/>
          <w:szCs w:val="24"/>
          <w:rtl/>
        </w:rPr>
        <w:t xml:space="preserve">משפטים</w:t>
      </w:r>
      <w:r>
        <w:rPr>
          <w:rFonts w:ascii="David" w:cs="David" w:eastAsia="David" w:hAnsi="David"/>
          <w:noProof/>
          <w:sz w:val="24"/>
          <w:szCs w:val="24"/>
          <w:rtl/>
        </w:rPr>
        <w:t xml:space="preserve"> יט 205 (התשמ"ט).</w:t>
      </w:r>
    </w:p>
    <w:p>
      <w:pPr>
        <w:bidi/>
        <w:spacing w:after="120" w:line="300"/>
        <w:ind w:start="420" w:hanging="420"/>
        <w:jc w:val="both"/>
      </w:pPr>
      <w:r>
        <w:rPr>
          <w:rFonts w:ascii="David" w:cs="David" w:eastAsia="David" w:hAnsi="David"/>
          <w:noProof/>
          <w:sz w:val="24"/>
          <w:szCs w:val="24"/>
          <w:rtl/>
        </w:rPr>
        <w:t xml:space="preserve">אורן יפתחאל, סנדי קדר ואחמד אמארה "עיון מחדש בהלכת 'הנגב המת': זכויות קניין במרחב הבדווי" </w:t>
      </w:r>
      <w:r>
        <w:rPr>
          <w:rFonts w:ascii="David" w:cs="David" w:eastAsia="David" w:hAnsi="David"/>
          <w:b/>
          <w:bCs/>
          <w:noProof/>
          <w:sz w:val="24"/>
          <w:szCs w:val="24"/>
          <w:rtl/>
        </w:rPr>
        <w:t xml:space="preserve">משפט וממשל</w:t>
      </w:r>
      <w:r>
        <w:rPr>
          <w:rFonts w:ascii="David" w:cs="David" w:eastAsia="David" w:hAnsi="David"/>
          <w:noProof/>
          <w:sz w:val="24"/>
          <w:szCs w:val="24"/>
          <w:rtl/>
        </w:rPr>
        <w:t xml:space="preserve"> יד 7 (2012).</w:t>
      </w:r>
    </w:p>
    <w:p>
      <w:pPr>
        <w:bidi/>
        <w:spacing w:after="120" w:line="300"/>
        <w:ind w:start="420" w:hanging="420"/>
        <w:jc w:val="both"/>
      </w:pPr>
      <w:r>
        <w:rPr>
          <w:rFonts w:ascii="David" w:cs="David" w:eastAsia="David" w:hAnsi="David"/>
          <w:noProof/>
          <w:sz w:val="24"/>
          <w:szCs w:val="24"/>
          <w:rtl/>
        </w:rPr>
        <w:t xml:space="preserve">נילי כהן "צורת החוזה" </w:t>
      </w:r>
      <w:r>
        <w:rPr>
          <w:rFonts w:ascii="David" w:cs="David" w:eastAsia="David" w:hAnsi="David"/>
          <w:b/>
          <w:bCs/>
          <w:noProof/>
          <w:sz w:val="24"/>
          <w:szCs w:val="24"/>
          <w:rtl/>
        </w:rPr>
        <w:t xml:space="preserve">הפרקליט</w:t>
      </w:r>
      <w:r>
        <w:rPr>
          <w:rFonts w:ascii="David" w:cs="David" w:eastAsia="David" w:hAnsi="David"/>
          <w:noProof/>
          <w:sz w:val="24"/>
          <w:szCs w:val="24"/>
          <w:rtl/>
        </w:rPr>
        <w:t xml:space="preserve"> לח 383 (התשמ"ט).</w:t>
      </w:r>
    </w:p>
    <w:p>
      <w:pPr>
        <w:bidi/>
        <w:spacing w:after="120" w:line="300"/>
        <w:ind w:start="420" w:hanging="420"/>
        <w:jc w:val="both"/>
      </w:pPr>
      <w:r>
        <w:rPr>
          <w:rFonts w:ascii="David" w:cs="David" w:eastAsia="David" w:hAnsi="David"/>
          <w:noProof/>
          <w:sz w:val="24"/>
          <w:szCs w:val="24"/>
          <w:rtl/>
        </w:rPr>
        <w:t xml:space="preserve">רונית לוין-שנור "הפרטה, הפרדה והפליה – זניחת ההליכים של הסדר הזכויות במקרקעין במזרח ירושלים" </w:t>
      </w:r>
      <w:r>
        <w:rPr>
          <w:rFonts w:ascii="David" w:cs="David" w:eastAsia="David" w:hAnsi="David"/>
          <w:b/>
          <w:bCs/>
          <w:noProof/>
          <w:sz w:val="24"/>
          <w:szCs w:val="24"/>
          <w:rtl/>
        </w:rPr>
        <w:t xml:space="preserve">עיוני משפט</w:t>
      </w:r>
      <w:r>
        <w:rPr>
          <w:rFonts w:ascii="David" w:cs="David" w:eastAsia="David" w:hAnsi="David"/>
          <w:noProof/>
          <w:sz w:val="24"/>
          <w:szCs w:val="24"/>
          <w:rtl/>
        </w:rPr>
        <w:t xml:space="preserve"> לד 183 (2011).</w:t>
      </w:r>
    </w:p>
    <w:p>
      <w:pPr>
        <w:bidi/>
        <w:spacing w:after="120" w:line="300"/>
        <w:ind w:start="420" w:hanging="420"/>
        <w:jc w:val="both"/>
      </w:pPr>
      <w:r>
        <w:rPr>
          <w:rFonts w:ascii="David" w:cs="David" w:eastAsia="David" w:hAnsi="David"/>
          <w:noProof/>
          <w:sz w:val="24"/>
          <w:szCs w:val="24"/>
          <w:rtl/>
        </w:rPr>
        <w:t xml:space="preserve">קייס נאסר </w:t>
      </w:r>
      <w:r>
        <w:rPr>
          <w:rFonts w:ascii="David" w:cs="David" w:eastAsia="David" w:hAnsi="David"/>
          <w:b/>
          <w:bCs/>
          <w:noProof/>
          <w:sz w:val="24"/>
          <w:szCs w:val="24"/>
          <w:rtl/>
        </w:rPr>
        <w:t xml:space="preserve">תהליכי התכנון והעיור ביישובים הערביים בישראל</w:t>
      </w:r>
      <w:r>
        <w:rPr>
          <w:rFonts w:ascii="David" w:cs="David" w:eastAsia="David" w:hAnsi="David"/>
          <w:noProof/>
          <w:sz w:val="24"/>
          <w:szCs w:val="24"/>
          <w:rtl/>
        </w:rPr>
        <w:t xml:space="preserve"> (רביב שלו עורך 2020).</w:t>
      </w:r>
    </w:p>
    <w:p>
      <w:pPr>
        <w:bidi/>
        <w:spacing w:after="120" w:line="300"/>
        <w:ind w:start="420" w:hanging="420"/>
        <w:jc w:val="both"/>
      </w:pPr>
      <w:r>
        <w:rPr>
          <w:rFonts w:ascii="David" w:cs="David" w:eastAsia="David" w:hAnsi="David"/>
          <w:noProof/>
          <w:sz w:val="24"/>
          <w:szCs w:val="24"/>
          <w:rtl/>
        </w:rPr>
        <w:t xml:space="preserve">אהרן נמדר </w:t>
      </w:r>
      <w:r>
        <w:rPr>
          <w:rFonts w:ascii="David" w:cs="David" w:eastAsia="David" w:hAnsi="David"/>
          <w:b/>
          <w:bCs/>
          <w:noProof/>
          <w:sz w:val="24"/>
          <w:szCs w:val="24"/>
          <w:rtl/>
        </w:rPr>
        <w:t xml:space="preserve">פגיעה במקרקעין [פיצויים בגין נזקי תכנית]</w:t>
      </w:r>
      <w:r>
        <w:rPr>
          <w:rFonts w:ascii="David" w:cs="David" w:eastAsia="David" w:hAnsi="David"/>
          <w:noProof/>
          <w:sz w:val="24"/>
          <w:szCs w:val="24"/>
          <w:rtl/>
        </w:rPr>
        <w:t xml:space="preserve"> (התשס"ח).</w:t>
      </w:r>
    </w:p>
    <w:p>
      <w:pPr>
        <w:bidi/>
        <w:spacing w:after="120" w:line="300"/>
        <w:ind w:start="420" w:hanging="420"/>
        <w:jc w:val="both"/>
      </w:pPr>
      <w:r>
        <w:rPr>
          <w:rFonts w:ascii="David" w:cs="David" w:eastAsia="David" w:hAnsi="David"/>
          <w:noProof/>
          <w:sz w:val="24"/>
          <w:szCs w:val="24"/>
          <w:rtl/>
        </w:rPr>
        <w:t xml:space="preserve">דניאל פרידמן ונילי כהן </w:t>
      </w:r>
      <w:r>
        <w:rPr>
          <w:rFonts w:ascii="David" w:cs="David" w:eastAsia="David" w:hAnsi="David"/>
          <w:b/>
          <w:bCs/>
          <w:noProof/>
          <w:sz w:val="24"/>
          <w:szCs w:val="24"/>
          <w:rtl/>
        </w:rPr>
        <w:t xml:space="preserve">חוזים</w:t>
      </w:r>
      <w:r>
        <w:rPr>
          <w:rFonts w:ascii="David" w:cs="David" w:eastAsia="David" w:hAnsi="David"/>
          <w:noProof/>
          <w:sz w:val="24"/>
          <w:szCs w:val="24"/>
          <w:rtl/>
        </w:rPr>
        <w:t xml:space="preserve"> כרך א (מהדורה שנייה 2018).</w:t>
      </w:r>
    </w:p>
    <w:p>
      <w:pPr>
        <w:bidi/>
        <w:spacing w:after="120" w:line="300"/>
        <w:ind w:start="420" w:hanging="420"/>
        <w:jc w:val="both"/>
      </w:pPr>
      <w:r>
        <w:rPr>
          <w:rFonts w:ascii="David" w:cs="David" w:eastAsia="David" w:hAnsi="David"/>
          <w:noProof/>
          <w:sz w:val="24"/>
          <w:szCs w:val="24"/>
          <w:rtl/>
        </w:rPr>
        <w:t xml:space="preserve">מרדכי אלפרדו ראבילו </w:t>
      </w:r>
      <w:r>
        <w:rPr>
          <w:rFonts w:ascii="David" w:cs="David" w:eastAsia="David" w:hAnsi="David"/>
          <w:b/>
          <w:bCs/>
          <w:noProof/>
          <w:sz w:val="24"/>
          <w:szCs w:val="24"/>
          <w:rtl/>
        </w:rPr>
        <w:t xml:space="preserve">חוק המתנה, תשכ"ח–1968</w:t>
      </w:r>
      <w:r>
        <w:rPr>
          <w:rFonts w:ascii="David" w:cs="David" w:eastAsia="David" w:hAnsi="David"/>
          <w:noProof/>
          <w:sz w:val="24"/>
          <w:szCs w:val="24"/>
          <w:rtl/>
        </w:rPr>
        <w:t xml:space="preserve"> (פירוש לחוקי החוזים מיסודו של ג׳ טדסקי, מהדורה שנייה 1996).</w:t>
      </w:r>
    </w:p>
    <w:p>
      <w:pPr>
        <w:bidi/>
        <w:spacing w:after="120" w:line="300"/>
        <w:ind w:start="420" w:hanging="420"/>
        <w:jc w:val="both"/>
      </w:pPr>
      <w:r>
        <w:rPr>
          <w:rFonts w:ascii="David" w:cs="David" w:eastAsia="David" w:hAnsi="David"/>
          <w:noProof/>
          <w:sz w:val="24"/>
          <w:szCs w:val="24"/>
          <w:rtl/>
        </w:rPr>
        <w:t xml:space="preserve">אוריאל רייכמן "הערת האזהרה – מהות, יצירה והגנה כנגד עסקות נוגדות" </w:t>
      </w:r>
      <w:r>
        <w:rPr>
          <w:rFonts w:ascii="David" w:cs="David" w:eastAsia="David" w:hAnsi="David"/>
          <w:b/>
          <w:bCs/>
          <w:noProof/>
          <w:sz w:val="24"/>
          <w:szCs w:val="24"/>
          <w:rtl/>
        </w:rPr>
        <w:t xml:space="preserve">עיוני משפט</w:t>
      </w:r>
      <w:r>
        <w:rPr>
          <w:rFonts w:ascii="David" w:cs="David" w:eastAsia="David" w:hAnsi="David"/>
          <w:noProof/>
          <w:sz w:val="24"/>
          <w:szCs w:val="24"/>
          <w:rtl/>
        </w:rPr>
        <w:t xml:space="preserve"> י 297 (1984).</w:t>
      </w:r>
    </w:p>
    <w:p>
      <w:pPr>
        <w:bidi/>
        <w:spacing w:after="120" w:line="300"/>
        <w:ind w:start="420" w:hanging="420"/>
        <w:jc w:val="both"/>
      </w:pPr>
      <w:r>
        <w:rPr>
          <w:rFonts w:ascii="David" w:cs="David" w:eastAsia="David" w:hAnsi="David"/>
          <w:noProof/>
          <w:sz w:val="24"/>
          <w:szCs w:val="24"/>
          <w:rtl/>
        </w:rPr>
        <w:t xml:space="preserve">שי שטרן </w:t>
      </w:r>
      <w:r>
        <w:rPr>
          <w:rFonts w:ascii="David" w:cs="David" w:eastAsia="David" w:hAnsi="David"/>
          <w:b/>
          <w:bCs/>
          <w:noProof/>
          <w:sz w:val="24"/>
          <w:szCs w:val="24"/>
          <w:rtl/>
        </w:rPr>
        <w:t xml:space="preserve">קהילות במשפט</w:t>
      </w:r>
      <w:r>
        <w:rPr>
          <w:rFonts w:ascii="David" w:cs="David" w:eastAsia="David" w:hAnsi="David"/>
          <w:noProof/>
          <w:sz w:val="24"/>
          <w:szCs w:val="24"/>
          <w:rtl/>
        </w:rPr>
        <w:t xml:space="preserve"> (2026).</w:t>
      </w:r>
    </w:p>
    <w:p>
      <w:pPr>
        <w:bidi/>
        <w:spacing w:after="120" w:line="300"/>
        <w:ind w:start="420" w:hanging="420"/>
        <w:jc w:val="both"/>
      </w:pPr>
      <w:r>
        <w:rPr>
          <w:rFonts w:ascii="David" w:cs="David" w:eastAsia="David" w:hAnsi="David"/>
          <w:noProof/>
          <w:sz w:val="24"/>
          <w:szCs w:val="24"/>
          <w:rtl/>
        </w:rPr>
        <w:t xml:space="preserve">יעקב שקד </w:t>
      </w:r>
      <w:r>
        <w:rPr>
          <w:rFonts w:ascii="David" w:cs="David" w:eastAsia="David" w:hAnsi="David"/>
          <w:b/>
          <w:bCs/>
          <w:noProof/>
          <w:sz w:val="24"/>
          <w:szCs w:val="24"/>
          <w:rtl/>
        </w:rPr>
        <w:t xml:space="preserve">פינוי מקרקעין – הליכים והלכות</w:t>
      </w:r>
      <w:r>
        <w:rPr>
          <w:rFonts w:ascii="David" w:cs="David" w:eastAsia="David" w:hAnsi="David"/>
          <w:noProof/>
          <w:sz w:val="24"/>
          <w:szCs w:val="24"/>
          <w:rtl/>
        </w:rPr>
        <w:t xml:space="preserve"> (מהדורה שנייה 2024).</w:t>
      </w:r>
    </w:p>
    <w:p>
      <w:pPr>
        <w:pStyle w:val="Heading2"/>
        <w:bidi/>
        <w:spacing w:after="160" w:before="240"/>
      </w:pPr>
      <w:r>
        <w:rPr>
          <w:rFonts w:ascii="David" w:cs="David" w:eastAsia="David" w:hAnsi="David"/>
          <w:b/>
          <w:bCs/>
          <w:color w:val="000000"/>
          <w:sz w:val="28"/>
          <w:szCs w:val="28"/>
          <w:rtl/>
        </w:rPr>
        <w:t xml:space="preserve">חקיקה ופסיקה זרה</w:t>
      </w:r>
    </w:p>
    <w:p>
      <w:pPr>
        <w:spacing w:after="120" w:line="300"/>
        <w:ind w:start="420" w:hanging="420"/>
        <w:jc w:val="left"/>
      </w:pPr>
      <w:r>
        <w:rPr>
          <w:rFonts w:ascii="Times New Roman" w:cs="Times New Roman" w:eastAsia="Times New Roman" w:hAnsi="Times New Roman"/>
          <w:noProof/>
          <w:sz w:val="24"/>
          <w:szCs w:val="24"/>
        </w:rPr>
        <w:t xml:space="preserve">Land Registration Act 2002, c. 9 (UK).</w:t>
      </w:r>
    </w:p>
    <w:p>
      <w:pPr>
        <w:spacing w:after="120" w:line="300"/>
        <w:ind w:start="420" w:hanging="420"/>
        <w:jc w:val="left"/>
      </w:pPr>
      <w:r>
        <w:rPr>
          <w:rFonts w:ascii="Times New Roman" w:cs="Times New Roman" w:eastAsia="Times New Roman" w:hAnsi="Times New Roman"/>
          <w:noProof/>
          <w:sz w:val="24"/>
          <w:szCs w:val="24"/>
        </w:rPr>
        <w:t xml:space="preserve">Land Registration Act 1925, c. 21 (UK).</w:t>
      </w:r>
    </w:p>
    <w:p>
      <w:pPr>
        <w:spacing w:after="120" w:line="300"/>
        <w:ind w:start="420" w:hanging="420"/>
        <w:jc w:val="left"/>
      </w:pPr>
      <w:r>
        <w:rPr>
          <w:rFonts w:ascii="Times New Roman" w:cs="Times New Roman" w:eastAsia="Times New Roman" w:hAnsi="Times New Roman"/>
          <w:noProof/>
          <w:sz w:val="24"/>
          <w:szCs w:val="24"/>
        </w:rPr>
        <w:t xml:space="preserve">Law of Property (Miscellaneous Provisions) Act 1989, c. 34 (UK).</w:t>
      </w:r>
    </w:p>
    <w:p>
      <w:pPr>
        <w:spacing w:after="120" w:line="300"/>
        <w:ind w:start="420" w:hanging="420"/>
        <w:jc w:val="left"/>
      </w:pPr>
      <w:r>
        <w:rPr>
          <w:rFonts w:ascii="Times New Roman" w:cs="Times New Roman" w:eastAsia="Times New Roman" w:hAnsi="Times New Roman"/>
          <w:noProof/>
          <w:sz w:val="24"/>
          <w:szCs w:val="24"/>
        </w:rPr>
        <w:t xml:space="preserve">Powers of Attorney Act 1971, c. 27 (UK).</w:t>
      </w:r>
    </w:p>
    <w:p>
      <w:pPr>
        <w:spacing w:after="120" w:line="300"/>
        <w:ind w:start="420" w:hanging="420"/>
        <w:jc w:val="left"/>
      </w:pPr>
      <w:r>
        <w:rPr>
          <w:rFonts w:ascii="Times New Roman" w:cs="Times New Roman" w:eastAsia="Times New Roman" w:hAnsi="Times New Roman"/>
          <w:noProof/>
          <w:sz w:val="24"/>
          <w:szCs w:val="24"/>
        </w:rPr>
        <w:t xml:space="preserve">Lysaght v Edwards (1876) 2 Ch D 499 (Ch).</w:t>
      </w:r>
    </w:p>
    <w:p>
      <w:pPr>
        <w:spacing w:after="120" w:line="300"/>
        <w:ind w:start="420" w:hanging="420"/>
        <w:jc w:val="left"/>
      </w:pPr>
      <w:r>
        <w:rPr>
          <w:rFonts w:ascii="Times New Roman" w:cs="Times New Roman" w:eastAsia="Times New Roman" w:hAnsi="Times New Roman"/>
          <w:noProof/>
          <w:sz w:val="24"/>
          <w:szCs w:val="24"/>
        </w:rPr>
        <w:t xml:space="preserve">Walsh v Lonsdale (1882) 21 Ch D 9 (CA).</w:t>
      </w:r>
    </w:p>
    <w:p>
      <w:pPr>
        <w:spacing w:after="120" w:line="300"/>
        <w:ind w:start="420" w:hanging="420"/>
        <w:jc w:val="left"/>
      </w:pPr>
      <w:r>
        <w:rPr>
          <w:rFonts w:ascii="Times New Roman" w:cs="Times New Roman" w:eastAsia="Times New Roman" w:hAnsi="Times New Roman"/>
          <w:noProof/>
          <w:sz w:val="24"/>
          <w:szCs w:val="24"/>
        </w:rPr>
        <w:t xml:space="preserve">Re Rose [1952] Ch 499 (CA).</w:t>
      </w:r>
    </w:p>
    <w:p>
      <w:pPr>
        <w:spacing w:after="120" w:line="300"/>
        <w:ind w:start="420" w:hanging="420"/>
        <w:jc w:val="left"/>
      </w:pPr>
      <w:r>
        <w:rPr>
          <w:rFonts w:ascii="Times New Roman" w:cs="Times New Roman" w:eastAsia="Times New Roman" w:hAnsi="Times New Roman"/>
          <w:noProof/>
          <w:sz w:val="24"/>
          <w:szCs w:val="24"/>
        </w:rPr>
        <w:t xml:space="preserve">Williams &amp; Glyn’s Bank Ltd v Boland [1981] AC 487 (HL).</w:t>
      </w:r>
    </w:p>
    <w:p>
      <w:pPr>
        <w:spacing w:after="120" w:line="300"/>
        <w:ind w:start="420" w:hanging="420"/>
        <w:jc w:val="left"/>
      </w:pPr>
      <w:r>
        <w:rPr>
          <w:rFonts w:ascii="Times New Roman" w:cs="Times New Roman" w:eastAsia="Times New Roman" w:hAnsi="Times New Roman"/>
          <w:noProof/>
          <w:sz w:val="24"/>
          <w:szCs w:val="24"/>
        </w:rPr>
        <w:t xml:space="preserve">Pennington v Waine [2002] EWCA Civ 227, [2002] 1 WLR 2075.</w:t>
      </w:r>
    </w:p>
    <w:p>
      <w:pPr>
        <w:spacing w:after="120" w:line="300"/>
        <w:ind w:start="420" w:hanging="420"/>
        <w:jc w:val="left"/>
      </w:pPr>
      <w:r>
        <w:rPr>
          <w:rFonts w:ascii="Times New Roman" w:cs="Times New Roman" w:eastAsia="Times New Roman" w:hAnsi="Times New Roman"/>
          <w:noProof/>
          <w:sz w:val="24"/>
          <w:szCs w:val="24"/>
        </w:rPr>
        <w:t xml:space="preserve">Stack v Dowden [2007] UKHL 17, [2007] 2 AC 432.</w:t>
      </w:r>
    </w:p>
    <w:p>
      <w:pPr>
        <w:spacing w:after="120" w:line="300"/>
        <w:ind w:start="420" w:hanging="420"/>
        <w:jc w:val="left"/>
      </w:pPr>
      <w:r>
        <w:rPr>
          <w:rFonts w:ascii="Times New Roman" w:cs="Times New Roman" w:eastAsia="Times New Roman" w:hAnsi="Times New Roman"/>
          <w:noProof/>
          <w:sz w:val="24"/>
          <w:szCs w:val="24"/>
        </w:rPr>
        <w:t xml:space="preserve">Thorner v Major [2009] UKHL 18, [2009] 1 WLR 776.</w:t>
      </w:r>
    </w:p>
    <w:p>
      <w:pPr>
        <w:spacing w:after="120" w:line="300"/>
        <w:ind w:start="420" w:hanging="420"/>
        <w:jc w:val="left"/>
      </w:pPr>
      <w:r>
        <w:rPr>
          <w:rFonts w:ascii="Times New Roman" w:cs="Times New Roman" w:eastAsia="Times New Roman" w:hAnsi="Times New Roman"/>
          <w:noProof/>
          <w:sz w:val="24"/>
          <w:szCs w:val="24"/>
        </w:rPr>
        <w:t xml:space="preserve">Jones v Kernott [2011] UKSC 53, [2012] 1 AC 776.</w:t>
      </w:r>
    </w:p>
    <w:p>
      <w:pPr>
        <w:spacing w:after="120" w:line="300"/>
        <w:ind w:start="420" w:hanging="420"/>
        <w:jc w:val="left"/>
      </w:pPr>
      <w:r>
        <w:rPr>
          <w:rFonts w:ascii="Times New Roman" w:cs="Times New Roman" w:eastAsia="Times New Roman" w:hAnsi="Times New Roman"/>
          <w:noProof/>
          <w:sz w:val="24"/>
          <w:szCs w:val="24"/>
        </w:rPr>
        <w:t xml:space="preserve">Guest v Guest [2022] UKSC 27, [2022] 3 WLR 911.</w:t>
      </w:r>
    </w:p>
    <w:p>
      <w:pPr>
        <w:spacing w:after="120" w:line="300"/>
        <w:ind w:start="420" w:hanging="420"/>
        <w:jc w:val="left"/>
      </w:pPr>
      <w:r>
        <w:rPr>
          <w:rFonts w:ascii="Times New Roman" w:cs="Times New Roman" w:eastAsia="Times New Roman" w:hAnsi="Times New Roman"/>
          <w:noProof/>
          <w:sz w:val="24"/>
          <w:szCs w:val="24"/>
        </w:rPr>
        <w:t xml:space="preserve">The Egyptian Civil Code, Law No. 131 of 1948, arts. 1, 418, 714–715, 934, 968–970.</w:t>
      </w:r>
    </w:p>
    <w:p>
      <w:pPr>
        <w:spacing w:after="120" w:line="300"/>
        <w:ind w:start="420" w:hanging="420"/>
        <w:jc w:val="left"/>
      </w:pPr>
      <w:r>
        <w:rPr>
          <w:rFonts w:ascii="Times New Roman" w:cs="Times New Roman" w:eastAsia="Times New Roman" w:hAnsi="Times New Roman"/>
          <w:noProof/>
          <w:sz w:val="24"/>
          <w:szCs w:val="24"/>
        </w:rPr>
        <w:t xml:space="preserve">Real Estate Publicity Law No. 114 of 1946 (Egypt), as amended by Law No. 9 of 2022.</w:t>
      </w:r>
    </w:p>
    <w:p>
      <w:pPr>
        <w:spacing w:after="120" w:line="300"/>
        <w:ind w:start="420" w:hanging="420"/>
        <w:jc w:val="left"/>
      </w:pPr>
      <w:r>
        <w:rPr>
          <w:rFonts w:ascii="Times New Roman" w:cs="Times New Roman" w:eastAsia="Times New Roman" w:hAnsi="Times New Roman"/>
          <w:noProof/>
          <w:sz w:val="24"/>
          <w:szCs w:val="24"/>
        </w:rPr>
        <w:t xml:space="preserve">Real Property Registry Law No. 142 of 1964 (Egypt).</w:t>
      </w:r>
    </w:p>
    <w:p>
      <w:pPr>
        <w:spacing w:after="120" w:line="300"/>
        <w:ind w:start="420" w:hanging="420"/>
        <w:jc w:val="left"/>
      </w:pPr>
      <w:r>
        <w:rPr>
          <w:rFonts w:ascii="Times New Roman" w:cs="Times New Roman" w:eastAsia="Times New Roman" w:hAnsi="Times New Roman"/>
          <w:noProof/>
          <w:sz w:val="24"/>
          <w:szCs w:val="24"/>
        </w:rPr>
        <w:t xml:space="preserve">Law of Inheritance No. 77 of 1943 (Egypt).</w:t>
      </w:r>
    </w:p>
    <w:p>
      <w:pPr>
        <w:spacing w:after="120" w:line="300"/>
        <w:ind w:start="420" w:hanging="420"/>
        <w:jc w:val="left"/>
      </w:pPr>
      <w:r>
        <w:rPr>
          <w:rFonts w:ascii="Times New Roman" w:cs="Times New Roman" w:eastAsia="Times New Roman" w:hAnsi="Times New Roman"/>
          <w:noProof/>
          <w:sz w:val="24"/>
          <w:szCs w:val="24"/>
        </w:rPr>
        <w:t xml:space="preserve">Constitution of the Arab Republic of Egypt (2014), art. 2.</w:t>
      </w:r>
    </w:p>
    <w:p>
      <w:pPr>
        <w:spacing w:after="120" w:line="300"/>
        <w:ind w:start="420" w:hanging="420"/>
        <w:jc w:val="left"/>
      </w:pPr>
      <w:r>
        <w:rPr>
          <w:rFonts w:ascii="Times New Roman" w:cs="Times New Roman" w:eastAsia="Times New Roman" w:hAnsi="Times New Roman"/>
          <w:noProof/>
          <w:sz w:val="24"/>
          <w:szCs w:val="24"/>
        </w:rPr>
        <w:t xml:space="preserve">The Mejelle (Majallat al-Ahkam al-Adliyya, 1869–1876), arts. 833–880, 1449–1530, 1660–1675 (C.R. Tyser et al. trans., 1901).</w:t>
      </w:r>
    </w:p>
    <w:p>
      <w:pPr>
        <w:spacing w:after="120" w:line="300"/>
        <w:ind w:start="420" w:hanging="420"/>
        <w:jc w:val="left"/>
      </w:pPr>
      <w:r>
        <w:rPr>
          <w:rFonts w:ascii="Times New Roman" w:cs="Times New Roman" w:eastAsia="Times New Roman" w:hAnsi="Times New Roman"/>
          <w:noProof/>
          <w:sz w:val="24"/>
          <w:szCs w:val="24"/>
        </w:rPr>
        <w:t xml:space="preserve">The Ottoman Land Code 1858, arts. 20, 78 (F. Ongley trans., 1892).</w:t>
      </w:r>
    </w:p>
    <w:p>
      <w:pPr>
        <w:pStyle w:val="Heading2"/>
        <w:bidi/>
        <w:spacing w:after="160" w:before="240"/>
      </w:pPr>
      <w:r>
        <w:rPr>
          <w:rFonts w:ascii="David" w:cs="David" w:eastAsia="David" w:hAnsi="David"/>
          <w:b/>
          <w:bCs/>
          <w:color w:val="000000"/>
          <w:sz w:val="28"/>
          <w:szCs w:val="28"/>
          <w:rtl/>
        </w:rPr>
        <w:t xml:space="preserve">ספרות זרה</w:t>
      </w:r>
    </w:p>
    <w:p>
      <w:pPr>
        <w:spacing w:after="120" w:line="300"/>
        <w:ind w:start="420" w:hanging="420"/>
        <w:jc w:val="left"/>
      </w:pPr>
      <w:r>
        <w:rPr>
          <w:rFonts w:ascii="Times New Roman" w:cs="Times New Roman" w:eastAsia="Times New Roman" w:hAnsi="Times New Roman"/>
          <w:noProof/>
          <w:sz w:val="24"/>
          <w:szCs w:val="24"/>
        </w:rPr>
        <w:t xml:space="preserve">Ahmad Amara, </w:t>
      </w:r>
      <w:r>
        <w:rPr>
          <w:rFonts w:ascii="Times New Roman" w:cs="Times New Roman" w:eastAsia="Times New Roman" w:hAnsi="Times New Roman"/>
          <w:i/>
          <w:iCs/>
          <w:noProof/>
          <w:sz w:val="24"/>
          <w:szCs w:val="24"/>
        </w:rPr>
        <w:t xml:space="preserve">Dispossession by Law: How the Israeli Judicial System Utilizes Ottoman Land Law to Expel and Dispossess the Bedouins</w:t>
      </w:r>
      <w:r>
        <w:rPr>
          <w:rFonts w:ascii="Times New Roman" w:cs="Times New Roman" w:eastAsia="Times New Roman" w:hAnsi="Times New Roman"/>
          <w:noProof/>
          <w:sz w:val="24"/>
          <w:szCs w:val="24"/>
        </w:rPr>
        <w:t xml:space="preserve">, </w:t>
      </w:r>
      <w:r>
        <w:rPr>
          <w:rFonts w:ascii="Times New Roman" w:cs="Times New Roman" w:eastAsia="Times New Roman" w:hAnsi="Times New Roman"/>
          <w:smallCaps/>
          <w:noProof/>
          <w:sz w:val="24"/>
          <w:szCs w:val="24"/>
        </w:rPr>
        <w:t xml:space="preserve">Journal of Levantine Studies</w:t>
      </w:r>
      <w:r>
        <w:rPr>
          <w:rFonts w:ascii="Times New Roman" w:cs="Times New Roman" w:eastAsia="Times New Roman" w:hAnsi="Times New Roman"/>
          <w:noProof/>
          <w:sz w:val="24"/>
          <w:szCs w:val="24"/>
        </w:rPr>
        <w:t xml:space="preserve"> (2015).</w:t>
      </w:r>
    </w:p>
    <w:p>
      <w:pPr>
        <w:spacing w:after="120" w:line="300"/>
        <w:ind w:start="420" w:hanging="420"/>
        <w:jc w:val="left"/>
      </w:pPr>
      <w:r>
        <w:rPr>
          <w:rFonts w:ascii="Times New Roman" w:cs="Times New Roman" w:eastAsia="Times New Roman" w:hAnsi="Times New Roman"/>
          <w:noProof/>
          <w:sz w:val="24"/>
          <w:szCs w:val="24"/>
        </w:rPr>
        <w:t xml:space="preserve">Chris Bevan, </w:t>
      </w:r>
      <w:r>
        <w:rPr>
          <w:rFonts w:ascii="Times New Roman" w:cs="Times New Roman" w:eastAsia="Times New Roman" w:hAnsi="Times New Roman"/>
          <w:i/>
          <w:iCs/>
          <w:noProof/>
          <w:sz w:val="24"/>
          <w:szCs w:val="24"/>
        </w:rPr>
        <w:t xml:space="preserve">Overriding Interests under the Land Registration Act 2002: Time to Repair the ‘Cracked Mirror’?</w:t>
      </w:r>
      <w:r>
        <w:rPr>
          <w:rFonts w:ascii="Times New Roman" w:cs="Times New Roman" w:eastAsia="Times New Roman" w:hAnsi="Times New Roman"/>
          <w:noProof/>
          <w:sz w:val="24"/>
          <w:szCs w:val="24"/>
        </w:rPr>
        <w:t xml:space="preserve"> [2024] </w:t>
      </w:r>
      <w:r>
        <w:rPr>
          <w:rFonts w:ascii="Times New Roman" w:cs="Times New Roman" w:eastAsia="Times New Roman" w:hAnsi="Times New Roman"/>
          <w:smallCaps/>
          <w:noProof/>
          <w:sz w:val="24"/>
          <w:szCs w:val="24"/>
        </w:rPr>
        <w:t xml:space="preserve">Conveyancer &amp; Property Lawyer</w:t>
      </w:r>
      <w:r>
        <w:rPr>
          <w:rFonts w:ascii="Times New Roman" w:cs="Times New Roman" w:eastAsia="Times New Roman" w:hAnsi="Times New Roman"/>
          <w:noProof/>
          <w:sz w:val="24"/>
          <w:szCs w:val="24"/>
        </w:rPr>
        <w:t xml:space="preserve"> 123.</w:t>
      </w:r>
    </w:p>
    <w:p>
      <w:pPr>
        <w:spacing w:after="120" w:line="300"/>
        <w:ind w:start="420" w:hanging="420"/>
        <w:jc w:val="left"/>
      </w:pPr>
      <w:r>
        <w:rPr>
          <w:rFonts w:ascii="Times New Roman" w:cs="Times New Roman" w:eastAsia="Times New Roman" w:hAnsi="Times New Roman"/>
          <w:smallCaps/>
          <w:noProof/>
          <w:sz w:val="24"/>
          <w:szCs w:val="24"/>
        </w:rPr>
        <w:t xml:space="preserve">N.J. Coulson, Succession in the Muslim Family</w:t>
      </w:r>
      <w:r>
        <w:rPr>
          <w:rFonts w:ascii="Times New Roman" w:cs="Times New Roman" w:eastAsia="Times New Roman" w:hAnsi="Times New Roman"/>
          <w:noProof/>
          <w:sz w:val="24"/>
          <w:szCs w:val="24"/>
        </w:rPr>
        <w:t xml:space="preserve"> (1971).</w:t>
      </w:r>
    </w:p>
    <w:p>
      <w:pPr>
        <w:spacing w:after="120" w:line="300"/>
        <w:ind w:start="420" w:hanging="420"/>
        <w:jc w:val="left"/>
      </w:pPr>
      <w:r>
        <w:rPr>
          <w:rFonts w:ascii="Times New Roman" w:cs="Times New Roman" w:eastAsia="Times New Roman" w:hAnsi="Times New Roman"/>
          <w:smallCaps/>
          <w:noProof/>
          <w:sz w:val="24"/>
          <w:szCs w:val="24"/>
        </w:rPr>
        <w:t xml:space="preserve">Hernando de Soto, The Mystery of Capital: Why Capitalism Triumphs in the West and Fails Everywhere Else</w:t>
      </w:r>
      <w:r>
        <w:rPr>
          <w:rFonts w:ascii="Times New Roman" w:cs="Times New Roman" w:eastAsia="Times New Roman" w:hAnsi="Times New Roman"/>
          <w:noProof/>
          <w:sz w:val="24"/>
          <w:szCs w:val="24"/>
        </w:rPr>
        <w:t xml:space="preserve"> (2000).</w:t>
      </w:r>
    </w:p>
    <w:p>
      <w:pPr>
        <w:spacing w:after="120" w:line="300"/>
        <w:ind w:start="420" w:hanging="420"/>
        <w:jc w:val="left"/>
      </w:pPr>
      <w:r>
        <w:rPr>
          <w:rFonts w:ascii="Times New Roman" w:cs="Times New Roman" w:eastAsia="Times New Roman" w:hAnsi="Times New Roman"/>
          <w:noProof/>
          <w:sz w:val="24"/>
          <w:szCs w:val="24"/>
        </w:rPr>
        <w:t xml:space="preserve">Kareem Ibrahim &amp; Deena Khalil, </w:t>
      </w:r>
      <w:r>
        <w:rPr>
          <w:rFonts w:ascii="Times New Roman" w:cs="Times New Roman" w:eastAsia="Times New Roman" w:hAnsi="Times New Roman"/>
          <w:i/>
          <w:iCs/>
          <w:noProof/>
          <w:sz w:val="24"/>
          <w:szCs w:val="24"/>
        </w:rPr>
        <w:t xml:space="preserve">Land Titling: A Tool, not a Panacea — Insights from Egypt</w:t>
      </w:r>
      <w:r>
        <w:rPr>
          <w:rFonts w:ascii="Times New Roman" w:cs="Times New Roman" w:eastAsia="Times New Roman" w:hAnsi="Times New Roman"/>
          <w:noProof/>
          <w:sz w:val="24"/>
          <w:szCs w:val="24"/>
        </w:rPr>
        <w:t xml:space="preserve">, </w:t>
      </w:r>
      <w:r>
        <w:rPr>
          <w:rFonts w:ascii="Times New Roman" w:cs="Times New Roman" w:eastAsia="Times New Roman" w:hAnsi="Times New Roman"/>
          <w:smallCaps/>
          <w:noProof/>
          <w:sz w:val="24"/>
          <w:szCs w:val="24"/>
        </w:rPr>
        <w:t xml:space="preserve">Metropolitics</w:t>
      </w:r>
      <w:r>
        <w:rPr>
          <w:rFonts w:ascii="Times New Roman" w:cs="Times New Roman" w:eastAsia="Times New Roman" w:hAnsi="Times New Roman"/>
          <w:noProof/>
          <w:sz w:val="24"/>
          <w:szCs w:val="24"/>
        </w:rPr>
        <w:t xml:space="preserve"> (Dec. 20, 2016), metropolitics.org.</w:t>
      </w:r>
    </w:p>
    <w:p>
      <w:pPr>
        <w:spacing w:after="120" w:line="300"/>
        <w:ind w:start="420" w:hanging="420"/>
        <w:jc w:val="left"/>
      </w:pPr>
      <w:r>
        <w:rPr>
          <w:rFonts w:ascii="Times New Roman" w:cs="Times New Roman" w:eastAsia="Times New Roman" w:hAnsi="Times New Roman"/>
          <w:noProof/>
          <w:sz w:val="24"/>
          <w:szCs w:val="24"/>
        </w:rPr>
        <w:t xml:space="preserve">Ruth Kark, </w:t>
      </w:r>
      <w:r>
        <w:rPr>
          <w:rFonts w:ascii="Times New Roman" w:cs="Times New Roman" w:eastAsia="Times New Roman" w:hAnsi="Times New Roman"/>
          <w:i/>
          <w:iCs/>
          <w:noProof/>
          <w:sz w:val="24"/>
          <w:szCs w:val="24"/>
        </w:rPr>
        <w:t xml:space="preserve">Consequences of the Ottoman Land Law: Agrarian and Privatization Processes in Palestine, 1858–1918</w:t>
      </w:r>
      <w:r>
        <w:rPr>
          <w:rFonts w:ascii="Times New Roman" w:cs="Times New Roman" w:eastAsia="Times New Roman" w:hAnsi="Times New Roman"/>
          <w:noProof/>
          <w:sz w:val="24"/>
          <w:szCs w:val="24"/>
        </w:rPr>
        <w:t xml:space="preserve">, in </w:t>
      </w:r>
      <w:r>
        <w:rPr>
          <w:rFonts w:ascii="Times New Roman" w:cs="Times New Roman" w:eastAsia="Times New Roman" w:hAnsi="Times New Roman"/>
          <w:smallCaps/>
          <w:noProof/>
          <w:sz w:val="24"/>
          <w:szCs w:val="24"/>
        </w:rPr>
        <w:t xml:space="preserve">Societies, Social Inequalities and Marginalization</w:t>
      </w:r>
      <w:r>
        <w:rPr>
          <w:rFonts w:ascii="Times New Roman" w:cs="Times New Roman" w:eastAsia="Times New Roman" w:hAnsi="Times New Roman"/>
          <w:noProof/>
          <w:sz w:val="24"/>
          <w:szCs w:val="24"/>
        </w:rPr>
        <w:t xml:space="preserve"> (R. Chand, E. Nel &amp; S. Pelc eds., 2017).</w:t>
      </w:r>
    </w:p>
    <w:p>
      <w:pPr>
        <w:spacing w:after="120" w:line="300"/>
        <w:ind w:start="420" w:hanging="420"/>
        <w:jc w:val="left"/>
      </w:pPr>
      <w:r>
        <w:rPr>
          <w:rFonts w:ascii="Times New Roman" w:cs="Times New Roman" w:eastAsia="Times New Roman" w:hAnsi="Times New Roman"/>
          <w:noProof/>
          <w:sz w:val="24"/>
          <w:szCs w:val="24"/>
        </w:rPr>
        <w:t xml:space="preserve">Nasr Kheir &amp; Boris A. Portnov, </w:t>
      </w:r>
      <w:r>
        <w:rPr>
          <w:rFonts w:ascii="Times New Roman" w:cs="Times New Roman" w:eastAsia="Times New Roman" w:hAnsi="Times New Roman"/>
          <w:i/>
          <w:iCs/>
          <w:noProof/>
          <w:sz w:val="24"/>
          <w:szCs w:val="24"/>
        </w:rPr>
        <w:t xml:space="preserve">Land Market Segmentation Along Ethnic Lines: Four Urban Localities in Israel as a Case Study</w:t>
      </w:r>
      <w:r>
        <w:rPr>
          <w:rFonts w:ascii="Times New Roman" w:cs="Times New Roman" w:eastAsia="Times New Roman" w:hAnsi="Times New Roman"/>
          <w:noProof/>
          <w:sz w:val="24"/>
          <w:szCs w:val="24"/>
        </w:rPr>
        <w:t xml:space="preserve">, 136 </w:t>
      </w:r>
      <w:r>
        <w:rPr>
          <w:rFonts w:ascii="Times New Roman" w:cs="Times New Roman" w:eastAsia="Times New Roman" w:hAnsi="Times New Roman"/>
          <w:smallCaps/>
          <w:noProof/>
          <w:sz w:val="24"/>
          <w:szCs w:val="24"/>
        </w:rPr>
        <w:t xml:space="preserve">Land Use Policy</w:t>
      </w:r>
      <w:r>
        <w:rPr>
          <w:rFonts w:ascii="Times New Roman" w:cs="Times New Roman" w:eastAsia="Times New Roman" w:hAnsi="Times New Roman"/>
          <w:noProof/>
          <w:sz w:val="24"/>
          <w:szCs w:val="24"/>
        </w:rPr>
        <w:t xml:space="preserve"> art. 106916 (2024).</w:t>
      </w:r>
    </w:p>
    <w:p>
      <w:pPr>
        <w:spacing w:after="120" w:line="300"/>
        <w:ind w:start="420" w:hanging="420"/>
        <w:jc w:val="left"/>
      </w:pPr>
      <w:r>
        <w:rPr>
          <w:rFonts w:ascii="Times New Roman" w:cs="Times New Roman" w:eastAsia="Times New Roman" w:hAnsi="Times New Roman"/>
          <w:noProof/>
          <w:sz w:val="24"/>
          <w:szCs w:val="24"/>
        </w:rPr>
        <w:t xml:space="preserve">L. Landau, </w:t>
      </w:r>
      <w:r>
        <w:rPr>
          <w:rFonts w:ascii="Times New Roman" w:cs="Times New Roman" w:eastAsia="Times New Roman" w:hAnsi="Times New Roman"/>
          <w:i/>
          <w:iCs/>
          <w:noProof/>
          <w:sz w:val="24"/>
          <w:szCs w:val="24"/>
        </w:rPr>
        <w:t xml:space="preserve">The Gift Law, 1968</w:t>
      </w:r>
      <w:r>
        <w:rPr>
          <w:rFonts w:ascii="Times New Roman" w:cs="Times New Roman" w:eastAsia="Times New Roman" w:hAnsi="Times New Roman"/>
          <w:noProof/>
          <w:sz w:val="24"/>
          <w:szCs w:val="24"/>
        </w:rPr>
        <w:t xml:space="preserve">, 4 </w:t>
      </w:r>
      <w:r>
        <w:rPr>
          <w:rFonts w:ascii="Times New Roman" w:cs="Times New Roman" w:eastAsia="Times New Roman" w:hAnsi="Times New Roman"/>
          <w:smallCaps/>
          <w:noProof/>
          <w:sz w:val="24"/>
          <w:szCs w:val="24"/>
        </w:rPr>
        <w:t xml:space="preserve">Israel Law Review</w:t>
      </w:r>
      <w:r>
        <w:rPr>
          <w:rFonts w:ascii="Times New Roman" w:cs="Times New Roman" w:eastAsia="Times New Roman" w:hAnsi="Times New Roman"/>
          <w:noProof/>
          <w:sz w:val="24"/>
          <w:szCs w:val="24"/>
        </w:rPr>
        <w:t xml:space="preserve"> 260 (1969).</w:t>
      </w:r>
    </w:p>
    <w:p>
      <w:pPr>
        <w:spacing w:after="120" w:line="300"/>
        <w:ind w:start="420" w:hanging="420"/>
        <w:jc w:val="left"/>
      </w:pPr>
      <w:r>
        <w:rPr>
          <w:rFonts w:ascii="Times New Roman" w:cs="Times New Roman" w:eastAsia="Times New Roman" w:hAnsi="Times New Roman"/>
          <w:smallCaps/>
          <w:noProof/>
          <w:sz w:val="24"/>
          <w:szCs w:val="24"/>
        </w:rPr>
        <w:t xml:space="preserve">Aharon Layish, Women and Islamic Law in a Non-Muslim State: A Study Based on Decisions of the Shari‘a Courts in Israel</w:t>
      </w:r>
      <w:r>
        <w:rPr>
          <w:rFonts w:ascii="Times New Roman" w:cs="Times New Roman" w:eastAsia="Times New Roman" w:hAnsi="Times New Roman"/>
          <w:noProof/>
          <w:sz w:val="24"/>
          <w:szCs w:val="24"/>
        </w:rPr>
        <w:t xml:space="preserve"> (1975).</w:t>
      </w:r>
    </w:p>
    <w:p>
      <w:pPr>
        <w:spacing w:after="120" w:line="300"/>
        <w:ind w:start="420" w:hanging="420"/>
        <w:jc w:val="left"/>
      </w:pPr>
      <w:r>
        <w:rPr>
          <w:rFonts w:ascii="Times New Roman" w:cs="Times New Roman" w:eastAsia="Times New Roman" w:hAnsi="Times New Roman"/>
          <w:noProof/>
          <w:sz w:val="24"/>
          <w:szCs w:val="24"/>
        </w:rPr>
        <w:t xml:space="preserve">Y. Linant de Bellefonds, </w:t>
      </w:r>
      <w:r>
        <w:rPr>
          <w:rFonts w:ascii="Times New Roman" w:cs="Times New Roman" w:eastAsia="Times New Roman" w:hAnsi="Times New Roman"/>
          <w:i/>
          <w:iCs/>
          <w:noProof/>
          <w:sz w:val="24"/>
          <w:szCs w:val="24"/>
        </w:rPr>
        <w:t xml:space="preserve">Hiba</w:t>
      </w:r>
      <w:r>
        <w:rPr>
          <w:rFonts w:ascii="Times New Roman" w:cs="Times New Roman" w:eastAsia="Times New Roman" w:hAnsi="Times New Roman"/>
          <w:noProof/>
          <w:sz w:val="24"/>
          <w:szCs w:val="24"/>
        </w:rPr>
        <w:t xml:space="preserve">, in </w:t>
      </w:r>
      <w:r>
        <w:rPr>
          <w:rFonts w:ascii="Times New Roman" w:cs="Times New Roman" w:eastAsia="Times New Roman" w:hAnsi="Times New Roman"/>
          <w:smallCaps/>
          <w:noProof/>
          <w:sz w:val="24"/>
          <w:szCs w:val="24"/>
        </w:rPr>
        <w:t xml:space="preserve">The Encyclopaedia of Islam</w:t>
      </w:r>
      <w:r>
        <w:rPr>
          <w:rFonts w:ascii="Times New Roman" w:cs="Times New Roman" w:eastAsia="Times New Roman" w:hAnsi="Times New Roman"/>
          <w:noProof/>
          <w:sz w:val="24"/>
          <w:szCs w:val="24"/>
        </w:rPr>
        <w:t xml:space="preserve"> (2d ed.).</w:t>
      </w:r>
    </w:p>
    <w:p>
      <w:pPr>
        <w:spacing w:after="120" w:line="300"/>
        <w:ind w:start="420" w:hanging="420"/>
        <w:jc w:val="left"/>
      </w:pPr>
      <w:r>
        <w:rPr>
          <w:rFonts w:ascii="Times New Roman" w:cs="Times New Roman" w:eastAsia="Times New Roman" w:hAnsi="Times New Roman"/>
          <w:smallCaps/>
          <w:noProof/>
          <w:sz w:val="24"/>
          <w:szCs w:val="24"/>
        </w:rPr>
        <w:t xml:space="preserve">Annelies Moors, Women, Property and Islam: Palestinian Experiences, 1920–1990</w:t>
      </w:r>
      <w:r>
        <w:rPr>
          <w:rFonts w:ascii="Times New Roman" w:cs="Times New Roman" w:eastAsia="Times New Roman" w:hAnsi="Times New Roman"/>
          <w:noProof/>
          <w:sz w:val="24"/>
          <w:szCs w:val="24"/>
        </w:rPr>
        <w:t xml:space="preserve"> (1995).</w:t>
      </w:r>
    </w:p>
    <w:p>
      <w:pPr>
        <w:spacing w:after="120" w:line="300"/>
        <w:ind w:start="420" w:hanging="420"/>
        <w:jc w:val="left"/>
      </w:pPr>
      <w:r>
        <w:rPr>
          <w:rFonts w:ascii="Times New Roman" w:cs="Times New Roman" w:eastAsia="Times New Roman" w:hAnsi="Times New Roman"/>
          <w:noProof/>
          <w:sz w:val="24"/>
          <w:szCs w:val="24"/>
        </w:rPr>
        <w:t xml:space="preserve">Amos Nadan, </w:t>
      </w:r>
      <w:r>
        <w:rPr>
          <w:rFonts w:ascii="Times New Roman" w:cs="Times New Roman" w:eastAsia="Times New Roman" w:hAnsi="Times New Roman"/>
          <w:i/>
          <w:iCs/>
          <w:noProof/>
          <w:sz w:val="24"/>
          <w:szCs w:val="24"/>
        </w:rPr>
        <w:t xml:space="preserve">Colonial Misunderstanding of an Efficient Peasant Institution: Land Settlement and Musha‘ Tenure in Mandate Palestine, 1921–47</w:t>
      </w:r>
      <w:r>
        <w:rPr>
          <w:rFonts w:ascii="Times New Roman" w:cs="Times New Roman" w:eastAsia="Times New Roman" w:hAnsi="Times New Roman"/>
          <w:noProof/>
          <w:sz w:val="24"/>
          <w:szCs w:val="24"/>
        </w:rPr>
        <w:t xml:space="preserve">, 46 </w:t>
      </w:r>
      <w:r>
        <w:rPr>
          <w:rFonts w:ascii="Times New Roman" w:cs="Times New Roman" w:eastAsia="Times New Roman" w:hAnsi="Times New Roman"/>
          <w:smallCaps/>
          <w:noProof/>
          <w:sz w:val="24"/>
          <w:szCs w:val="24"/>
        </w:rPr>
        <w:t xml:space="preserve">Journal of the Economic and Social History of the Orient</w:t>
      </w:r>
      <w:r>
        <w:rPr>
          <w:rFonts w:ascii="Times New Roman" w:cs="Times New Roman" w:eastAsia="Times New Roman" w:hAnsi="Times New Roman"/>
          <w:noProof/>
          <w:sz w:val="24"/>
          <w:szCs w:val="24"/>
        </w:rPr>
        <w:t xml:space="preserve"> 320 (2003).</w:t>
      </w:r>
    </w:p>
    <w:p>
      <w:pPr>
        <w:spacing w:after="120" w:line="300"/>
        <w:ind w:start="420" w:hanging="420"/>
        <w:jc w:val="left"/>
      </w:pPr>
      <w:r>
        <w:rPr>
          <w:rFonts w:ascii="Times New Roman" w:cs="Times New Roman" w:eastAsia="Times New Roman" w:hAnsi="Times New Roman"/>
          <w:noProof/>
          <w:sz w:val="24"/>
          <w:szCs w:val="24"/>
        </w:rPr>
        <w:t xml:space="preserve">Siti Norfatirah Abdul Rahmani &amp; Mohd Zamro Muda, </w:t>
      </w:r>
      <w:r>
        <w:rPr>
          <w:rFonts w:ascii="Times New Roman" w:cs="Times New Roman" w:eastAsia="Times New Roman" w:hAnsi="Times New Roman"/>
          <w:i/>
          <w:iCs/>
          <w:noProof/>
          <w:sz w:val="24"/>
          <w:szCs w:val="24"/>
        </w:rPr>
        <w:t xml:space="preserve">Ownership Status of Hibah Marad al-Mawt: A Study on the Views of Classical and Contemporary Scholars</w:t>
      </w:r>
      <w:r>
        <w:rPr>
          <w:rFonts w:ascii="Times New Roman" w:cs="Times New Roman" w:eastAsia="Times New Roman" w:hAnsi="Times New Roman"/>
          <w:noProof/>
          <w:sz w:val="24"/>
          <w:szCs w:val="24"/>
        </w:rPr>
        <w:t xml:space="preserve">, 34(8) </w:t>
      </w:r>
      <w:r>
        <w:rPr>
          <w:rFonts w:ascii="Times New Roman" w:cs="Times New Roman" w:eastAsia="Times New Roman" w:hAnsi="Times New Roman"/>
          <w:smallCaps/>
          <w:noProof/>
          <w:sz w:val="24"/>
          <w:szCs w:val="24"/>
        </w:rPr>
        <w:t xml:space="preserve">al-Qanatir: International Journal of Islamic Studies</w:t>
      </w:r>
      <w:r>
        <w:rPr>
          <w:rFonts w:ascii="Times New Roman" w:cs="Times New Roman" w:eastAsia="Times New Roman" w:hAnsi="Times New Roman"/>
          <w:noProof/>
          <w:sz w:val="24"/>
          <w:szCs w:val="24"/>
        </w:rPr>
        <w:t xml:space="preserve"> (2025).</w:t>
      </w:r>
    </w:p>
    <w:p>
      <w:pPr>
        <w:spacing w:after="120" w:line="300"/>
        <w:ind w:start="420" w:hanging="420"/>
        <w:jc w:val="left"/>
      </w:pPr>
      <w:r>
        <w:rPr>
          <w:rFonts w:ascii="Times New Roman" w:cs="Times New Roman" w:eastAsia="Times New Roman" w:hAnsi="Times New Roman"/>
          <w:smallCaps/>
          <w:noProof/>
          <w:sz w:val="24"/>
          <w:szCs w:val="24"/>
        </w:rPr>
        <w:t xml:space="preserve">Joseph Schacht, An Introduction to Islamic Law</w:t>
      </w:r>
      <w:r>
        <w:rPr>
          <w:rFonts w:ascii="Times New Roman" w:cs="Times New Roman" w:eastAsia="Times New Roman" w:hAnsi="Times New Roman"/>
          <w:noProof/>
          <w:sz w:val="24"/>
          <w:szCs w:val="24"/>
        </w:rPr>
        <w:t xml:space="preserve"> (1964).</w:t>
      </w:r>
    </w:p>
    <w:p>
      <w:pPr>
        <w:spacing w:after="120" w:line="300"/>
        <w:ind w:start="420" w:hanging="420"/>
        <w:jc w:val="left"/>
      </w:pPr>
      <w:r>
        <w:rPr>
          <w:rFonts w:ascii="Times New Roman" w:cs="Times New Roman" w:eastAsia="Times New Roman" w:hAnsi="Times New Roman"/>
          <w:noProof/>
          <w:sz w:val="24"/>
          <w:szCs w:val="24"/>
        </w:rPr>
        <w:t xml:space="preserve">Nadav Shoked, </w:t>
      </w:r>
      <w:r>
        <w:rPr>
          <w:rFonts w:ascii="Times New Roman" w:cs="Times New Roman" w:eastAsia="Times New Roman" w:hAnsi="Times New Roman"/>
          <w:i/>
          <w:iCs/>
          <w:noProof/>
          <w:sz w:val="24"/>
          <w:szCs w:val="24"/>
        </w:rPr>
        <w:t xml:space="preserve">Who Needs Adverse Possession?</w:t>
      </w:r>
      <w:r>
        <w:rPr>
          <w:rFonts w:ascii="Times New Roman" w:cs="Times New Roman" w:eastAsia="Times New Roman" w:hAnsi="Times New Roman"/>
          <w:noProof/>
          <w:sz w:val="24"/>
          <w:szCs w:val="24"/>
        </w:rPr>
        <w:t xml:space="preserve">, 89 </w:t>
      </w:r>
      <w:r>
        <w:rPr>
          <w:rFonts w:ascii="Times New Roman" w:cs="Times New Roman" w:eastAsia="Times New Roman" w:hAnsi="Times New Roman"/>
          <w:smallCaps/>
          <w:noProof/>
          <w:sz w:val="24"/>
          <w:szCs w:val="24"/>
        </w:rPr>
        <w:t xml:space="preserve">Fordham Law Review</w:t>
      </w:r>
      <w:r>
        <w:rPr>
          <w:rFonts w:ascii="Times New Roman" w:cs="Times New Roman" w:eastAsia="Times New Roman" w:hAnsi="Times New Roman"/>
          <w:noProof/>
          <w:sz w:val="24"/>
          <w:szCs w:val="24"/>
        </w:rPr>
        <w:t xml:space="preserve"> 2639 (2021).</w:t>
      </w:r>
    </w:p>
    <w:p>
      <w:pPr>
        <w:spacing w:after="120" w:line="300"/>
        <w:ind w:start="420" w:hanging="420"/>
        <w:jc w:val="left"/>
      </w:pPr>
      <w:r>
        <w:rPr>
          <w:rFonts w:ascii="Times New Roman" w:cs="Times New Roman" w:eastAsia="Times New Roman" w:hAnsi="Times New Roman"/>
          <w:noProof/>
          <w:sz w:val="24"/>
          <w:szCs w:val="24"/>
        </w:rPr>
        <w:t xml:space="preserve">David Sims, </w:t>
      </w:r>
      <w:r>
        <w:rPr>
          <w:rFonts w:ascii="Times New Roman" w:cs="Times New Roman" w:eastAsia="Times New Roman" w:hAnsi="Times New Roman"/>
          <w:i/>
          <w:iCs/>
          <w:noProof/>
          <w:sz w:val="24"/>
          <w:szCs w:val="24"/>
        </w:rPr>
        <w:t xml:space="preserve">Securing Land Tenure in Egypt: Who Needs Registered Titles?</w:t>
      </w:r>
      <w:r>
        <w:rPr>
          <w:rFonts w:ascii="Times New Roman" w:cs="Times New Roman" w:eastAsia="Times New Roman" w:hAnsi="Times New Roman"/>
          <w:noProof/>
          <w:sz w:val="24"/>
          <w:szCs w:val="24"/>
        </w:rPr>
        <w:t xml:space="preserve">, </w:t>
      </w:r>
      <w:r>
        <w:rPr>
          <w:rFonts w:ascii="Times New Roman" w:cs="Times New Roman" w:eastAsia="Times New Roman" w:hAnsi="Times New Roman"/>
          <w:smallCaps/>
          <w:noProof/>
          <w:sz w:val="24"/>
          <w:szCs w:val="24"/>
        </w:rPr>
        <w:t xml:space="preserve">Metropolitics</w:t>
      </w:r>
      <w:r>
        <w:rPr>
          <w:rFonts w:ascii="Times New Roman" w:cs="Times New Roman" w:eastAsia="Times New Roman" w:hAnsi="Times New Roman"/>
          <w:noProof/>
          <w:sz w:val="24"/>
          <w:szCs w:val="24"/>
        </w:rPr>
        <w:t xml:space="preserve"> (June 14, 2016), metropolitiques.eu.</w:t>
      </w:r>
    </w:p>
    <w:p>
      <w:pPr>
        <w:spacing w:after="120" w:line="300"/>
        <w:ind w:start="420" w:hanging="420"/>
        <w:jc w:val="left"/>
      </w:pPr>
      <w:r>
        <w:rPr>
          <w:rFonts w:ascii="Times New Roman" w:cs="Times New Roman" w:eastAsia="Times New Roman" w:hAnsi="Times New Roman"/>
          <w:noProof/>
          <w:sz w:val="24"/>
          <w:szCs w:val="24"/>
        </w:rPr>
        <w:t xml:space="preserve">Brian Sloan, </w:t>
      </w:r>
      <w:r>
        <w:rPr>
          <w:rFonts w:ascii="Times New Roman" w:cs="Times New Roman" w:eastAsia="Times New Roman" w:hAnsi="Times New Roman"/>
          <w:i/>
          <w:iCs/>
          <w:noProof/>
          <w:sz w:val="24"/>
          <w:szCs w:val="24"/>
        </w:rPr>
        <w:t xml:space="preserve">Proprietary Estoppel in the Supreme Court: Banquo’s Ghost?</w:t>
      </w:r>
      <w:r>
        <w:rPr>
          <w:rFonts w:ascii="Times New Roman" w:cs="Times New Roman" w:eastAsia="Times New Roman" w:hAnsi="Times New Roman"/>
          <w:noProof/>
          <w:sz w:val="24"/>
          <w:szCs w:val="24"/>
        </w:rPr>
        <w:t xml:space="preserve">, (2023) 82 </w:t>
      </w:r>
      <w:r>
        <w:rPr>
          <w:rFonts w:ascii="Times New Roman" w:cs="Times New Roman" w:eastAsia="Times New Roman" w:hAnsi="Times New Roman"/>
          <w:smallCaps/>
          <w:noProof/>
          <w:sz w:val="24"/>
          <w:szCs w:val="24"/>
        </w:rPr>
        <w:t xml:space="preserve">Cambridge Law Journal</w:t>
      </w:r>
      <w:r>
        <w:rPr>
          <w:rFonts w:ascii="Times New Roman" w:cs="Times New Roman" w:eastAsia="Times New Roman" w:hAnsi="Times New Roman"/>
          <w:noProof/>
          <w:sz w:val="24"/>
          <w:szCs w:val="24"/>
        </w:rPr>
        <w:t xml:space="preserve"> 13.</w:t>
      </w:r>
    </w:p>
    <w:p>
      <w:pPr>
        <w:spacing w:after="120" w:line="300"/>
        <w:ind w:start="420" w:hanging="420"/>
        <w:jc w:val="left"/>
      </w:pPr>
      <w:r>
        <w:rPr>
          <w:rFonts w:ascii="Times New Roman" w:cs="Times New Roman" w:eastAsia="Times New Roman" w:hAnsi="Times New Roman"/>
          <w:smallCaps/>
          <w:noProof/>
          <w:sz w:val="24"/>
          <w:szCs w:val="24"/>
        </w:rPr>
        <w:t xml:space="preserve">Kenneth W. Stein, The Land Question in Palestine, 1917–1939</w:t>
      </w:r>
      <w:r>
        <w:rPr>
          <w:rFonts w:ascii="Times New Roman" w:cs="Times New Roman" w:eastAsia="Times New Roman" w:hAnsi="Times New Roman"/>
          <w:noProof/>
          <w:sz w:val="24"/>
          <w:szCs w:val="24"/>
        </w:rPr>
        <w:t xml:space="preserve"> (1984).</w:t>
      </w:r>
    </w:p>
    <w:p>
      <w:pPr>
        <w:spacing w:after="120" w:line="300"/>
        <w:ind w:start="420" w:hanging="420"/>
        <w:jc w:val="left"/>
      </w:pPr>
      <w:r>
        <w:rPr>
          <w:rFonts w:ascii="Times New Roman" w:cs="Times New Roman" w:eastAsia="Times New Roman" w:hAnsi="Times New Roman"/>
          <w:noProof/>
          <w:sz w:val="24"/>
          <w:szCs w:val="24"/>
        </w:rPr>
        <w:t xml:space="preserve">Alex Waghorn, </w:t>
      </w:r>
      <w:r>
        <w:rPr>
          <w:rFonts w:ascii="Times New Roman" w:cs="Times New Roman" w:eastAsia="Times New Roman" w:hAnsi="Times New Roman"/>
          <w:i/>
          <w:iCs/>
          <w:noProof/>
          <w:sz w:val="24"/>
          <w:szCs w:val="24"/>
        </w:rPr>
        <w:t xml:space="preserve">Promises in Equity and at Law: Proprietary Estoppel after Guest v Guest</w:t>
      </w:r>
      <w:r>
        <w:rPr>
          <w:rFonts w:ascii="Times New Roman" w:cs="Times New Roman" w:eastAsia="Times New Roman" w:hAnsi="Times New Roman"/>
          <w:noProof/>
          <w:sz w:val="24"/>
          <w:szCs w:val="24"/>
        </w:rPr>
        <w:t xml:space="preserve">, (2023) 86 </w:t>
      </w:r>
      <w:r>
        <w:rPr>
          <w:rFonts w:ascii="Times New Roman" w:cs="Times New Roman" w:eastAsia="Times New Roman" w:hAnsi="Times New Roman"/>
          <w:smallCaps/>
          <w:noProof/>
          <w:sz w:val="24"/>
          <w:szCs w:val="24"/>
        </w:rPr>
        <w:t xml:space="preserve">Modern Law Review</w:t>
      </w:r>
      <w:r>
        <w:rPr>
          <w:rFonts w:ascii="Times New Roman" w:cs="Times New Roman" w:eastAsia="Times New Roman" w:hAnsi="Times New Roman"/>
          <w:noProof/>
          <w:sz w:val="24"/>
          <w:szCs w:val="24"/>
        </w:rPr>
        <w:t xml:space="preserve"> 1504.</w:t>
      </w:r>
    </w:p>
    <w:p>
      <w:pPr>
        <w:spacing w:after="120" w:line="300"/>
        <w:ind w:start="420" w:hanging="420"/>
        <w:jc w:val="left"/>
      </w:pPr>
      <w:r>
        <w:rPr>
          <w:rFonts w:ascii="Times New Roman" w:cs="Times New Roman" w:eastAsia="Times New Roman" w:hAnsi="Times New Roman"/>
          <w:smallCaps/>
          <w:noProof/>
          <w:sz w:val="24"/>
          <w:szCs w:val="24"/>
        </w:rPr>
        <w:t xml:space="preserve">Konrad Zweigert &amp; Hein Kötz, An Introduction to Comparative Law</w:t>
      </w:r>
      <w:r>
        <w:rPr>
          <w:rFonts w:ascii="Times New Roman" w:cs="Times New Roman" w:eastAsia="Times New Roman" w:hAnsi="Times New Roman"/>
          <w:noProof/>
          <w:sz w:val="24"/>
          <w:szCs w:val="24"/>
        </w:rPr>
        <w:t xml:space="preserve"> (Tony Weir trans., 3d ed. 1998).</w:t>
      </w:r>
    </w:p>
    <w:p>
      <w:pPr>
        <w:spacing w:after="120" w:line="300"/>
        <w:ind w:start="420" w:hanging="420"/>
        <w:jc w:val="left"/>
      </w:pPr>
      <w:r>
        <w:rPr>
          <w:rFonts w:ascii="Times New Roman" w:cs="Times New Roman" w:eastAsia="Times New Roman" w:hAnsi="Times New Roman"/>
          <w:noProof/>
          <w:sz w:val="24"/>
          <w:szCs w:val="24"/>
        </w:rPr>
        <w:t xml:space="preserve">AAOIFI, Shari‘ah Standard No. 23: Agency and the Act of an Uncommissioned Agent (Fudooli).</w:t>
      </w:r>
    </w:p>
    <w:p>
      <w:pPr>
        <w:spacing w:after="120" w:line="300"/>
        <w:ind w:start="420" w:hanging="420"/>
        <w:jc w:val="left"/>
      </w:pPr>
      <w:r>
        <w:rPr>
          <w:rFonts w:ascii="Times New Roman" w:cs="Times New Roman" w:eastAsia="Times New Roman" w:hAnsi="Times New Roman"/>
          <w:noProof/>
          <w:sz w:val="24"/>
          <w:szCs w:val="24"/>
        </w:rPr>
        <w:t xml:space="preserve">Law Commission, </w:t>
      </w:r>
      <w:r>
        <w:rPr>
          <w:rFonts w:ascii="Times New Roman" w:cs="Times New Roman" w:eastAsia="Times New Roman" w:hAnsi="Times New Roman"/>
          <w:i/>
          <w:iCs/>
          <w:noProof/>
          <w:sz w:val="24"/>
          <w:szCs w:val="24"/>
        </w:rPr>
        <w:t xml:space="preserve">Updating the Land Registration Act 2002</w:t>
      </w:r>
      <w:r>
        <w:rPr>
          <w:rFonts w:ascii="Times New Roman" w:cs="Times New Roman" w:eastAsia="Times New Roman" w:hAnsi="Times New Roman"/>
          <w:noProof/>
          <w:sz w:val="24"/>
          <w:szCs w:val="24"/>
        </w:rPr>
        <w:t xml:space="preserve"> (Law Com. No. 380, 2018).</w:t>
      </w:r>
    </w:p>
    <w:p>
      <w:pPr>
        <w:spacing w:after="120" w:line="300"/>
        <w:ind w:start="420" w:hanging="420"/>
        <w:jc w:val="left"/>
      </w:pPr>
      <w:r>
        <w:rPr>
          <w:rFonts w:ascii="Times New Roman" w:cs="Times New Roman" w:eastAsia="Times New Roman" w:hAnsi="Times New Roman"/>
          <w:i/>
          <w:iCs/>
          <w:noProof/>
          <w:sz w:val="24"/>
          <w:szCs w:val="24"/>
        </w:rPr>
        <w:t xml:space="preserve">More than 90% of Egypt’s Properties Are Unregistered: Justice Minister</w:t>
      </w:r>
      <w:r>
        <w:rPr>
          <w:rFonts w:ascii="Times New Roman" w:cs="Times New Roman" w:eastAsia="Times New Roman" w:hAnsi="Times New Roman"/>
          <w:noProof/>
          <w:sz w:val="24"/>
          <w:szCs w:val="24"/>
        </w:rPr>
        <w:t xml:space="preserve">, </w:t>
      </w:r>
      <w:r>
        <w:rPr>
          <w:rFonts w:ascii="Times New Roman" w:cs="Times New Roman" w:eastAsia="Times New Roman" w:hAnsi="Times New Roman"/>
          <w:smallCaps/>
          <w:noProof/>
          <w:sz w:val="24"/>
          <w:szCs w:val="24"/>
        </w:rPr>
        <w:t xml:space="preserve">Daily News Egypt</w:t>
      </w:r>
      <w:r>
        <w:rPr>
          <w:rFonts w:ascii="Times New Roman" w:cs="Times New Roman" w:eastAsia="Times New Roman" w:hAnsi="Times New Roman"/>
          <w:noProof/>
          <w:sz w:val="24"/>
          <w:szCs w:val="24"/>
        </w:rPr>
        <w:t xml:space="preserve"> (Feb. 14, 2022), dailynewsegypt.com.</w:t>
      </w:r>
    </w:p>
    <w:p>
      <w:pPr>
        <w:spacing w:after="120" w:line="300"/>
        <w:ind w:start="420" w:hanging="420"/>
        <w:jc w:val="left"/>
      </w:pPr>
      <w:r>
        <w:rPr>
          <w:rFonts w:ascii="Times New Roman" w:cs="Times New Roman" w:eastAsia="Times New Roman" w:hAnsi="Times New Roman"/>
          <w:i/>
          <w:iCs/>
          <w:noProof/>
          <w:sz w:val="24"/>
          <w:szCs w:val="24"/>
        </w:rPr>
        <w:t xml:space="preserve">Real Estate Registration Law Amendments – Development Brief</w:t>
      </w:r>
      <w:r>
        <w:rPr>
          <w:rFonts w:ascii="Times New Roman" w:cs="Times New Roman" w:eastAsia="Times New Roman" w:hAnsi="Times New Roman"/>
          <w:noProof/>
          <w:sz w:val="24"/>
          <w:szCs w:val="24"/>
        </w:rPr>
        <w:t xml:space="preserve">, </w:t>
      </w:r>
      <w:r>
        <w:rPr>
          <w:rFonts w:ascii="Times New Roman" w:cs="Times New Roman" w:eastAsia="Times New Roman" w:hAnsi="Times New Roman"/>
          <w:smallCaps/>
          <w:noProof/>
          <w:sz w:val="24"/>
          <w:szCs w:val="24"/>
        </w:rPr>
        <w:t xml:space="preserve">The Built Environment Observatory</w:t>
      </w:r>
      <w:r>
        <w:rPr>
          <w:rFonts w:ascii="Times New Roman" w:cs="Times New Roman" w:eastAsia="Times New Roman" w:hAnsi="Times New Roman"/>
          <w:noProof/>
          <w:sz w:val="24"/>
          <w:szCs w:val="24"/>
        </w:rPr>
        <w:t xml:space="preserve"> (May 2021), marsadomran.info.</w:t>
      </w:r>
    </w:p>
    <w:p>
      <w:pPr>
        <w:spacing w:after="120" w:line="300"/>
        <w:ind w:start="420" w:hanging="420"/>
        <w:jc w:val="left"/>
      </w:pPr>
      <w:r>
        <w:rPr>
          <w:rFonts w:ascii="Times New Roman" w:cs="Times New Roman" w:eastAsia="Times New Roman" w:hAnsi="Times New Roman"/>
          <w:noProof/>
          <w:sz w:val="24"/>
          <w:szCs w:val="24"/>
        </w:rPr>
        <w:t xml:space="preserve">Shalakany Law Office, </w:t>
      </w:r>
      <w:r>
        <w:rPr>
          <w:rFonts w:ascii="Times New Roman" w:cs="Times New Roman" w:eastAsia="Times New Roman" w:hAnsi="Times New Roman"/>
          <w:i/>
          <w:iCs/>
          <w:noProof/>
          <w:sz w:val="24"/>
          <w:szCs w:val="24"/>
        </w:rPr>
        <w:t xml:space="preserve">New Amendments to Real Estate Registration Law: Accelerated and Streamlined Registration Procedures</w:t>
      </w:r>
      <w:r>
        <w:rPr>
          <w:rFonts w:ascii="Times New Roman" w:cs="Times New Roman" w:eastAsia="Times New Roman" w:hAnsi="Times New Roman"/>
          <w:noProof/>
          <w:sz w:val="24"/>
          <w:szCs w:val="24"/>
        </w:rPr>
        <w:t xml:space="preserve"> (2022), shalakany.com.</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60"/>
        <w:jc w:val="both"/>
      </w:pPr>
      <w:r>
        <w:rPr>
          <w:rStyle w:val="FootnoteReference"/>
        </w:rPr>
        <w:footnoteRef/>
      </w:r>
      <w:r>
        <w:rPr>
          <w:rFonts w:ascii="David" w:cs="David" w:eastAsia="David" w:hAnsi="David"/>
          <w:noProof/>
          <w:sz w:val="20"/>
          <w:szCs w:val="20"/>
          <w:rtl/>
        </w:rPr>
        <w:t xml:space="preserve">ס׳ 7(א) לחוק המקרקעין, התשכ"ט–1969 (להלן: חוק המקרקעין).</w:t>
      </w:r>
    </w:p>
  </w:footnote>
  <w:footnote w:id="2">
    <w:p>
      <w:pPr>
        <w:bidi/>
        <w:spacing w:after="60"/>
        <w:jc w:val="both"/>
      </w:pPr>
      <w:r>
        <w:rPr>
          <w:rStyle w:val="FootnoteReference"/>
        </w:rPr>
        <w:footnoteRef/>
      </w:r>
      <w:r>
        <w:rPr>
          <w:rFonts w:ascii="David" w:cs="David" w:eastAsia="David" w:hAnsi="David"/>
          <w:noProof/>
          <w:sz w:val="20"/>
          <w:szCs w:val="20"/>
          <w:rtl/>
        </w:rPr>
        <w:t xml:space="preserve">לקליטת הזכויות שביושר ולגלגולן לאחר חוק המקרקעין ראו ע"א 189/95 </w:t>
      </w:r>
      <w:r>
        <w:rPr>
          <w:rFonts w:ascii="David" w:cs="David" w:eastAsia="David" w:hAnsi="David"/>
          <w:b/>
          <w:bCs/>
          <w:noProof/>
          <w:sz w:val="20"/>
          <w:szCs w:val="20"/>
          <w:rtl/>
        </w:rPr>
        <w:t xml:space="preserve">בנק אוצר החייל בע"מ נ׳ אהרונוב</w:t>
      </w:r>
      <w:r>
        <w:rPr>
          <w:rFonts w:ascii="David" w:cs="David" w:eastAsia="David" w:hAnsi="David"/>
          <w:noProof/>
          <w:sz w:val="20"/>
          <w:szCs w:val="20"/>
          <w:rtl/>
        </w:rPr>
        <w:t xml:space="preserve">, פ"ד נג(4) 199 (1999).</w:t>
      </w:r>
    </w:p>
  </w:footnote>
  <w:footnote w:id="3">
    <w:p>
      <w:pPr>
        <w:bidi/>
        <w:spacing w:after="60"/>
        <w:jc w:val="both"/>
      </w:pPr>
      <w:r>
        <w:rPr>
          <w:rStyle w:val="FootnoteReference"/>
        </w:rPr>
        <w:footnoteRef/>
      </w:r>
      <w:r>
        <w:rPr>
          <w:rFonts w:ascii="David" w:cs="David" w:eastAsia="David" w:hAnsi="David"/>
          <w:noProof/>
          <w:sz w:val="20"/>
          <w:szCs w:val="20"/>
          <w:rtl/>
        </w:rPr>
        <w:t xml:space="preserve">לגישה הפונקציונלית במשפט משווה ראו </w:t>
      </w:r>
      <w:r>
        <w:rPr>
          <w:rFonts w:ascii="Times New Roman" w:cs="Times New Roman" w:eastAsia="Times New Roman" w:hAnsi="Times New Roman"/>
          <w:smallCaps/>
          <w:noProof/>
          <w:sz w:val="20"/>
          <w:szCs w:val="20"/>
        </w:rPr>
        <w:t xml:space="preserve">Konrad Zweigert &amp; Hein Kötz, An Introduction to Comparative Law 34–47 (Tony Weir trans., 3d ed. 1998)</w:t>
      </w:r>
      <w:r>
        <w:rPr>
          <w:rFonts w:ascii="David" w:cs="David" w:eastAsia="David" w:hAnsi="David"/>
          <w:noProof/>
          <w:sz w:val="20"/>
          <w:szCs w:val="20"/>
          <w:rtl/>
        </w:rPr>
        <w:t xml:space="preserve">.</w:t>
      </w:r>
    </w:p>
  </w:footnote>
  <w:footnote w:id="4">
    <w:p>
      <w:pPr>
        <w:bidi/>
        <w:spacing w:after="60"/>
        <w:jc w:val="both"/>
      </w:pPr>
      <w:r>
        <w:rPr>
          <w:rStyle w:val="FootnoteReference"/>
        </w:rPr>
        <w:footnoteRef/>
      </w:r>
      <w:r>
        <w:rPr>
          <w:rFonts w:ascii="David" w:cs="David" w:eastAsia="David" w:hAnsi="David"/>
          <w:noProof/>
          <w:sz w:val="20"/>
          <w:szCs w:val="20"/>
          <w:rtl/>
        </w:rPr>
        <w:t xml:space="preserve">ס׳ 6–7 לחוק המקרקעין.</w:t>
      </w:r>
    </w:p>
  </w:footnote>
  <w:footnote w:id="5">
    <w:p>
      <w:pPr>
        <w:bidi/>
        <w:spacing w:after="60"/>
        <w:jc w:val="both"/>
      </w:pPr>
      <w:r>
        <w:rPr>
          <w:rStyle w:val="FootnoteReference"/>
        </w:rPr>
        <w:footnoteRef/>
      </w:r>
      <w:r>
        <w:rPr>
          <w:rFonts w:ascii="David" w:cs="David" w:eastAsia="David" w:hAnsi="David"/>
          <w:noProof/>
          <w:sz w:val="20"/>
          <w:szCs w:val="20"/>
          <w:rtl/>
        </w:rPr>
        <w:t xml:space="preserve">ס׳ 8 לחוק המקרקעין. הדרישה פורשה כמהותית ולא ראייתית: ע"א 726/71 </w:t>
      </w:r>
      <w:r>
        <w:rPr>
          <w:rFonts w:ascii="David" w:cs="David" w:eastAsia="David" w:hAnsi="David"/>
          <w:b/>
          <w:bCs/>
          <w:noProof/>
          <w:sz w:val="20"/>
          <w:szCs w:val="20"/>
          <w:rtl/>
        </w:rPr>
        <w:t xml:space="preserve">גרוסמן את ק.ב.ק. בע"מ נ׳ מנהלי עזבון בידרמן</w:t>
      </w:r>
      <w:r>
        <w:rPr>
          <w:rFonts w:ascii="David" w:cs="David" w:eastAsia="David" w:hAnsi="David"/>
          <w:noProof/>
          <w:sz w:val="20"/>
          <w:szCs w:val="20"/>
          <w:rtl/>
        </w:rPr>
        <w:t xml:space="preserve">, פ"ד כו(2) 781 (1972).</w:t>
      </w:r>
    </w:p>
  </w:footnote>
  <w:footnote w:id="6">
    <w:p>
      <w:pPr>
        <w:bidi/>
        <w:spacing w:after="60"/>
        <w:jc w:val="both"/>
      </w:pPr>
      <w:r>
        <w:rPr>
          <w:rStyle w:val="FootnoteReference"/>
        </w:rPr>
        <w:footnoteRef/>
      </w:r>
      <w:r>
        <w:rPr>
          <w:rFonts w:ascii="David" w:cs="David" w:eastAsia="David" w:hAnsi="David"/>
          <w:noProof/>
          <w:sz w:val="20"/>
          <w:szCs w:val="20"/>
          <w:rtl/>
        </w:rPr>
        <w:t xml:space="preserve">ס׳ 125 לחוק המקרקעין.</w:t>
      </w:r>
    </w:p>
  </w:footnote>
  <w:footnote w:id="7">
    <w:p>
      <w:pPr>
        <w:bidi/>
        <w:spacing w:after="60"/>
        <w:jc w:val="both"/>
      </w:pPr>
      <w:r>
        <w:rPr>
          <w:rStyle w:val="FootnoteReference"/>
        </w:rPr>
        <w:footnoteRef/>
      </w:r>
      <w:r>
        <w:rPr>
          <w:rFonts w:ascii="David" w:cs="David" w:eastAsia="David" w:hAnsi="David"/>
          <w:noProof/>
          <w:sz w:val="20"/>
          <w:szCs w:val="20"/>
          <w:rtl/>
        </w:rPr>
        <w:t xml:space="preserve">ס׳ 10 לחוק המקרקעין. ההגנה מותנית בהשלמת הרישום בפועל, ומי שלא נרשם אינו נהנה ממנה: ת"א (מחוזי חי׳) 64669-10-18 </w:t>
      </w:r>
      <w:r>
        <w:rPr>
          <w:rFonts w:ascii="David" w:cs="David" w:eastAsia="David" w:hAnsi="David"/>
          <w:b/>
          <w:bCs/>
          <w:noProof/>
          <w:sz w:val="20"/>
          <w:szCs w:val="20"/>
          <w:rtl/>
        </w:rPr>
        <w:t xml:space="preserve">בדארנה נ׳ בדארנה</w:t>
      </w:r>
      <w:r>
        <w:rPr>
          <w:rFonts w:ascii="David" w:cs="David" w:eastAsia="David" w:hAnsi="David"/>
          <w:noProof/>
          <w:sz w:val="20"/>
          <w:szCs w:val="20"/>
          <w:rtl/>
        </w:rPr>
        <w:t xml:space="preserve"> (נבו 9.1.2022).</w:t>
      </w:r>
    </w:p>
  </w:footnote>
  <w:footnote w:id="8">
    <w:p>
      <w:pPr>
        <w:bidi/>
        <w:spacing w:after="60"/>
        <w:jc w:val="both"/>
      </w:pPr>
      <w:r>
        <w:rPr>
          <w:rStyle w:val="FootnoteReference"/>
        </w:rPr>
        <w:footnoteRef/>
      </w:r>
      <w:r>
        <w:rPr>
          <w:rFonts w:ascii="David" w:cs="David" w:eastAsia="David" w:hAnsi="David"/>
          <w:noProof/>
          <w:sz w:val="20"/>
          <w:szCs w:val="20"/>
          <w:rtl/>
        </w:rPr>
        <w:t xml:space="preserve">ס׳ 126–127 לחוק המקרקעין. לניתוח מוסדי ראו אוריאל רייכמן "הערת האזהרה – מהות, יצירה והגנה כנגד עסקות נוגדות" </w:t>
      </w:r>
      <w:r>
        <w:rPr>
          <w:rFonts w:ascii="David" w:cs="David" w:eastAsia="David" w:hAnsi="David"/>
          <w:b/>
          <w:bCs/>
          <w:noProof/>
          <w:sz w:val="20"/>
          <w:szCs w:val="20"/>
          <w:rtl/>
        </w:rPr>
        <w:t xml:space="preserve">עיוני משפט</w:t>
      </w:r>
      <w:r>
        <w:rPr>
          <w:rFonts w:ascii="David" w:cs="David" w:eastAsia="David" w:hAnsi="David"/>
          <w:noProof/>
          <w:sz w:val="20"/>
          <w:szCs w:val="20"/>
          <w:rtl/>
        </w:rPr>
        <w:t xml:space="preserve"> י 297 (1984). ודוק: הערת אזהרה ניתנת לרישום רק במקרקעין הרשומים, כך שבמקרקעין בלתי רשומים אף כלי ביניים זה אינו זמין: יהושע ויסמן </w:t>
      </w:r>
      <w:r>
        <w:rPr>
          <w:rFonts w:ascii="David" w:cs="David" w:eastAsia="David" w:hAnsi="David"/>
          <w:b/>
          <w:bCs/>
          <w:noProof/>
          <w:sz w:val="20"/>
          <w:szCs w:val="20"/>
          <w:rtl/>
        </w:rPr>
        <w:t xml:space="preserve">דיני קניין – חלק כללי</w:t>
      </w:r>
      <w:r>
        <w:rPr>
          <w:rFonts w:ascii="David" w:cs="David" w:eastAsia="David" w:hAnsi="David"/>
          <w:noProof/>
          <w:sz w:val="20"/>
          <w:szCs w:val="20"/>
          <w:rtl/>
        </w:rPr>
        <w:t xml:space="preserve"> 327–328 (1993).</w:t>
      </w:r>
    </w:p>
  </w:footnote>
  <w:footnote w:id="9">
    <w:p>
      <w:pPr>
        <w:bidi/>
        <w:spacing w:after="60"/>
        <w:jc w:val="both"/>
      </w:pPr>
      <w:r>
        <w:rPr>
          <w:rStyle w:val="FootnoteReference"/>
        </w:rPr>
        <w:footnoteRef/>
      </w:r>
      <w:r>
        <w:rPr>
          <w:rFonts w:ascii="David" w:cs="David" w:eastAsia="David" w:hAnsi="David"/>
          <w:noProof/>
          <w:sz w:val="20"/>
          <w:szCs w:val="20"/>
          <w:rtl/>
        </w:rPr>
        <w:t xml:space="preserve">ויסמן </w:t>
      </w:r>
      <w:r>
        <w:rPr>
          <w:rFonts w:ascii="David" w:cs="David" w:eastAsia="David" w:hAnsi="David"/>
          <w:b/>
          <w:bCs/>
          <w:noProof/>
          <w:sz w:val="20"/>
          <w:szCs w:val="20"/>
          <w:rtl/>
        </w:rPr>
        <w:t xml:space="preserve">דיני קניין</w:t>
      </w:r>
      <w:r>
        <w:rPr>
          <w:rFonts w:ascii="David" w:cs="David" w:eastAsia="David" w:hAnsi="David"/>
          <w:noProof/>
          <w:sz w:val="20"/>
          <w:szCs w:val="20"/>
          <w:rtl/>
        </w:rPr>
        <w:t xml:space="preserve">, </w:t>
      </w:r>
      <w:r>
        <w:rPr>
          <w:rFonts w:ascii="David" w:cs="David" w:eastAsia="David" w:hAnsi="David"/>
          <w:noProof/>
          <w:sz w:val="20"/>
          <w:szCs w:val="20"/>
          <w:rtl/>
        </w:rPr>
        <w:t xml:space="preserve">לעיל ה"ש 8</w:t>
      </w:r>
      <w:r>
        <w:rPr>
          <w:rFonts w:ascii="David" w:cs="David" w:eastAsia="David" w:hAnsi="David"/>
          <w:noProof/>
          <w:sz w:val="20"/>
          <w:szCs w:val="20"/>
          <w:rtl/>
        </w:rPr>
        <w:t xml:space="preserve">, בעמ׳ 43–48.</w:t>
      </w:r>
    </w:p>
  </w:footnote>
  <w:footnote w:id="10">
    <w:p>
      <w:pPr>
        <w:bidi/>
        <w:spacing w:after="60"/>
        <w:jc w:val="both"/>
      </w:pPr>
      <w:r>
        <w:rPr>
          <w:rStyle w:val="FootnoteReference"/>
        </w:rPr>
        <w:footnoteRef/>
      </w:r>
      <w:r>
        <w:rPr>
          <w:rFonts w:ascii="David" w:cs="David" w:eastAsia="David" w:hAnsi="David"/>
          <w:noProof/>
          <w:sz w:val="20"/>
          <w:szCs w:val="20"/>
          <w:rtl/>
        </w:rPr>
        <w:t xml:space="preserve">פקודת הסדר זכויות במקרקעין [נוסח חדש], התשכ"ט–1969. לרקע ההיסטורי ראו חיים זנדברג </w:t>
      </w:r>
      <w:r>
        <w:rPr>
          <w:rFonts w:ascii="David" w:cs="David" w:eastAsia="David" w:hAnsi="David"/>
          <w:b/>
          <w:bCs/>
          <w:noProof/>
          <w:sz w:val="20"/>
          <w:szCs w:val="20"/>
          <w:rtl/>
        </w:rPr>
        <w:t xml:space="preserve">הסדר זכויות במקרקעין בארץ-ישראל ובמדינת ישראל</w:t>
      </w:r>
      <w:r>
        <w:rPr>
          <w:rFonts w:ascii="David" w:cs="David" w:eastAsia="David" w:hAnsi="David"/>
          <w:noProof/>
          <w:sz w:val="20"/>
          <w:szCs w:val="20"/>
          <w:rtl/>
        </w:rPr>
        <w:t xml:space="preserve"> (התש"ס).</w:t>
      </w:r>
    </w:p>
  </w:footnote>
  <w:footnote w:id="11">
    <w:p>
      <w:pPr>
        <w:bidi/>
        <w:spacing w:after="60"/>
        <w:jc w:val="both"/>
      </w:pPr>
      <w:r>
        <w:rPr>
          <w:rStyle w:val="FootnoteReference"/>
        </w:rPr>
        <w:footnoteRef/>
      </w:r>
      <w:r>
        <w:rPr>
          <w:rFonts w:ascii="David" w:cs="David" w:eastAsia="David" w:hAnsi="David"/>
          <w:noProof/>
          <w:sz w:val="20"/>
          <w:szCs w:val="20"/>
          <w:rtl/>
        </w:rPr>
        <w:t xml:space="preserve">ס׳ 81 לפקודת הסדר זכויות במקרקעין [נוסח חדש], התשכ"ט–1969.</w:t>
      </w:r>
    </w:p>
  </w:footnote>
  <w:footnote w:id="12">
    <w:p>
      <w:pPr>
        <w:bidi/>
        <w:spacing w:after="60"/>
        <w:jc w:val="both"/>
      </w:pPr>
      <w:r>
        <w:rPr>
          <w:rStyle w:val="FootnoteReference"/>
        </w:rPr>
        <w:footnoteRef/>
      </w:r>
      <w:r>
        <w:rPr>
          <w:rFonts w:ascii="David" w:cs="David" w:eastAsia="David" w:hAnsi="David"/>
          <w:noProof/>
          <w:sz w:val="20"/>
          <w:szCs w:val="20"/>
          <w:rtl/>
        </w:rPr>
        <w:t xml:space="preserve">רע"א 4890/15 </w:t>
      </w:r>
      <w:r>
        <w:rPr>
          <w:rFonts w:ascii="David" w:cs="David" w:eastAsia="David" w:hAnsi="David"/>
          <w:b/>
          <w:bCs/>
          <w:noProof/>
          <w:sz w:val="20"/>
          <w:szCs w:val="20"/>
          <w:rtl/>
        </w:rPr>
        <w:t xml:space="preserve">אלוש נ׳ עיריית טבריה</w:t>
      </w:r>
      <w:r>
        <w:rPr>
          <w:rFonts w:ascii="David" w:cs="David" w:eastAsia="David" w:hAnsi="David"/>
          <w:noProof/>
          <w:sz w:val="20"/>
          <w:szCs w:val="20"/>
          <w:rtl/>
        </w:rPr>
        <w:t xml:space="preserve"> (נבו 31.12.2015) (להלן: עניין אלוש); ס׳ 159(ב) לחוק המקרקעין; זנדברג, </w:t>
      </w:r>
      <w:r>
        <w:rPr>
          <w:rFonts w:ascii="David" w:cs="David" w:eastAsia="David" w:hAnsi="David"/>
          <w:noProof/>
          <w:sz w:val="20"/>
          <w:szCs w:val="20"/>
          <w:rtl/>
        </w:rPr>
        <w:t xml:space="preserve">לעיל ה"ש 10</w:t>
      </w:r>
      <w:r>
        <w:rPr>
          <w:rFonts w:ascii="David" w:cs="David" w:eastAsia="David" w:hAnsi="David"/>
          <w:noProof/>
          <w:sz w:val="20"/>
          <w:szCs w:val="20"/>
          <w:rtl/>
        </w:rPr>
        <w:t xml:space="preserve">.</w:t>
      </w:r>
    </w:p>
  </w:footnote>
  <w:footnote w:id="13">
    <w:p>
      <w:pPr>
        <w:bidi/>
        <w:spacing w:after="60"/>
        <w:jc w:val="both"/>
      </w:pPr>
      <w:r>
        <w:rPr>
          <w:rStyle w:val="FootnoteReference"/>
        </w:rPr>
        <w:footnoteRef/>
      </w:r>
      <w:r>
        <w:rPr>
          <w:rFonts w:ascii="David" w:cs="David" w:eastAsia="David" w:hAnsi="David"/>
          <w:noProof/>
          <w:sz w:val="20"/>
          <w:szCs w:val="20"/>
          <w:rtl/>
        </w:rPr>
        <w:t xml:space="preserve">להנחות היסוד של שיטת הרישום ולביקורת עליהן השוו רייכמן, </w:t>
      </w:r>
      <w:r>
        <w:rPr>
          <w:rFonts w:ascii="David" w:cs="David" w:eastAsia="David" w:hAnsi="David"/>
          <w:noProof/>
          <w:sz w:val="20"/>
          <w:szCs w:val="20"/>
          <w:rtl/>
        </w:rPr>
        <w:t xml:space="preserve">לעיל ה"ש 8</w:t>
      </w:r>
      <w:r>
        <w:rPr>
          <w:rFonts w:ascii="David" w:cs="David" w:eastAsia="David" w:hAnsi="David"/>
          <w:noProof/>
          <w:sz w:val="20"/>
          <w:szCs w:val="20"/>
          <w:rtl/>
        </w:rPr>
        <w:t xml:space="preserve">; זנדברג, </w:t>
      </w:r>
      <w:r>
        <w:rPr>
          <w:rFonts w:ascii="David" w:cs="David" w:eastAsia="David" w:hAnsi="David"/>
          <w:noProof/>
          <w:sz w:val="20"/>
          <w:szCs w:val="20"/>
          <w:rtl/>
        </w:rPr>
        <w:t xml:space="preserve">לעיל ה"ש 10</w:t>
      </w:r>
      <w:r>
        <w:rPr>
          <w:rFonts w:ascii="David" w:cs="David" w:eastAsia="David" w:hAnsi="David"/>
          <w:noProof/>
          <w:sz w:val="20"/>
          <w:szCs w:val="20"/>
          <w:rtl/>
        </w:rPr>
        <w:t xml:space="preserve">.</w:t>
      </w:r>
    </w:p>
  </w:footnote>
  <w:footnote w:id="14">
    <w:p>
      <w:pPr>
        <w:bidi/>
        <w:spacing w:after="60"/>
        <w:jc w:val="both"/>
      </w:pPr>
      <w:r>
        <w:rPr>
          <w:rStyle w:val="FootnoteReference"/>
        </w:rPr>
        <w:footnoteRef/>
      </w:r>
      <w:r>
        <w:rPr>
          <w:rFonts w:ascii="David" w:cs="David" w:eastAsia="David" w:hAnsi="David"/>
          <w:noProof/>
          <w:sz w:val="20"/>
          <w:szCs w:val="20"/>
          <w:rtl/>
        </w:rPr>
        <w:t xml:space="preserve">חוק הקרקעות העות׳מאני, 1858. לתרגום האנגלי המקובל ראו </w:t>
      </w:r>
      <w:r>
        <w:rPr>
          <w:rFonts w:ascii="Times New Roman" w:cs="Times New Roman" w:eastAsia="Times New Roman" w:hAnsi="Times New Roman"/>
          <w:smallCaps/>
          <w:noProof/>
          <w:sz w:val="20"/>
          <w:szCs w:val="20"/>
        </w:rPr>
        <w:t xml:space="preserve">F. Ongley, The Ottoman Land Code (1892)</w:t>
      </w:r>
      <w:r>
        <w:rPr>
          <w:rFonts w:ascii="David" w:cs="David" w:eastAsia="David" w:hAnsi="David"/>
          <w:noProof/>
          <w:sz w:val="20"/>
          <w:szCs w:val="20"/>
          <w:rtl/>
        </w:rPr>
        <w:t xml:space="preserve">. ראו להלן פרק ו.3.</w:t>
      </w:r>
    </w:p>
  </w:footnote>
  <w:footnote w:id="15">
    <w:p>
      <w:pPr>
        <w:bidi/>
        <w:spacing w:after="60"/>
        <w:jc w:val="both"/>
      </w:pPr>
      <w:r>
        <w:rPr>
          <w:rStyle w:val="FootnoteReference"/>
        </w:rPr>
        <w:footnoteRef/>
      </w:r>
      <w:r>
        <w:rPr>
          <w:rFonts w:ascii="David" w:cs="David" w:eastAsia="David" w:hAnsi="David"/>
          <w:noProof/>
          <w:sz w:val="20"/>
          <w:szCs w:val="20"/>
          <w:rtl/>
        </w:rPr>
        <w:t xml:space="preserve">לתיאור המושאע והשפעתו ראו </w:t>
      </w:r>
      <w:r>
        <w:rPr>
          <w:rFonts w:ascii="Times New Roman" w:cs="Times New Roman" w:eastAsia="Times New Roman" w:hAnsi="Times New Roman"/>
          <w:smallCaps/>
          <w:noProof/>
          <w:sz w:val="20"/>
          <w:szCs w:val="20"/>
        </w:rPr>
        <w:t xml:space="preserve">Kenneth W. Stein, The Land Question in Palestine, 1917–1939 (1984)</w:t>
      </w:r>
      <w:r>
        <w:rPr>
          <w:rFonts w:ascii="Times New Roman" w:cs="Times New Roman" w:eastAsia="Times New Roman" w:hAnsi="Times New Roman"/>
          <w:noProof/>
          <w:sz w:val="20"/>
          <w:szCs w:val="20"/>
        </w:rPr>
        <w:t xml:space="preserve">; Amos Nadan, </w:t>
      </w:r>
      <w:r>
        <w:rPr>
          <w:rFonts w:ascii="Times New Roman" w:cs="Times New Roman" w:eastAsia="Times New Roman" w:hAnsi="Times New Roman"/>
          <w:i/>
          <w:iCs/>
          <w:noProof/>
          <w:sz w:val="20"/>
          <w:szCs w:val="20"/>
        </w:rPr>
        <w:t xml:space="preserve">Colonial Misunderstanding of an Efficient Peasant Institution: Land Settlement and Musha‘ Tenure in Mandate Palestine, 1921–47</w:t>
      </w:r>
      <w:r>
        <w:rPr>
          <w:rFonts w:ascii="Times New Roman" w:cs="Times New Roman" w:eastAsia="Times New Roman" w:hAnsi="Times New Roman"/>
          <w:noProof/>
          <w:sz w:val="20"/>
          <w:szCs w:val="20"/>
        </w:rPr>
        <w:t xml:space="preserve">, 46 </w:t>
      </w:r>
      <w:r>
        <w:rPr>
          <w:rFonts w:ascii="Times New Roman" w:cs="Times New Roman" w:eastAsia="Times New Roman" w:hAnsi="Times New Roman"/>
          <w:smallCaps/>
          <w:noProof/>
          <w:sz w:val="20"/>
          <w:szCs w:val="20"/>
        </w:rPr>
        <w:t xml:space="preserve">J. Econ. &amp; Soc. Hist. Orient</w:t>
      </w:r>
      <w:r>
        <w:rPr>
          <w:rFonts w:ascii="Times New Roman" w:cs="Times New Roman" w:eastAsia="Times New Roman" w:hAnsi="Times New Roman"/>
          <w:noProof/>
          <w:sz w:val="20"/>
          <w:szCs w:val="20"/>
        </w:rPr>
        <w:t xml:space="preserve"> 320 (2003)</w:t>
      </w:r>
      <w:r>
        <w:rPr>
          <w:rFonts w:ascii="David" w:cs="David" w:eastAsia="David" w:hAnsi="David"/>
          <w:noProof/>
          <w:sz w:val="20"/>
          <w:szCs w:val="20"/>
          <w:rtl/>
        </w:rPr>
        <w:t xml:space="preserve">; וכן זנדברג, </w:t>
      </w:r>
      <w:r>
        <w:rPr>
          <w:rFonts w:ascii="David" w:cs="David" w:eastAsia="David" w:hAnsi="David"/>
          <w:noProof/>
          <w:sz w:val="20"/>
          <w:szCs w:val="20"/>
          <w:rtl/>
        </w:rPr>
        <w:t xml:space="preserve">לעיל ה"ש 10</w:t>
      </w:r>
      <w:r>
        <w:rPr>
          <w:rFonts w:ascii="David" w:cs="David" w:eastAsia="David" w:hAnsi="David"/>
          <w:noProof/>
          <w:sz w:val="20"/>
          <w:szCs w:val="20"/>
          <w:rtl/>
        </w:rPr>
        <w:t xml:space="preserve">.</w:t>
      </w:r>
    </w:p>
  </w:footnote>
  <w:footnote w:id="16">
    <w:p>
      <w:pPr>
        <w:bidi/>
        <w:spacing w:after="60"/>
        <w:jc w:val="both"/>
      </w:pPr>
      <w:r>
        <w:rPr>
          <w:rStyle w:val="FootnoteReference"/>
        </w:rPr>
        <w:footnoteRef/>
      </w:r>
      <w:r>
        <w:rPr>
          <w:rFonts w:ascii="David" w:cs="David" w:eastAsia="David" w:hAnsi="David"/>
          <w:noProof/>
          <w:sz w:val="20"/>
          <w:szCs w:val="20"/>
          <w:rtl/>
        </w:rPr>
        <w:t xml:space="preserve">על הליכי ההסדר שלא הושלמו ועל תוצאותיהם ראו אורן יפתחאל, סנדי קדר ואחמד אמארה "עיון מחדש בהלכת 'הנגב המת': זכויות קניין במרחב הבדווי" </w:t>
      </w:r>
      <w:r>
        <w:rPr>
          <w:rFonts w:ascii="David" w:cs="David" w:eastAsia="David" w:hAnsi="David"/>
          <w:b/>
          <w:bCs/>
          <w:noProof/>
          <w:sz w:val="20"/>
          <w:szCs w:val="20"/>
          <w:rtl/>
        </w:rPr>
        <w:t xml:space="preserve">משפט וממשל</w:t>
      </w:r>
      <w:r>
        <w:rPr>
          <w:rFonts w:ascii="David" w:cs="David" w:eastAsia="David" w:hAnsi="David"/>
          <w:noProof/>
          <w:sz w:val="20"/>
          <w:szCs w:val="20"/>
          <w:rtl/>
        </w:rPr>
        <w:t xml:space="preserve"> יד 7 (2012); רונית לוין-שנור "הפרטה, הפרדה והפליה – זניחת ההליכים של הסדר הזכויות במקרקעין במזרח ירושלים" </w:t>
      </w:r>
      <w:r>
        <w:rPr>
          <w:rFonts w:ascii="David" w:cs="David" w:eastAsia="David" w:hAnsi="David"/>
          <w:b/>
          <w:bCs/>
          <w:noProof/>
          <w:sz w:val="20"/>
          <w:szCs w:val="20"/>
          <w:rtl/>
        </w:rPr>
        <w:t xml:space="preserve">עיוני משפט</w:t>
      </w:r>
      <w:r>
        <w:rPr>
          <w:rFonts w:ascii="David" w:cs="David" w:eastAsia="David" w:hAnsi="David"/>
          <w:noProof/>
          <w:sz w:val="20"/>
          <w:szCs w:val="20"/>
          <w:rtl/>
        </w:rPr>
        <w:t xml:space="preserve"> לד 183 (2011).</w:t>
      </w:r>
    </w:p>
  </w:footnote>
  <w:footnote w:id="17">
    <w:p>
      <w:pPr>
        <w:bidi/>
        <w:spacing w:after="60"/>
        <w:jc w:val="both"/>
      </w:pPr>
      <w:r>
        <w:rPr>
          <w:rStyle w:val="FootnoteReference"/>
        </w:rPr>
        <w:footnoteRef/>
      </w:r>
      <w:r>
        <w:rPr>
          <w:rFonts w:ascii="David" w:cs="David" w:eastAsia="David" w:hAnsi="David"/>
          <w:noProof/>
          <w:sz w:val="20"/>
          <w:szCs w:val="20"/>
          <w:rtl/>
        </w:rPr>
        <w:t xml:space="preserve">שי שטרן </w:t>
      </w:r>
      <w:r>
        <w:rPr>
          <w:rFonts w:ascii="David" w:cs="David" w:eastAsia="David" w:hAnsi="David"/>
          <w:b/>
          <w:bCs/>
          <w:noProof/>
          <w:sz w:val="20"/>
          <w:szCs w:val="20"/>
          <w:rtl/>
        </w:rPr>
        <w:t xml:space="preserve">קהילות במשפט</w:t>
      </w:r>
      <w:r>
        <w:rPr>
          <w:rFonts w:ascii="David" w:cs="David" w:eastAsia="David" w:hAnsi="David"/>
          <w:noProof/>
          <w:sz w:val="20"/>
          <w:szCs w:val="20"/>
          <w:rtl/>
        </w:rPr>
        <w:t xml:space="preserve"> 252–253 (2026) (להלן: שטרן): המפגש בין תפיסות המרחב של הקהילות הערביות ובין מגמות התכנון הממלכתיות הוליד "מחסור אקוטי בדיור, היעדר תכנון מרחבי ותשתיתי והרחבה ניכרת של בנייה חורגת למגורים ולעסקים".</w:t>
      </w:r>
    </w:p>
  </w:footnote>
  <w:footnote w:id="18">
    <w:p>
      <w:pPr>
        <w:bidi/>
        <w:spacing w:after="60"/>
        <w:jc w:val="both"/>
      </w:pPr>
      <w:r>
        <w:rPr>
          <w:rStyle w:val="FootnoteReference"/>
        </w:rPr>
        <w:footnoteRef/>
      </w:r>
      <w:r>
        <w:rPr>
          <w:rFonts w:ascii="David" w:cs="David" w:eastAsia="David" w:hAnsi="David"/>
          <w:noProof/>
          <w:sz w:val="20"/>
          <w:szCs w:val="20"/>
          <w:rtl/>
        </w:rPr>
        <w:t xml:space="preserve">לפרקטיקה של ייפויי כוח בלתי חוזרים כתחליף מעשי לרישום ראו יהושע ויסמן "יפוי-כוח בלתי-חוזר כתחליף לבעלות" </w:t>
      </w:r>
      <w:r>
        <w:rPr>
          <w:rFonts w:ascii="David" w:cs="David" w:eastAsia="David" w:hAnsi="David"/>
          <w:b/>
          <w:bCs/>
          <w:noProof/>
          <w:sz w:val="20"/>
          <w:szCs w:val="20"/>
          <w:rtl/>
        </w:rPr>
        <w:t xml:space="preserve">משפטים</w:t>
      </w:r>
      <w:r>
        <w:rPr>
          <w:rFonts w:ascii="David" w:cs="David" w:eastAsia="David" w:hAnsi="David"/>
          <w:noProof/>
          <w:sz w:val="20"/>
          <w:szCs w:val="20"/>
          <w:rtl/>
        </w:rPr>
        <w:t xml:space="preserve"> יד 572 (התשמ"ה); ולביקורת על השימוש בהרשאה בלתי הדירה לביצוע מתנה ראו גד טדסקי "הרשאה בלתי-הדירה לביצוע מתנה לאדם שלישי" </w:t>
      </w:r>
      <w:r>
        <w:rPr>
          <w:rFonts w:ascii="David" w:cs="David" w:eastAsia="David" w:hAnsi="David"/>
          <w:b/>
          <w:bCs/>
          <w:noProof/>
          <w:sz w:val="20"/>
          <w:szCs w:val="20"/>
          <w:rtl/>
        </w:rPr>
        <w:t xml:space="preserve">משפטים</w:t>
      </w:r>
      <w:r>
        <w:rPr>
          <w:rFonts w:ascii="David" w:cs="David" w:eastAsia="David" w:hAnsi="David"/>
          <w:noProof/>
          <w:sz w:val="20"/>
          <w:szCs w:val="20"/>
          <w:rtl/>
        </w:rPr>
        <w:t xml:space="preserve"> יט 205 (התשמ"ט).</w:t>
      </w:r>
    </w:p>
  </w:footnote>
  <w:footnote w:id="19">
    <w:p>
      <w:pPr>
        <w:bidi/>
        <w:spacing w:after="60"/>
        <w:jc w:val="both"/>
      </w:pPr>
      <w:r>
        <w:rPr>
          <w:rStyle w:val="FootnoteReference"/>
        </w:rPr>
        <w:footnoteRef/>
      </w:r>
      <w:r>
        <w:rPr>
          <w:rFonts w:ascii="David" w:cs="David" w:eastAsia="David" w:hAnsi="David"/>
          <w:noProof/>
          <w:sz w:val="20"/>
          <w:szCs w:val="20"/>
          <w:rtl/>
        </w:rPr>
        <w:t xml:space="preserve">מוחמד ח׳לאילה ואחמד בדראן </w:t>
      </w:r>
      <w:r>
        <w:rPr>
          <w:rFonts w:ascii="David" w:cs="David" w:eastAsia="David" w:hAnsi="David"/>
          <w:b/>
          <w:bCs/>
          <w:noProof/>
          <w:sz w:val="20"/>
          <w:szCs w:val="20"/>
          <w:rtl/>
        </w:rPr>
        <w:t xml:space="preserve">שנתון החברה הערבית בישראל 2023</w:t>
      </w:r>
      <w:r>
        <w:rPr>
          <w:rFonts w:ascii="David" w:cs="David" w:eastAsia="David" w:hAnsi="David"/>
          <w:noProof/>
          <w:sz w:val="20"/>
          <w:szCs w:val="20"/>
          <w:rtl/>
        </w:rPr>
        <w:t xml:space="preserve"> (2023).</w:t>
      </w:r>
    </w:p>
  </w:footnote>
  <w:footnote w:id="20">
    <w:p>
      <w:pPr>
        <w:bidi/>
        <w:spacing w:after="60"/>
        <w:jc w:val="both"/>
      </w:pPr>
      <w:r>
        <w:rPr>
          <w:rStyle w:val="FootnoteReference"/>
        </w:rPr>
        <w:footnoteRef/>
      </w:r>
      <w:r>
        <w:rPr>
          <w:rFonts w:ascii="David" w:cs="David" w:eastAsia="David" w:hAnsi="David"/>
          <w:noProof/>
          <w:sz w:val="20"/>
          <w:szCs w:val="20"/>
          <w:rtl/>
        </w:rPr>
        <w:t xml:space="preserve">קייס נאסר </w:t>
      </w:r>
      <w:r>
        <w:rPr>
          <w:rFonts w:ascii="David" w:cs="David" w:eastAsia="David" w:hAnsi="David"/>
          <w:b/>
          <w:bCs/>
          <w:noProof/>
          <w:sz w:val="20"/>
          <w:szCs w:val="20"/>
          <w:rtl/>
        </w:rPr>
        <w:t xml:space="preserve">תהליכי התכנון והעיור ביישובים הערביים בישראל</w:t>
      </w:r>
      <w:r>
        <w:rPr>
          <w:rFonts w:ascii="David" w:cs="David" w:eastAsia="David" w:hAnsi="David"/>
          <w:noProof/>
          <w:sz w:val="20"/>
          <w:szCs w:val="20"/>
          <w:rtl/>
        </w:rPr>
        <w:t xml:space="preserve"> (רביב שלו עורך 2020); שטרן, </w:t>
      </w:r>
      <w:r>
        <w:rPr>
          <w:rFonts w:ascii="David" w:cs="David" w:eastAsia="David" w:hAnsi="David"/>
          <w:noProof/>
          <w:sz w:val="20"/>
          <w:szCs w:val="20"/>
          <w:rtl/>
        </w:rPr>
        <w:t xml:space="preserve">לעיל ה"ש 17</w:t>
      </w:r>
      <w:r>
        <w:rPr>
          <w:rFonts w:ascii="David" w:cs="David" w:eastAsia="David" w:hAnsi="David"/>
          <w:noProof/>
          <w:sz w:val="20"/>
          <w:szCs w:val="20"/>
          <w:rtl/>
        </w:rPr>
        <w:t xml:space="preserve">, בעמ׳ 248–249, המכתיר את הקהילה הערבית "כמנגנון לשימור זהות וטריטוריה".</w:t>
      </w:r>
    </w:p>
  </w:footnote>
  <w:footnote w:id="21">
    <w:p>
      <w:pPr>
        <w:bidi/>
        <w:spacing w:after="60"/>
        <w:jc w:val="both"/>
      </w:pPr>
      <w:r>
        <w:rPr>
          <w:rStyle w:val="FootnoteReference"/>
        </w:rPr>
        <w:footnoteRef/>
      </w:r>
      <w:r>
        <w:rPr>
          <w:rFonts w:ascii="Times New Roman" w:cs="Times New Roman" w:eastAsia="Times New Roman" w:hAnsi="Times New Roman"/>
          <w:noProof/>
          <w:sz w:val="20"/>
          <w:szCs w:val="20"/>
        </w:rPr>
        <w:t xml:space="preserve">Nasr Kheir &amp; Boris A. Portnov, </w:t>
      </w:r>
      <w:r>
        <w:rPr>
          <w:rFonts w:ascii="Times New Roman" w:cs="Times New Roman" w:eastAsia="Times New Roman" w:hAnsi="Times New Roman"/>
          <w:i/>
          <w:iCs/>
          <w:noProof/>
          <w:sz w:val="20"/>
          <w:szCs w:val="20"/>
        </w:rPr>
        <w:t xml:space="preserve">Land Market Segmentation Along Ethnic Lines: Four Urban Localities in Israel as a Case Study</w:t>
      </w:r>
      <w:r>
        <w:rPr>
          <w:rFonts w:ascii="Times New Roman" w:cs="Times New Roman" w:eastAsia="Times New Roman" w:hAnsi="Times New Roman"/>
          <w:noProof/>
          <w:sz w:val="20"/>
          <w:szCs w:val="20"/>
        </w:rPr>
        <w:t xml:space="preserve">, 136 </w:t>
      </w:r>
      <w:r>
        <w:rPr>
          <w:rFonts w:ascii="Times New Roman" w:cs="Times New Roman" w:eastAsia="Times New Roman" w:hAnsi="Times New Roman"/>
          <w:smallCaps/>
          <w:noProof/>
          <w:sz w:val="20"/>
          <w:szCs w:val="20"/>
        </w:rPr>
        <w:t xml:space="preserve">Land Use Policy</w:t>
      </w:r>
      <w:r>
        <w:rPr>
          <w:rFonts w:ascii="Times New Roman" w:cs="Times New Roman" w:eastAsia="Times New Roman" w:hAnsi="Times New Roman"/>
          <w:noProof/>
          <w:sz w:val="20"/>
          <w:szCs w:val="20"/>
        </w:rPr>
        <w:t xml:space="preserve"> art. 106916 (2024)</w:t>
      </w:r>
      <w:r>
        <w:rPr>
          <w:rFonts w:ascii="David" w:cs="David" w:eastAsia="David" w:hAnsi="David"/>
          <w:noProof/>
          <w:sz w:val="20"/>
          <w:szCs w:val="20"/>
          <w:rtl/>
        </w:rPr>
        <w:t xml:space="preserve">.</w:t>
      </w:r>
    </w:p>
  </w:footnote>
  <w:footnote w:id="22">
    <w:p>
      <w:pPr>
        <w:bidi/>
        <w:spacing w:after="60"/>
        <w:jc w:val="both"/>
      </w:pPr>
      <w:r>
        <w:rPr>
          <w:rStyle w:val="FootnoteReference"/>
        </w:rPr>
        <w:footnoteRef/>
      </w:r>
      <w:r>
        <w:rPr>
          <w:rFonts w:ascii="David" w:cs="David" w:eastAsia="David" w:hAnsi="David"/>
          <w:noProof/>
          <w:sz w:val="20"/>
          <w:szCs w:val="20"/>
          <w:rtl/>
        </w:rPr>
        <w:t xml:space="preserve">לכלל הראייתי המיוחד החל בשלב זה, איסור פסיקה על סמך עדות יחידה של בעל דין נגד עיזבון בלא סיוע, ראו ס׳ 54(4) לפקודת הראיות [נוסח חדש], התשל"א–1971.</w:t>
      </w:r>
    </w:p>
  </w:footnote>
  <w:footnote w:id="23">
    <w:p>
      <w:pPr>
        <w:bidi/>
        <w:spacing w:after="60"/>
        <w:jc w:val="both"/>
      </w:pPr>
      <w:r>
        <w:rPr>
          <w:rStyle w:val="FootnoteReference"/>
        </w:rPr>
        <w:footnoteRef/>
      </w:r>
      <w:r>
        <w:rPr>
          <w:rFonts w:ascii="David" w:cs="David" w:eastAsia="David" w:hAnsi="David"/>
          <w:noProof/>
          <w:sz w:val="20"/>
          <w:szCs w:val="20"/>
          <w:rtl/>
        </w:rPr>
        <w:t xml:space="preserve">לדפוס הדיוני ראו יעקב שקד </w:t>
      </w:r>
      <w:r>
        <w:rPr>
          <w:rFonts w:ascii="David" w:cs="David" w:eastAsia="David" w:hAnsi="David"/>
          <w:b/>
          <w:bCs/>
          <w:noProof/>
          <w:sz w:val="20"/>
          <w:szCs w:val="20"/>
          <w:rtl/>
        </w:rPr>
        <w:t xml:space="preserve">פינוי מקרקעין – הליכים והלכות</w:t>
      </w:r>
      <w:r>
        <w:rPr>
          <w:rFonts w:ascii="David" w:cs="David" w:eastAsia="David" w:hAnsi="David"/>
          <w:noProof/>
          <w:sz w:val="20"/>
          <w:szCs w:val="20"/>
          <w:rtl/>
        </w:rPr>
        <w:t xml:space="preserve"> 427–429 (מהדורה שנייה 2024) (להלן: שקד).</w:t>
      </w:r>
    </w:p>
  </w:footnote>
  <w:footnote w:id="24">
    <w:p>
      <w:pPr>
        <w:bidi/>
        <w:spacing w:after="60"/>
        <w:jc w:val="both"/>
      </w:pPr>
      <w:r>
        <w:rPr>
          <w:rStyle w:val="FootnoteReference"/>
        </w:rPr>
        <w:footnoteRef/>
      </w:r>
      <w:r>
        <w:rPr>
          <w:rFonts w:ascii="David" w:cs="David" w:eastAsia="David" w:hAnsi="David"/>
          <w:noProof/>
          <w:sz w:val="20"/>
          <w:szCs w:val="20"/>
          <w:rtl/>
        </w:rPr>
        <w:t xml:space="preserve">ע"א 189/95 </w:t>
      </w:r>
      <w:r>
        <w:rPr>
          <w:rFonts w:ascii="David" w:cs="David" w:eastAsia="David" w:hAnsi="David"/>
          <w:b/>
          <w:bCs/>
          <w:noProof/>
          <w:sz w:val="20"/>
          <w:szCs w:val="20"/>
          <w:rtl/>
        </w:rPr>
        <w:t xml:space="preserve">בנק אוצר החייל בע"מ נ׳ אהרונוב</w:t>
      </w:r>
      <w:r>
        <w:rPr>
          <w:rFonts w:ascii="David" w:cs="David" w:eastAsia="David" w:hAnsi="David"/>
          <w:noProof/>
          <w:sz w:val="20"/>
          <w:szCs w:val="20"/>
          <w:rtl/>
        </w:rPr>
        <w:t xml:space="preserve">, פ"ד נג(4) 199 (1999) (להלן: עניין </w:t>
      </w:r>
      <w:r>
        <w:rPr>
          <w:rFonts w:ascii="David" w:cs="David" w:eastAsia="David" w:hAnsi="David"/>
          <w:b/>
          <w:bCs/>
          <w:noProof/>
          <w:sz w:val="20"/>
          <w:szCs w:val="20"/>
          <w:rtl/>
        </w:rPr>
        <w:t xml:space="preserve">אהרונוב</w:t>
      </w:r>
      <w:r>
        <w:rPr>
          <w:rFonts w:ascii="David" w:cs="David" w:eastAsia="David" w:hAnsi="David"/>
          <w:noProof/>
          <w:sz w:val="20"/>
          <w:szCs w:val="20"/>
          <w:rtl/>
        </w:rPr>
        <w:t xml:space="preserve">). בכך נהפכה ההלכה הקודמת: בר"ע 178/70 </w:t>
      </w:r>
      <w:r>
        <w:rPr>
          <w:rFonts w:ascii="David" w:cs="David" w:eastAsia="David" w:hAnsi="David"/>
          <w:b/>
          <w:bCs/>
          <w:noProof/>
          <w:sz w:val="20"/>
          <w:szCs w:val="20"/>
          <w:rtl/>
        </w:rPr>
        <w:t xml:space="preserve">בוקר נ׳ חברה אנגלו-ישראלית לניהול ואחריות בע"מ</w:t>
      </w:r>
      <w:r>
        <w:rPr>
          <w:rFonts w:ascii="David" w:cs="David" w:eastAsia="David" w:hAnsi="David"/>
          <w:noProof/>
          <w:sz w:val="20"/>
          <w:szCs w:val="20"/>
          <w:rtl/>
        </w:rPr>
        <w:t xml:space="preserve">, פ"ד כה(2) 121 (1971). לדיון עדכני ראו חיים זנדברג "עסקה בזכות אובליגטורית או בזכות במקרקעין? תכלית, לשון ואקטיביזם שיפוטי" </w:t>
      </w:r>
      <w:r>
        <w:rPr>
          <w:rFonts w:ascii="David" w:cs="David" w:eastAsia="David" w:hAnsi="David"/>
          <w:b/>
          <w:bCs/>
          <w:noProof/>
          <w:sz w:val="20"/>
          <w:szCs w:val="20"/>
          <w:rtl/>
        </w:rPr>
        <w:t xml:space="preserve">משפטים על אתר</w:t>
      </w:r>
      <w:r>
        <w:rPr>
          <w:rFonts w:ascii="David" w:cs="David" w:eastAsia="David" w:hAnsi="David"/>
          <w:noProof/>
          <w:sz w:val="20"/>
          <w:szCs w:val="20"/>
          <w:rtl/>
        </w:rPr>
        <w:t xml:space="preserve"> יג 79 (התש"ף).</w:t>
      </w:r>
    </w:p>
  </w:footnote>
  <w:footnote w:id="25">
    <w:p>
      <w:pPr>
        <w:bidi/>
        <w:spacing w:after="60"/>
        <w:jc w:val="both"/>
      </w:pPr>
      <w:r>
        <w:rPr>
          <w:rStyle w:val="FootnoteReference"/>
        </w:rPr>
        <w:footnoteRef/>
      </w:r>
      <w:r>
        <w:rPr>
          <w:rFonts w:ascii="David" w:cs="David" w:eastAsia="David" w:hAnsi="David"/>
          <w:noProof/>
          <w:sz w:val="20"/>
          <w:szCs w:val="20"/>
          <w:rtl/>
        </w:rPr>
        <w:t xml:space="preserve">ע"א 1516/99 </w:t>
      </w:r>
      <w:r>
        <w:rPr>
          <w:rFonts w:ascii="David" w:cs="David" w:eastAsia="David" w:hAnsi="David"/>
          <w:b/>
          <w:bCs/>
          <w:noProof/>
          <w:sz w:val="20"/>
          <w:szCs w:val="20"/>
          <w:rtl/>
        </w:rPr>
        <w:t xml:space="preserve">לוי נ׳ חיג׳אזי</w:t>
      </w:r>
      <w:r>
        <w:rPr>
          <w:rFonts w:ascii="David" w:cs="David" w:eastAsia="David" w:hAnsi="David"/>
          <w:noProof/>
          <w:sz w:val="20"/>
          <w:szCs w:val="20"/>
          <w:rtl/>
        </w:rPr>
        <w:t xml:space="preserve">, פ"ד נה(4) 730 (2001).</w:t>
      </w:r>
    </w:p>
  </w:footnote>
  <w:footnote w:id="26">
    <w:p>
      <w:pPr>
        <w:bidi/>
        <w:spacing w:after="60"/>
        <w:jc w:val="both"/>
      </w:pPr>
      <w:r>
        <w:rPr>
          <w:rStyle w:val="FootnoteReference"/>
        </w:rPr>
        <w:footnoteRef/>
      </w:r>
      <w:r>
        <w:rPr>
          <w:rFonts w:ascii="David" w:cs="David" w:eastAsia="David" w:hAnsi="David"/>
          <w:noProof/>
          <w:sz w:val="20"/>
          <w:szCs w:val="20"/>
          <w:rtl/>
        </w:rPr>
        <w:t xml:space="preserve">ס׳ 9 לחוק המקרקעין. להתנגשות בין התחייבויות נוגדות בעסקאות מתנה משפחתיות ראו בע"מ 2311/22 </w:t>
      </w:r>
      <w:r>
        <w:rPr>
          <w:rFonts w:ascii="David" w:cs="David" w:eastAsia="David" w:hAnsi="David"/>
          <w:b/>
          <w:bCs/>
          <w:noProof/>
          <w:sz w:val="20"/>
          <w:szCs w:val="20"/>
          <w:rtl/>
        </w:rPr>
        <w:t xml:space="preserve">פלוני נ׳ פלוני</w:t>
      </w:r>
      <w:r>
        <w:rPr>
          <w:rFonts w:ascii="David" w:cs="David" w:eastAsia="David" w:hAnsi="David"/>
          <w:noProof/>
          <w:sz w:val="20"/>
          <w:szCs w:val="20"/>
          <w:rtl/>
        </w:rPr>
        <w:t xml:space="preserve"> (נבו 13.4.2022). מחדלו של הקונה מרישום הערת אזהרה אינו נזקף לחובתו מול הנושה המעקל: דוד בר-אופיר </w:t>
      </w:r>
      <w:r>
        <w:rPr>
          <w:rFonts w:ascii="David" w:cs="David" w:eastAsia="David" w:hAnsi="David"/>
          <w:b/>
          <w:bCs/>
          <w:noProof/>
          <w:sz w:val="20"/>
          <w:szCs w:val="20"/>
          <w:rtl/>
        </w:rPr>
        <w:t xml:space="preserve">הוצאה לפועל – הליכים והלכות</w:t>
      </w:r>
      <w:r>
        <w:rPr>
          <w:rFonts w:ascii="David" w:cs="David" w:eastAsia="David" w:hAnsi="David"/>
          <w:noProof/>
          <w:sz w:val="20"/>
          <w:szCs w:val="20"/>
          <w:rtl/>
        </w:rPr>
        <w:t xml:space="preserve"> 687–691 (מהדורה שביעית 2018); ע"א 3911/01 </w:t>
      </w:r>
      <w:r>
        <w:rPr>
          <w:rFonts w:ascii="David" w:cs="David" w:eastAsia="David" w:hAnsi="David"/>
          <w:b/>
          <w:bCs/>
          <w:noProof/>
          <w:sz w:val="20"/>
          <w:szCs w:val="20"/>
          <w:rtl/>
        </w:rPr>
        <w:t xml:space="preserve">כספי נ׳ נס</w:t>
      </w:r>
      <w:r>
        <w:rPr>
          <w:rFonts w:ascii="David" w:cs="David" w:eastAsia="David" w:hAnsi="David"/>
          <w:noProof/>
          <w:sz w:val="20"/>
          <w:szCs w:val="20"/>
          <w:rtl/>
        </w:rPr>
        <w:t xml:space="preserve">, פ"ד נו(6) 752 (2002).</w:t>
      </w:r>
    </w:p>
  </w:footnote>
  <w:footnote w:id="27">
    <w:p>
      <w:pPr>
        <w:bidi/>
        <w:spacing w:after="60"/>
        <w:jc w:val="both"/>
      </w:pPr>
      <w:r>
        <w:rPr>
          <w:rStyle w:val="FootnoteReference"/>
        </w:rPr>
        <w:footnoteRef/>
      </w:r>
      <w:r>
        <w:rPr>
          <w:rFonts w:ascii="David" w:cs="David" w:eastAsia="David" w:hAnsi="David"/>
          <w:noProof/>
          <w:sz w:val="20"/>
          <w:szCs w:val="20"/>
          <w:rtl/>
        </w:rPr>
        <w:t xml:space="preserve">ע"א 3205/00 </w:t>
      </w:r>
      <w:r>
        <w:rPr>
          <w:rFonts w:ascii="David" w:cs="David" w:eastAsia="David" w:hAnsi="David"/>
          <w:b/>
          <w:bCs/>
          <w:noProof/>
          <w:sz w:val="20"/>
          <w:szCs w:val="20"/>
          <w:rtl/>
        </w:rPr>
        <w:t xml:space="preserve">נאטור נ׳ יאסין</w:t>
      </w:r>
      <w:r>
        <w:rPr>
          <w:rFonts w:ascii="David" w:cs="David" w:eastAsia="David" w:hAnsi="David"/>
          <w:noProof/>
          <w:sz w:val="20"/>
          <w:szCs w:val="20"/>
          <w:rtl/>
        </w:rPr>
        <w:t xml:space="preserve">, פ"ד נה(4) 145 (2001); עניין </w:t>
      </w:r>
      <w:r>
        <w:rPr>
          <w:rFonts w:ascii="David" w:cs="David" w:eastAsia="David" w:hAnsi="David"/>
          <w:b/>
          <w:bCs/>
          <w:noProof/>
          <w:sz w:val="20"/>
          <w:szCs w:val="20"/>
          <w:rtl/>
        </w:rPr>
        <w:t xml:space="preserve">לוי נ׳ חיג׳אזי</w:t>
      </w:r>
      <w:r>
        <w:rPr>
          <w:rFonts w:ascii="David" w:cs="David" w:eastAsia="David" w:hAnsi="David"/>
          <w:noProof/>
          <w:sz w:val="20"/>
          <w:szCs w:val="20"/>
          <w:rtl/>
        </w:rPr>
        <w:t xml:space="preserve">, </w:t>
      </w:r>
      <w:r>
        <w:rPr>
          <w:rFonts w:ascii="David" w:cs="David" w:eastAsia="David" w:hAnsi="David"/>
          <w:noProof/>
          <w:sz w:val="20"/>
          <w:szCs w:val="20"/>
          <w:rtl/>
        </w:rPr>
        <w:t xml:space="preserve">לעיל ה"ש 25</w:t>
      </w:r>
      <w:r>
        <w:rPr>
          <w:rFonts w:ascii="David" w:cs="David" w:eastAsia="David" w:hAnsi="David"/>
          <w:noProof/>
          <w:sz w:val="20"/>
          <w:szCs w:val="20"/>
          <w:rtl/>
        </w:rPr>
        <w:t xml:space="preserve">; ויסמן, </w:t>
      </w:r>
      <w:r>
        <w:rPr>
          <w:rFonts w:ascii="David" w:cs="David" w:eastAsia="David" w:hAnsi="David"/>
          <w:noProof/>
          <w:sz w:val="20"/>
          <w:szCs w:val="20"/>
          <w:rtl/>
        </w:rPr>
        <w:t xml:space="preserve">לעיל ה"ש 18</w:t>
      </w:r>
      <w:r>
        <w:rPr>
          <w:rFonts w:ascii="David" w:cs="David" w:eastAsia="David" w:hAnsi="David"/>
          <w:noProof/>
          <w:sz w:val="20"/>
          <w:szCs w:val="20"/>
          <w:rtl/>
        </w:rPr>
        <w:t xml:space="preserve">.</w:t>
      </w:r>
    </w:p>
  </w:footnote>
  <w:footnote w:id="28">
    <w:p>
      <w:pPr>
        <w:bidi/>
        <w:spacing w:after="60"/>
        <w:jc w:val="both"/>
      </w:pPr>
      <w:r>
        <w:rPr>
          <w:rStyle w:val="FootnoteReference"/>
        </w:rPr>
        <w:footnoteRef/>
      </w:r>
      <w:r>
        <w:rPr>
          <w:rFonts w:ascii="David" w:cs="David" w:eastAsia="David" w:hAnsi="David"/>
          <w:noProof/>
          <w:sz w:val="20"/>
          <w:szCs w:val="20"/>
          <w:rtl/>
        </w:rPr>
        <w:t xml:space="preserve">ע"א 3274/18 </w:t>
      </w:r>
      <w:r>
        <w:rPr>
          <w:rFonts w:ascii="David" w:cs="David" w:eastAsia="David" w:hAnsi="David"/>
          <w:b/>
          <w:bCs/>
          <w:noProof/>
          <w:sz w:val="20"/>
          <w:szCs w:val="20"/>
          <w:rtl/>
        </w:rPr>
        <w:t xml:space="preserve">אבו אסמעיל נ׳ סלימאן</w:t>
      </w:r>
      <w:r>
        <w:rPr>
          <w:rFonts w:ascii="David" w:cs="David" w:eastAsia="David" w:hAnsi="David"/>
          <w:noProof/>
          <w:sz w:val="20"/>
          <w:szCs w:val="20"/>
          <w:rtl/>
        </w:rPr>
        <w:t xml:space="preserve"> (נבו 28.7.2020).</w:t>
      </w:r>
    </w:p>
  </w:footnote>
  <w:footnote w:id="29">
    <w:p>
      <w:pPr>
        <w:bidi/>
        <w:spacing w:after="60"/>
        <w:jc w:val="both"/>
      </w:pPr>
      <w:r>
        <w:rPr>
          <w:rStyle w:val="FootnoteReference"/>
        </w:rPr>
        <w:footnoteRef/>
      </w:r>
      <w:r>
        <w:rPr>
          <w:rFonts w:ascii="David" w:cs="David" w:eastAsia="David" w:hAnsi="David"/>
          <w:noProof/>
          <w:sz w:val="20"/>
          <w:szCs w:val="20"/>
          <w:rtl/>
        </w:rPr>
        <w:t xml:space="preserve">ת"א (שלום נצ׳) 19781-06-18 </w:t>
      </w:r>
      <w:r>
        <w:rPr>
          <w:rFonts w:ascii="David" w:cs="David" w:eastAsia="David" w:hAnsi="David"/>
          <w:b/>
          <w:bCs/>
          <w:noProof/>
          <w:sz w:val="20"/>
          <w:szCs w:val="20"/>
          <w:rtl/>
        </w:rPr>
        <w:t xml:space="preserve">אבו ליל נ׳ פאהום</w:t>
      </w:r>
      <w:r>
        <w:rPr>
          <w:rFonts w:ascii="David" w:cs="David" w:eastAsia="David" w:hAnsi="David"/>
          <w:noProof/>
          <w:sz w:val="20"/>
          <w:szCs w:val="20"/>
          <w:rtl/>
        </w:rPr>
        <w:t xml:space="preserve"> (נבו 18.10.2023).</w:t>
      </w:r>
    </w:p>
  </w:footnote>
  <w:footnote w:id="30">
    <w:p>
      <w:pPr>
        <w:bidi/>
        <w:spacing w:after="60"/>
        <w:jc w:val="both"/>
      </w:pPr>
      <w:r>
        <w:rPr>
          <w:rStyle w:val="FootnoteReference"/>
        </w:rPr>
        <w:footnoteRef/>
      </w:r>
      <w:r>
        <w:rPr>
          <w:rFonts w:ascii="David" w:cs="David" w:eastAsia="David" w:hAnsi="David"/>
          <w:noProof/>
          <w:sz w:val="20"/>
          <w:szCs w:val="20"/>
          <w:rtl/>
        </w:rPr>
        <w:t xml:space="preserve">ס׳ 14(ב) לחוק השליחות, התשכ"ה–1965; אהרן ברק </w:t>
      </w:r>
      <w:r>
        <w:rPr>
          <w:rFonts w:ascii="David" w:cs="David" w:eastAsia="David" w:hAnsi="David"/>
          <w:b/>
          <w:bCs/>
          <w:noProof/>
          <w:sz w:val="20"/>
          <w:szCs w:val="20"/>
          <w:rtl/>
        </w:rPr>
        <w:t xml:space="preserve">חוק השליחות</w:t>
      </w:r>
      <w:r>
        <w:rPr>
          <w:rFonts w:ascii="David" w:cs="David" w:eastAsia="David" w:hAnsi="David"/>
          <w:noProof/>
          <w:sz w:val="20"/>
          <w:szCs w:val="20"/>
          <w:rtl/>
        </w:rPr>
        <w:t xml:space="preserve"> כרך ב 1241–1245 (מהדורה שנייה 1996); ע"פ 114/63 </w:t>
      </w:r>
      <w:r>
        <w:rPr>
          <w:rFonts w:ascii="David" w:cs="David" w:eastAsia="David" w:hAnsi="David"/>
          <w:b/>
          <w:bCs/>
          <w:noProof/>
          <w:sz w:val="20"/>
          <w:szCs w:val="20"/>
          <w:rtl/>
        </w:rPr>
        <w:t xml:space="preserve">קר נ׳ היועץ המשפטי לממשלה</w:t>
      </w:r>
      <w:r>
        <w:rPr>
          <w:rFonts w:ascii="David" w:cs="David" w:eastAsia="David" w:hAnsi="David"/>
          <w:noProof/>
          <w:sz w:val="20"/>
          <w:szCs w:val="20"/>
          <w:rtl/>
        </w:rPr>
        <w:t xml:space="preserve">, פ"ד יח(3) 561, 564 (1964). ברק מטעים כי הכינוי "בלתי חוזר" "אינו מוצלח", שכן אי ההדירות נובעת מן האינטרס המובטח ולא מן הכותרת (שם, בעמ׳ 1242).</w:t>
      </w:r>
    </w:p>
  </w:footnote>
  <w:footnote w:id="31">
    <w:p>
      <w:pPr>
        <w:bidi/>
        <w:spacing w:after="60"/>
        <w:jc w:val="both"/>
      </w:pPr>
      <w:r>
        <w:rPr>
          <w:rStyle w:val="FootnoteReference"/>
        </w:rPr>
        <w:footnoteRef/>
      </w:r>
      <w:r>
        <w:rPr>
          <w:rFonts w:ascii="David" w:cs="David" w:eastAsia="David" w:hAnsi="David"/>
          <w:noProof/>
          <w:sz w:val="20"/>
          <w:szCs w:val="20"/>
          <w:rtl/>
        </w:rPr>
        <w:t xml:space="preserve">ע"א 1559/99 </w:t>
      </w:r>
      <w:r>
        <w:rPr>
          <w:rFonts w:ascii="David" w:cs="David" w:eastAsia="David" w:hAnsi="David"/>
          <w:b/>
          <w:bCs/>
          <w:noProof/>
          <w:sz w:val="20"/>
          <w:szCs w:val="20"/>
          <w:rtl/>
        </w:rPr>
        <w:t xml:space="preserve">צימבלר נ׳ תורג׳מן</w:t>
      </w:r>
      <w:r>
        <w:rPr>
          <w:rFonts w:ascii="David" w:cs="David" w:eastAsia="David" w:hAnsi="David"/>
          <w:noProof/>
          <w:sz w:val="20"/>
          <w:szCs w:val="20"/>
          <w:rtl/>
        </w:rPr>
        <w:t xml:space="preserve">, פ"ד נז(5) 49 (2003).</w:t>
      </w:r>
    </w:p>
  </w:footnote>
  <w:footnote w:id="32">
    <w:p>
      <w:pPr>
        <w:bidi/>
        <w:spacing w:after="60"/>
        <w:jc w:val="both"/>
      </w:pPr>
      <w:r>
        <w:rPr>
          <w:rStyle w:val="FootnoteReference"/>
        </w:rPr>
        <w:footnoteRef/>
      </w:r>
      <w:r>
        <w:rPr>
          <w:rFonts w:ascii="David" w:cs="David" w:eastAsia="David" w:hAnsi="David"/>
          <w:noProof/>
          <w:sz w:val="20"/>
          <w:szCs w:val="20"/>
          <w:rtl/>
        </w:rPr>
        <w:t xml:space="preserve">עניין </w:t>
      </w:r>
      <w:r>
        <w:rPr>
          <w:rFonts w:ascii="David" w:cs="David" w:eastAsia="David" w:hAnsi="David"/>
          <w:b/>
          <w:bCs/>
          <w:noProof/>
          <w:sz w:val="20"/>
          <w:szCs w:val="20"/>
          <w:rtl/>
        </w:rPr>
        <w:t xml:space="preserve">בדארנה</w:t>
      </w:r>
      <w:r>
        <w:rPr>
          <w:rFonts w:ascii="David" w:cs="David" w:eastAsia="David" w:hAnsi="David"/>
          <w:noProof/>
          <w:sz w:val="20"/>
          <w:szCs w:val="20"/>
          <w:rtl/>
        </w:rPr>
        <w:t xml:space="preserve">, </w:t>
      </w:r>
      <w:r>
        <w:rPr>
          <w:rFonts w:ascii="David" w:cs="David" w:eastAsia="David" w:hAnsi="David"/>
          <w:noProof/>
          <w:sz w:val="20"/>
          <w:szCs w:val="20"/>
          <w:rtl/>
        </w:rPr>
        <w:t xml:space="preserve">לעיל ה"ש 7</w:t>
      </w:r>
      <w:r>
        <w:rPr>
          <w:rFonts w:ascii="David" w:cs="David" w:eastAsia="David" w:hAnsi="David"/>
          <w:noProof/>
          <w:sz w:val="20"/>
          <w:szCs w:val="20"/>
          <w:rtl/>
        </w:rPr>
        <w:t xml:space="preserve">; ויסמן </w:t>
      </w:r>
      <w:r>
        <w:rPr>
          <w:rFonts w:ascii="David" w:cs="David" w:eastAsia="David" w:hAnsi="David"/>
          <w:b/>
          <w:bCs/>
          <w:noProof/>
          <w:sz w:val="20"/>
          <w:szCs w:val="20"/>
          <w:rtl/>
        </w:rPr>
        <w:t xml:space="preserve">דיני קניין</w:t>
      </w:r>
      <w:r>
        <w:rPr>
          <w:rFonts w:ascii="David" w:cs="David" w:eastAsia="David" w:hAnsi="David"/>
          <w:noProof/>
          <w:sz w:val="20"/>
          <w:szCs w:val="20"/>
          <w:rtl/>
        </w:rPr>
        <w:t xml:space="preserve">, </w:t>
      </w:r>
      <w:r>
        <w:rPr>
          <w:rFonts w:ascii="David" w:cs="David" w:eastAsia="David" w:hAnsi="David"/>
          <w:noProof/>
          <w:sz w:val="20"/>
          <w:szCs w:val="20"/>
          <w:rtl/>
        </w:rPr>
        <w:t xml:space="preserve">לעיל ה"ש 8</w:t>
      </w:r>
      <w:r>
        <w:rPr>
          <w:rFonts w:ascii="David" w:cs="David" w:eastAsia="David" w:hAnsi="David"/>
          <w:noProof/>
          <w:sz w:val="20"/>
          <w:szCs w:val="20"/>
          <w:rtl/>
        </w:rPr>
        <w:t xml:space="preserve">, בעמ׳ 327 ה"ש 2.</w:t>
      </w:r>
    </w:p>
  </w:footnote>
  <w:footnote w:id="33">
    <w:p>
      <w:pPr>
        <w:bidi/>
        <w:spacing w:after="60"/>
        <w:jc w:val="both"/>
      </w:pPr>
      <w:r>
        <w:rPr>
          <w:rStyle w:val="FootnoteReference"/>
        </w:rPr>
        <w:footnoteRef/>
      </w:r>
      <w:r>
        <w:rPr>
          <w:rFonts w:ascii="David" w:cs="David" w:eastAsia="David" w:hAnsi="David"/>
          <w:noProof/>
          <w:sz w:val="20"/>
          <w:szCs w:val="20"/>
          <w:rtl/>
        </w:rPr>
        <w:t xml:space="preserve">ע"א 986/93 </w:t>
      </w:r>
      <w:r>
        <w:rPr>
          <w:rFonts w:ascii="David" w:cs="David" w:eastAsia="David" w:hAnsi="David"/>
          <w:b/>
          <w:bCs/>
          <w:noProof/>
          <w:sz w:val="20"/>
          <w:szCs w:val="20"/>
          <w:rtl/>
        </w:rPr>
        <w:t xml:space="preserve">קלמר נ׳ גיא</w:t>
      </w:r>
      <w:r>
        <w:rPr>
          <w:rFonts w:ascii="David" w:cs="David" w:eastAsia="David" w:hAnsi="David"/>
          <w:noProof/>
          <w:sz w:val="20"/>
          <w:szCs w:val="20"/>
          <w:rtl/>
        </w:rPr>
        <w:t xml:space="preserve">, פ"ד נ(1) 185 (1996); נילי כהן "צורת החוזה" </w:t>
      </w:r>
      <w:r>
        <w:rPr>
          <w:rFonts w:ascii="David" w:cs="David" w:eastAsia="David" w:hAnsi="David"/>
          <w:b/>
          <w:bCs/>
          <w:noProof/>
          <w:sz w:val="20"/>
          <w:szCs w:val="20"/>
          <w:rtl/>
        </w:rPr>
        <w:t xml:space="preserve">הפרקליט</w:t>
      </w:r>
      <w:r>
        <w:rPr>
          <w:rFonts w:ascii="David" w:cs="David" w:eastAsia="David" w:hAnsi="David"/>
          <w:noProof/>
          <w:sz w:val="20"/>
          <w:szCs w:val="20"/>
          <w:rtl/>
        </w:rPr>
        <w:t xml:space="preserve"> לח 383 (התשמ"ט).</w:t>
      </w:r>
    </w:p>
  </w:footnote>
  <w:footnote w:id="34">
    <w:p>
      <w:pPr>
        <w:bidi/>
        <w:spacing w:after="60"/>
        <w:jc w:val="both"/>
      </w:pPr>
      <w:r>
        <w:rPr>
          <w:rStyle w:val="FootnoteReference"/>
        </w:rPr>
        <w:footnoteRef/>
      </w:r>
      <w:r>
        <w:rPr>
          <w:rFonts w:ascii="David" w:cs="David" w:eastAsia="David" w:hAnsi="David"/>
          <w:noProof/>
          <w:sz w:val="20"/>
          <w:szCs w:val="20"/>
          <w:rtl/>
        </w:rPr>
        <w:t xml:space="preserve">ע"א 649/73 </w:t>
      </w:r>
      <w:r>
        <w:rPr>
          <w:rFonts w:ascii="David" w:cs="David" w:eastAsia="David" w:hAnsi="David"/>
          <w:b/>
          <w:bCs/>
          <w:noProof/>
          <w:sz w:val="20"/>
          <w:szCs w:val="20"/>
          <w:rtl/>
        </w:rPr>
        <w:t xml:space="preserve">קפולסקי נ׳ גני גולן בע"מ</w:t>
      </w:r>
      <w:r>
        <w:rPr>
          <w:rFonts w:ascii="David" w:cs="David" w:eastAsia="David" w:hAnsi="David"/>
          <w:noProof/>
          <w:sz w:val="20"/>
          <w:szCs w:val="20"/>
          <w:rtl/>
        </w:rPr>
        <w:t xml:space="preserve">, פ"ד כח(2) 291 (1974); עניין </w:t>
      </w:r>
      <w:r>
        <w:rPr>
          <w:rFonts w:ascii="David" w:cs="David" w:eastAsia="David" w:hAnsi="David"/>
          <w:b/>
          <w:bCs/>
          <w:noProof/>
          <w:sz w:val="20"/>
          <w:szCs w:val="20"/>
          <w:rtl/>
        </w:rPr>
        <w:t xml:space="preserve">גרוסמן</w:t>
      </w:r>
      <w:r>
        <w:rPr>
          <w:rFonts w:ascii="David" w:cs="David" w:eastAsia="David" w:hAnsi="David"/>
          <w:noProof/>
          <w:sz w:val="20"/>
          <w:szCs w:val="20"/>
          <w:rtl/>
        </w:rPr>
        <w:t xml:space="preserve">, </w:t>
      </w:r>
      <w:r>
        <w:rPr>
          <w:rFonts w:ascii="David" w:cs="David" w:eastAsia="David" w:hAnsi="David"/>
          <w:noProof/>
          <w:sz w:val="20"/>
          <w:szCs w:val="20"/>
          <w:rtl/>
        </w:rPr>
        <w:t xml:space="preserve">לעיל ה"ש 5</w:t>
      </w:r>
      <w:r>
        <w:rPr>
          <w:rFonts w:ascii="David" w:cs="David" w:eastAsia="David" w:hAnsi="David"/>
          <w:noProof/>
          <w:sz w:val="20"/>
          <w:szCs w:val="20"/>
          <w:rtl/>
        </w:rPr>
        <w:t xml:space="preserve">; דניאל פרידמן ונילי כהן </w:t>
      </w:r>
      <w:r>
        <w:rPr>
          <w:rFonts w:ascii="David" w:cs="David" w:eastAsia="David" w:hAnsi="David"/>
          <w:b/>
          <w:bCs/>
          <w:noProof/>
          <w:sz w:val="20"/>
          <w:szCs w:val="20"/>
          <w:rtl/>
        </w:rPr>
        <w:t xml:space="preserve">חוזים</w:t>
      </w:r>
      <w:r>
        <w:rPr>
          <w:rFonts w:ascii="David" w:cs="David" w:eastAsia="David" w:hAnsi="David"/>
          <w:noProof/>
          <w:sz w:val="20"/>
          <w:szCs w:val="20"/>
          <w:rtl/>
        </w:rPr>
        <w:t xml:space="preserve"> כרך א 493–525, 500, 535–541 (מהדורה שנייה 2018) (להלן: פרידמן וכהן).</w:t>
      </w:r>
    </w:p>
  </w:footnote>
  <w:footnote w:id="35">
    <w:p>
      <w:pPr>
        <w:bidi/>
        <w:spacing w:after="60"/>
        <w:jc w:val="both"/>
      </w:pPr>
      <w:r>
        <w:rPr>
          <w:rStyle w:val="FootnoteReference"/>
        </w:rPr>
        <w:footnoteRef/>
      </w:r>
      <w:r>
        <w:rPr>
          <w:rFonts w:ascii="David" w:cs="David" w:eastAsia="David" w:hAnsi="David"/>
          <w:noProof/>
          <w:sz w:val="20"/>
          <w:szCs w:val="20"/>
          <w:rtl/>
        </w:rPr>
        <w:t xml:space="preserve">ע"א 6766/11 </w:t>
      </w:r>
      <w:r>
        <w:rPr>
          <w:rFonts w:ascii="David" w:cs="David" w:eastAsia="David" w:hAnsi="David"/>
          <w:b/>
          <w:bCs/>
          <w:noProof/>
          <w:sz w:val="20"/>
          <w:szCs w:val="20"/>
          <w:rtl/>
        </w:rPr>
        <w:t xml:space="preserve">חג׳אזי נ׳ חג׳אזי</w:t>
      </w:r>
      <w:r>
        <w:rPr>
          <w:rFonts w:ascii="David" w:cs="David" w:eastAsia="David" w:hAnsi="David"/>
          <w:noProof/>
          <w:sz w:val="20"/>
          <w:szCs w:val="20"/>
          <w:rtl/>
        </w:rPr>
        <w:t xml:space="preserve"> (נבו 23.6.2013); פרידמן וכהן, </w:t>
      </w:r>
      <w:r>
        <w:rPr>
          <w:rFonts w:ascii="David" w:cs="David" w:eastAsia="David" w:hAnsi="David"/>
          <w:noProof/>
          <w:sz w:val="20"/>
          <w:szCs w:val="20"/>
          <w:rtl/>
        </w:rPr>
        <w:t xml:space="preserve">לעיל ה"ש 34</w:t>
      </w:r>
      <w:r>
        <w:rPr>
          <w:rFonts w:ascii="David" w:cs="David" w:eastAsia="David" w:hAnsi="David"/>
          <w:noProof/>
          <w:sz w:val="20"/>
          <w:szCs w:val="20"/>
          <w:rtl/>
        </w:rPr>
        <w:t xml:space="preserve">, בעמ׳ 540.</w:t>
      </w:r>
    </w:p>
  </w:footnote>
  <w:footnote w:id="36">
    <w:p>
      <w:pPr>
        <w:bidi/>
        <w:spacing w:after="60"/>
        <w:jc w:val="both"/>
      </w:pPr>
      <w:r>
        <w:rPr>
          <w:rStyle w:val="FootnoteReference"/>
        </w:rPr>
        <w:footnoteRef/>
      </w:r>
      <w:r>
        <w:rPr>
          <w:rFonts w:ascii="David" w:cs="David" w:eastAsia="David" w:hAnsi="David"/>
          <w:noProof/>
          <w:sz w:val="20"/>
          <w:szCs w:val="20"/>
          <w:rtl/>
        </w:rPr>
        <w:t xml:space="preserve">ע"א 2110/09 </w:t>
      </w:r>
      <w:r>
        <w:rPr>
          <w:rFonts w:ascii="David" w:cs="David" w:eastAsia="David" w:hAnsi="David"/>
          <w:b/>
          <w:bCs/>
          <w:noProof/>
          <w:sz w:val="20"/>
          <w:szCs w:val="20"/>
          <w:rtl/>
        </w:rPr>
        <w:t xml:space="preserve">קדור נ׳ דקסה</w:t>
      </w:r>
      <w:r>
        <w:rPr>
          <w:rFonts w:ascii="David" w:cs="David" w:eastAsia="David" w:hAnsi="David"/>
          <w:noProof/>
          <w:sz w:val="20"/>
          <w:szCs w:val="20"/>
          <w:rtl/>
        </w:rPr>
        <w:t xml:space="preserve">, פס׳ 13 (נבו 20.9.2012); פרידמן וכהן, </w:t>
      </w:r>
      <w:r>
        <w:rPr>
          <w:rFonts w:ascii="David" w:cs="David" w:eastAsia="David" w:hAnsi="David"/>
          <w:noProof/>
          <w:sz w:val="20"/>
          <w:szCs w:val="20"/>
          <w:rtl/>
        </w:rPr>
        <w:t xml:space="preserve">לעיל ה"ש 34</w:t>
      </w:r>
      <w:r>
        <w:rPr>
          <w:rFonts w:ascii="David" w:cs="David" w:eastAsia="David" w:hAnsi="David"/>
          <w:noProof/>
          <w:sz w:val="20"/>
          <w:szCs w:val="20"/>
          <w:rtl/>
        </w:rPr>
        <w:t xml:space="preserve">, בעמ׳ 485–488.</w:t>
      </w:r>
    </w:p>
  </w:footnote>
  <w:footnote w:id="37">
    <w:p>
      <w:pPr>
        <w:bidi/>
        <w:spacing w:after="60"/>
        <w:jc w:val="both"/>
      </w:pPr>
      <w:r>
        <w:rPr>
          <w:rStyle w:val="FootnoteReference"/>
        </w:rPr>
        <w:footnoteRef/>
      </w:r>
      <w:r>
        <w:rPr>
          <w:rFonts w:ascii="David" w:cs="David" w:eastAsia="David" w:hAnsi="David"/>
          <w:noProof/>
          <w:sz w:val="20"/>
          <w:szCs w:val="20"/>
          <w:rtl/>
        </w:rPr>
        <w:t xml:space="preserve">ע"א 749/18 </w:t>
      </w:r>
      <w:r>
        <w:rPr>
          <w:rFonts w:ascii="David" w:cs="David" w:eastAsia="David" w:hAnsi="David"/>
          <w:b/>
          <w:bCs/>
          <w:noProof/>
          <w:sz w:val="20"/>
          <w:szCs w:val="20"/>
          <w:rtl/>
        </w:rPr>
        <w:t xml:space="preserve">עיזבון אבו ג׳נימה נ׳ עיזבון אבו ג׳נימה</w:t>
      </w:r>
      <w:r>
        <w:rPr>
          <w:rFonts w:ascii="David" w:cs="David" w:eastAsia="David" w:hAnsi="David"/>
          <w:noProof/>
          <w:sz w:val="20"/>
          <w:szCs w:val="20"/>
          <w:rtl/>
        </w:rPr>
        <w:t xml:space="preserve"> (נבו 26.7.2020) (להלן: עניין </w:t>
      </w:r>
      <w:r>
        <w:rPr>
          <w:rFonts w:ascii="David" w:cs="David" w:eastAsia="David" w:hAnsi="David"/>
          <w:b/>
          <w:bCs/>
          <w:noProof/>
          <w:sz w:val="20"/>
          <w:szCs w:val="20"/>
          <w:rtl/>
        </w:rPr>
        <w:t xml:space="preserve">אבו ג׳נימה</w:t>
      </w:r>
      <w:r>
        <w:rPr>
          <w:rFonts w:ascii="David" w:cs="David" w:eastAsia="David" w:hAnsi="David"/>
          <w:noProof/>
          <w:sz w:val="20"/>
          <w:szCs w:val="20"/>
          <w:rtl/>
        </w:rPr>
        <w:t xml:space="preserve">); וראו גם ע"א 8234/09 </w:t>
      </w:r>
      <w:r>
        <w:rPr>
          <w:rFonts w:ascii="David" w:cs="David" w:eastAsia="David" w:hAnsi="David"/>
          <w:b/>
          <w:bCs/>
          <w:noProof/>
          <w:sz w:val="20"/>
          <w:szCs w:val="20"/>
          <w:rtl/>
        </w:rPr>
        <w:t xml:space="preserve">שם טוב נ׳ פרץ</w:t>
      </w:r>
      <w:r>
        <w:rPr>
          <w:rFonts w:ascii="David" w:cs="David" w:eastAsia="David" w:hAnsi="David"/>
          <w:noProof/>
          <w:sz w:val="20"/>
          <w:szCs w:val="20"/>
          <w:rtl/>
        </w:rPr>
        <w:t xml:space="preserve"> (נבו 21.3.2011).</w:t>
      </w:r>
    </w:p>
  </w:footnote>
  <w:footnote w:id="38">
    <w:p>
      <w:pPr>
        <w:bidi/>
        <w:spacing w:after="60"/>
        <w:jc w:val="both"/>
      </w:pPr>
      <w:r>
        <w:rPr>
          <w:rStyle w:val="FootnoteReference"/>
        </w:rPr>
        <w:footnoteRef/>
      </w:r>
      <w:r>
        <w:rPr>
          <w:rFonts w:ascii="David" w:cs="David" w:eastAsia="David" w:hAnsi="David"/>
          <w:noProof/>
          <w:sz w:val="20"/>
          <w:szCs w:val="20"/>
          <w:rtl/>
        </w:rPr>
        <w:t xml:space="preserve">ס׳ 5 לחוק המתנה, התשכ"ח–1968; מרדכי אלפרדו ראבילו </w:t>
      </w:r>
      <w:r>
        <w:rPr>
          <w:rFonts w:ascii="David" w:cs="David" w:eastAsia="David" w:hAnsi="David"/>
          <w:b/>
          <w:bCs/>
          <w:noProof/>
          <w:sz w:val="20"/>
          <w:szCs w:val="20"/>
          <w:rtl/>
        </w:rPr>
        <w:t xml:space="preserve">חוק המתנה, תשכ"ח–1968</w:t>
      </w:r>
      <w:r>
        <w:rPr>
          <w:rFonts w:ascii="David" w:cs="David" w:eastAsia="David" w:hAnsi="David"/>
          <w:noProof/>
          <w:sz w:val="20"/>
          <w:szCs w:val="20"/>
          <w:rtl/>
        </w:rPr>
        <w:t xml:space="preserve"> 331–346, 344 ואילך (פירוש לחוקי החוזים מיסודו של ג׳ טדסקי, מהדורה שנייה 1996); ולפרשנות המקילה של דרישת הכתב במתנה ראו פרידמן וכהן, </w:t>
      </w:r>
      <w:r>
        <w:rPr>
          <w:rFonts w:ascii="David" w:cs="David" w:eastAsia="David" w:hAnsi="David"/>
          <w:noProof/>
          <w:sz w:val="20"/>
          <w:szCs w:val="20"/>
          <w:rtl/>
        </w:rPr>
        <w:t xml:space="preserve">לעיל ה"ש 34</w:t>
      </w:r>
      <w:r>
        <w:rPr>
          <w:rFonts w:ascii="David" w:cs="David" w:eastAsia="David" w:hAnsi="David"/>
          <w:noProof/>
          <w:sz w:val="20"/>
          <w:szCs w:val="20"/>
          <w:rtl/>
        </w:rPr>
        <w:t xml:space="preserve">, בעמ׳ 534–535.</w:t>
      </w:r>
    </w:p>
  </w:footnote>
  <w:footnote w:id="39">
    <w:p>
      <w:pPr>
        <w:bidi/>
        <w:spacing w:after="60"/>
        <w:jc w:val="both"/>
      </w:pPr>
      <w:r>
        <w:rPr>
          <w:rStyle w:val="FootnoteReference"/>
        </w:rPr>
        <w:footnoteRef/>
      </w:r>
      <w:r>
        <w:rPr>
          <w:rFonts w:ascii="David" w:cs="David" w:eastAsia="David" w:hAnsi="David"/>
          <w:noProof/>
          <w:sz w:val="20"/>
          <w:szCs w:val="20"/>
          <w:rtl/>
        </w:rPr>
        <w:t xml:space="preserve">עמ"ש (מחוזי מר׳) 52601-10-23 </w:t>
      </w:r>
      <w:r>
        <w:rPr>
          <w:rFonts w:ascii="David" w:cs="David" w:eastAsia="David" w:hAnsi="David"/>
          <w:b/>
          <w:bCs/>
          <w:noProof/>
          <w:sz w:val="20"/>
          <w:szCs w:val="20"/>
          <w:rtl/>
        </w:rPr>
        <w:t xml:space="preserve">א.א. נ׳ אר.א</w:t>
      </w:r>
      <w:r>
        <w:rPr>
          <w:rFonts w:ascii="David" w:cs="David" w:eastAsia="David" w:hAnsi="David"/>
          <w:noProof/>
          <w:sz w:val="20"/>
          <w:szCs w:val="20"/>
          <w:rtl/>
        </w:rPr>
        <w:t xml:space="preserve"> (נבו 1.11.2024); ראבילו, </w:t>
      </w:r>
      <w:r>
        <w:rPr>
          <w:rFonts w:ascii="David" w:cs="David" w:eastAsia="David" w:hAnsi="David"/>
          <w:noProof/>
          <w:sz w:val="20"/>
          <w:szCs w:val="20"/>
          <w:rtl/>
        </w:rPr>
        <w:t xml:space="preserve">לעיל ה"ש 38</w:t>
      </w:r>
      <w:r>
        <w:rPr>
          <w:rFonts w:ascii="David" w:cs="David" w:eastAsia="David" w:hAnsi="David"/>
          <w:noProof/>
          <w:sz w:val="20"/>
          <w:szCs w:val="20"/>
          <w:rtl/>
        </w:rPr>
        <w:t xml:space="preserve">, בעמ׳ 345–346.</w:t>
      </w:r>
    </w:p>
  </w:footnote>
  <w:footnote w:id="40">
    <w:p>
      <w:pPr>
        <w:bidi/>
        <w:spacing w:after="60"/>
        <w:jc w:val="both"/>
      </w:pPr>
      <w:r>
        <w:rPr>
          <w:rStyle w:val="FootnoteReference"/>
        </w:rPr>
        <w:footnoteRef/>
      </w:r>
      <w:r>
        <w:rPr>
          <w:rFonts w:ascii="David" w:cs="David" w:eastAsia="David" w:hAnsi="David"/>
          <w:noProof/>
          <w:sz w:val="20"/>
          <w:szCs w:val="20"/>
          <w:rtl/>
        </w:rPr>
        <w:t xml:space="preserve">תמ"ש (משפחה ת"א) 18541-01-22 </w:t>
      </w:r>
      <w:r>
        <w:rPr>
          <w:rFonts w:ascii="David" w:cs="David" w:eastAsia="David" w:hAnsi="David"/>
          <w:b/>
          <w:bCs/>
          <w:noProof/>
          <w:sz w:val="20"/>
          <w:szCs w:val="20"/>
          <w:rtl/>
        </w:rPr>
        <w:t xml:space="preserve">פלונים נ׳ אלמונים</w:t>
      </w:r>
      <w:r>
        <w:rPr>
          <w:rFonts w:ascii="David" w:cs="David" w:eastAsia="David" w:hAnsi="David"/>
          <w:noProof/>
          <w:sz w:val="20"/>
          <w:szCs w:val="20"/>
          <w:rtl/>
        </w:rPr>
        <w:t xml:space="preserve"> (נבו 15.1.2023).</w:t>
      </w:r>
    </w:p>
  </w:footnote>
  <w:footnote w:id="41">
    <w:p>
      <w:pPr>
        <w:bidi/>
        <w:spacing w:after="60"/>
        <w:jc w:val="both"/>
      </w:pPr>
      <w:r>
        <w:rPr>
          <w:rStyle w:val="FootnoteReference"/>
        </w:rPr>
        <w:footnoteRef/>
      </w:r>
      <w:r>
        <w:rPr>
          <w:rFonts w:ascii="David" w:cs="David" w:eastAsia="David" w:hAnsi="David"/>
          <w:noProof/>
          <w:sz w:val="20"/>
          <w:szCs w:val="20"/>
          <w:rtl/>
        </w:rPr>
        <w:t xml:space="preserve">ע"א 6588/12 </w:t>
      </w:r>
      <w:r>
        <w:rPr>
          <w:rFonts w:ascii="David" w:cs="David" w:eastAsia="David" w:hAnsi="David"/>
          <w:b/>
          <w:bCs/>
          <w:noProof/>
          <w:sz w:val="20"/>
          <w:szCs w:val="20"/>
          <w:rtl/>
        </w:rPr>
        <w:t xml:space="preserve">כבהה נ׳ כבהה</w:t>
      </w:r>
      <w:r>
        <w:rPr>
          <w:rFonts w:ascii="David" w:cs="David" w:eastAsia="David" w:hAnsi="David"/>
          <w:noProof/>
          <w:sz w:val="20"/>
          <w:szCs w:val="20"/>
          <w:rtl/>
        </w:rPr>
        <w:t xml:space="preserve"> (נבו 24.12.2014) (להלן: עניין </w:t>
      </w:r>
      <w:r>
        <w:rPr>
          <w:rFonts w:ascii="David" w:cs="David" w:eastAsia="David" w:hAnsi="David"/>
          <w:b/>
          <w:bCs/>
          <w:noProof/>
          <w:sz w:val="20"/>
          <w:szCs w:val="20"/>
          <w:rtl/>
        </w:rPr>
        <w:t xml:space="preserve">כבהה</w:t>
      </w:r>
      <w:r>
        <w:rPr>
          <w:rFonts w:ascii="David" w:cs="David" w:eastAsia="David" w:hAnsi="David"/>
          <w:noProof/>
          <w:sz w:val="20"/>
          <w:szCs w:val="20"/>
          <w:rtl/>
        </w:rPr>
        <w:t xml:space="preserve">). לעיקרון האנגלי ראו להלן פרק ו.1.4. ויוער כי שורשי הפרקטיקה בדין הקודם: בתקופת המג׳לה השלימה מסירת החזקה את המתנה גם ללא רישום, וזיכרון מוסדי זה מוסיף להזין את הפרקטיקה עד היום; ראבילו, </w:t>
      </w:r>
      <w:r>
        <w:rPr>
          <w:rFonts w:ascii="David" w:cs="David" w:eastAsia="David" w:hAnsi="David"/>
          <w:noProof/>
          <w:sz w:val="20"/>
          <w:szCs w:val="20"/>
          <w:rtl/>
        </w:rPr>
        <w:t xml:space="preserve">לעיל ה"ש 38</w:t>
      </w:r>
      <w:r>
        <w:rPr>
          <w:rFonts w:ascii="David" w:cs="David" w:eastAsia="David" w:hAnsi="David"/>
          <w:noProof/>
          <w:sz w:val="20"/>
          <w:szCs w:val="20"/>
          <w:rtl/>
        </w:rPr>
        <w:t xml:space="preserve">, בעמ׳ 333–337.</w:t>
      </w:r>
    </w:p>
  </w:footnote>
  <w:footnote w:id="42">
    <w:p>
      <w:pPr>
        <w:bidi/>
        <w:spacing w:after="60"/>
        <w:jc w:val="both"/>
      </w:pPr>
      <w:r>
        <w:rPr>
          <w:rStyle w:val="FootnoteReference"/>
        </w:rPr>
        <w:footnoteRef/>
      </w:r>
      <w:r>
        <w:rPr>
          <w:rFonts w:ascii="David" w:cs="David" w:eastAsia="David" w:hAnsi="David"/>
          <w:noProof/>
          <w:sz w:val="20"/>
          <w:szCs w:val="20"/>
          <w:rtl/>
        </w:rPr>
        <w:t xml:space="preserve">נינה זלצמן "רישיון במקרקעין" </w:t>
      </w:r>
      <w:r>
        <w:rPr>
          <w:rFonts w:ascii="David" w:cs="David" w:eastAsia="David" w:hAnsi="David"/>
          <w:b/>
          <w:bCs/>
          <w:noProof/>
          <w:sz w:val="20"/>
          <w:szCs w:val="20"/>
          <w:rtl/>
        </w:rPr>
        <w:t xml:space="preserve">הפרקליט</w:t>
      </w:r>
      <w:r>
        <w:rPr>
          <w:rFonts w:ascii="David" w:cs="David" w:eastAsia="David" w:hAnsi="David"/>
          <w:noProof/>
          <w:sz w:val="20"/>
          <w:szCs w:val="20"/>
          <w:rtl/>
        </w:rPr>
        <w:t xml:space="preserve"> מב 24 (התשנ"ה).</w:t>
      </w:r>
    </w:p>
  </w:footnote>
  <w:footnote w:id="43">
    <w:p>
      <w:pPr>
        <w:bidi/>
        <w:spacing w:after="60"/>
        <w:jc w:val="both"/>
      </w:pPr>
      <w:r>
        <w:rPr>
          <w:rStyle w:val="FootnoteReference"/>
        </w:rPr>
        <w:footnoteRef/>
      </w:r>
      <w:r>
        <w:rPr>
          <w:rFonts w:ascii="David" w:cs="David" w:eastAsia="David" w:hAnsi="David"/>
          <w:noProof/>
          <w:sz w:val="20"/>
          <w:szCs w:val="20"/>
          <w:rtl/>
        </w:rPr>
        <w:t xml:space="preserve">ע"א 32/77 </w:t>
      </w:r>
      <w:r>
        <w:rPr>
          <w:rFonts w:ascii="David" w:cs="David" w:eastAsia="David" w:hAnsi="David"/>
          <w:b/>
          <w:bCs/>
          <w:noProof/>
          <w:sz w:val="20"/>
          <w:szCs w:val="20"/>
          <w:rtl/>
        </w:rPr>
        <w:t xml:space="preserve">טבוליצקי נ׳ בית-כנסת ובית-מדרש החסידים</w:t>
      </w:r>
      <w:r>
        <w:rPr>
          <w:rFonts w:ascii="David" w:cs="David" w:eastAsia="David" w:hAnsi="David"/>
          <w:noProof/>
          <w:sz w:val="20"/>
          <w:szCs w:val="20"/>
          <w:rtl/>
        </w:rPr>
        <w:t xml:space="preserve">, פ"ד לא(3) 210 (1977); ע"א 463/79 </w:t>
      </w:r>
      <w:r>
        <w:rPr>
          <w:rFonts w:ascii="David" w:cs="David" w:eastAsia="David" w:hAnsi="David"/>
          <w:b/>
          <w:bCs/>
          <w:noProof/>
          <w:sz w:val="20"/>
          <w:szCs w:val="20"/>
          <w:rtl/>
        </w:rPr>
        <w:t xml:space="preserve">ג׳בראן נ׳ ג׳בראן</w:t>
      </w:r>
      <w:r>
        <w:rPr>
          <w:rFonts w:ascii="David" w:cs="David" w:eastAsia="David" w:hAnsi="David"/>
          <w:noProof/>
          <w:sz w:val="20"/>
          <w:szCs w:val="20"/>
          <w:rtl/>
        </w:rPr>
        <w:t xml:space="preserve">, פ"ד לו(4) 403 (1982); ע"א 496/82 </w:t>
      </w:r>
      <w:r>
        <w:rPr>
          <w:rFonts w:ascii="David" w:cs="David" w:eastAsia="David" w:hAnsi="David"/>
          <w:b/>
          <w:bCs/>
          <w:noProof/>
          <w:sz w:val="20"/>
          <w:szCs w:val="20"/>
          <w:rtl/>
        </w:rPr>
        <w:t xml:space="preserve">רוזן נ׳ סלונים</w:t>
      </w:r>
      <w:r>
        <w:rPr>
          <w:rFonts w:ascii="David" w:cs="David" w:eastAsia="David" w:hAnsi="David"/>
          <w:noProof/>
          <w:sz w:val="20"/>
          <w:szCs w:val="20"/>
          <w:rtl/>
        </w:rPr>
        <w:t xml:space="preserve">, פ"ד לט(2) 337 (1985); ולרשות מגורים משפחתית בלתי הדירה ראו ע"א 515/76 </w:t>
      </w:r>
      <w:r>
        <w:rPr>
          <w:rFonts w:ascii="David" w:cs="David" w:eastAsia="David" w:hAnsi="David"/>
          <w:b/>
          <w:bCs/>
          <w:noProof/>
          <w:sz w:val="20"/>
          <w:szCs w:val="20"/>
          <w:rtl/>
        </w:rPr>
        <w:t xml:space="preserve">לוי נ׳ ויימן</w:t>
      </w:r>
      <w:r>
        <w:rPr>
          <w:rFonts w:ascii="David" w:cs="David" w:eastAsia="David" w:hAnsi="David"/>
          <w:noProof/>
          <w:sz w:val="20"/>
          <w:szCs w:val="20"/>
          <w:rtl/>
        </w:rPr>
        <w:t xml:space="preserve">, פ"ד לא(2) 127 (1977); שקד, </w:t>
      </w:r>
      <w:r>
        <w:rPr>
          <w:rFonts w:ascii="David" w:cs="David" w:eastAsia="David" w:hAnsi="David"/>
          <w:noProof/>
          <w:sz w:val="20"/>
          <w:szCs w:val="20"/>
          <w:rtl/>
        </w:rPr>
        <w:t xml:space="preserve">לעיל ה"ש 23</w:t>
      </w:r>
      <w:r>
        <w:rPr>
          <w:rFonts w:ascii="David" w:cs="David" w:eastAsia="David" w:hAnsi="David"/>
          <w:noProof/>
          <w:sz w:val="20"/>
          <w:szCs w:val="20"/>
          <w:rtl/>
        </w:rPr>
        <w:t xml:space="preserve">, בעמ׳ 405–408, 415–419.</w:t>
      </w:r>
    </w:p>
  </w:footnote>
  <w:footnote w:id="44">
    <w:p>
      <w:pPr>
        <w:bidi/>
        <w:spacing w:after="60"/>
        <w:jc w:val="both"/>
      </w:pPr>
      <w:r>
        <w:rPr>
          <w:rStyle w:val="FootnoteReference"/>
        </w:rPr>
        <w:footnoteRef/>
      </w:r>
      <w:r>
        <w:rPr>
          <w:rFonts w:ascii="David" w:cs="David" w:eastAsia="David" w:hAnsi="David"/>
          <w:noProof/>
          <w:sz w:val="20"/>
          <w:szCs w:val="20"/>
          <w:rtl/>
        </w:rPr>
        <w:t xml:space="preserve">ע"א 483/16 </w:t>
      </w:r>
      <w:r>
        <w:rPr>
          <w:rFonts w:ascii="David" w:cs="David" w:eastAsia="David" w:hAnsi="David"/>
          <w:b/>
          <w:bCs/>
          <w:noProof/>
          <w:sz w:val="20"/>
          <w:szCs w:val="20"/>
          <w:rtl/>
        </w:rPr>
        <w:t xml:space="preserve">יהודאי נ׳ חלמיש – חברה ממשלתית-עירונית לדיור, לשיקום ולהתחדשות שכונות בתל-אביב בע"מ</w:t>
      </w:r>
      <w:r>
        <w:rPr>
          <w:rFonts w:ascii="David" w:cs="David" w:eastAsia="David" w:hAnsi="David"/>
          <w:noProof/>
          <w:sz w:val="20"/>
          <w:szCs w:val="20"/>
          <w:rtl/>
        </w:rPr>
        <w:t xml:space="preserve"> (נבו 3.10.2017); שקד, </w:t>
      </w:r>
      <w:r>
        <w:rPr>
          <w:rFonts w:ascii="David" w:cs="David" w:eastAsia="David" w:hAnsi="David"/>
          <w:noProof/>
          <w:sz w:val="20"/>
          <w:szCs w:val="20"/>
          <w:rtl/>
        </w:rPr>
        <w:t xml:space="preserve">לעיל ה"ש 23</w:t>
      </w:r>
      <w:r>
        <w:rPr>
          <w:rFonts w:ascii="David" w:cs="David" w:eastAsia="David" w:hAnsi="David"/>
          <w:noProof/>
          <w:sz w:val="20"/>
          <w:szCs w:val="20"/>
          <w:rtl/>
        </w:rPr>
        <w:t xml:space="preserve">, בעמ׳ 426–427.</w:t>
      </w:r>
    </w:p>
  </w:footnote>
  <w:footnote w:id="45">
    <w:p>
      <w:pPr>
        <w:bidi/>
        <w:spacing w:after="60"/>
        <w:jc w:val="both"/>
      </w:pPr>
      <w:r>
        <w:rPr>
          <w:rStyle w:val="FootnoteReference"/>
        </w:rPr>
        <w:footnoteRef/>
      </w:r>
      <w:r>
        <w:rPr>
          <w:rFonts w:ascii="David" w:cs="David" w:eastAsia="David" w:hAnsi="David"/>
          <w:noProof/>
          <w:sz w:val="20"/>
          <w:szCs w:val="20"/>
          <w:rtl/>
        </w:rPr>
        <w:t xml:space="preserve">ע"א 7139/99 </w:t>
      </w:r>
      <w:r>
        <w:rPr>
          <w:rFonts w:ascii="David" w:cs="David" w:eastAsia="David" w:hAnsi="David"/>
          <w:b/>
          <w:bCs/>
          <w:noProof/>
          <w:sz w:val="20"/>
          <w:szCs w:val="20"/>
          <w:rtl/>
        </w:rPr>
        <w:t xml:space="preserve">אלוני נ׳ ארד</w:t>
      </w:r>
      <w:r>
        <w:rPr>
          <w:rFonts w:ascii="David" w:cs="David" w:eastAsia="David" w:hAnsi="David"/>
          <w:noProof/>
          <w:sz w:val="20"/>
          <w:szCs w:val="20"/>
          <w:rtl/>
        </w:rPr>
        <w:t xml:space="preserve">, פ"ד נח(4) 27 (2004); רע"א 1156/02 </w:t>
      </w:r>
      <w:r>
        <w:rPr>
          <w:rFonts w:ascii="David" w:cs="David" w:eastAsia="David" w:hAnsi="David"/>
          <w:b/>
          <w:bCs/>
          <w:noProof/>
          <w:sz w:val="20"/>
          <w:szCs w:val="20"/>
          <w:rtl/>
        </w:rPr>
        <w:t xml:space="preserve">חיר נ׳ לידאי</w:t>
      </w:r>
      <w:r>
        <w:rPr>
          <w:rFonts w:ascii="David" w:cs="David" w:eastAsia="David" w:hAnsi="David"/>
          <w:noProof/>
          <w:sz w:val="20"/>
          <w:szCs w:val="20"/>
          <w:rtl/>
        </w:rPr>
        <w:t xml:space="preserve">, פ"ד נז(3) 949 (2003); שקד, </w:t>
      </w:r>
      <w:r>
        <w:rPr>
          <w:rFonts w:ascii="David" w:cs="David" w:eastAsia="David" w:hAnsi="David"/>
          <w:noProof/>
          <w:sz w:val="20"/>
          <w:szCs w:val="20"/>
          <w:rtl/>
        </w:rPr>
        <w:t xml:space="preserve">לעיל ה"ש 23</w:t>
      </w:r>
      <w:r>
        <w:rPr>
          <w:rFonts w:ascii="David" w:cs="David" w:eastAsia="David" w:hAnsi="David"/>
          <w:noProof/>
          <w:sz w:val="20"/>
          <w:szCs w:val="20"/>
          <w:rtl/>
        </w:rPr>
        <w:t xml:space="preserve">, בעמ׳ 425, 430–433. לדוקטרינה האנגלית שממנה נשאב המונח ראו להלן פרק ו.1.3.</w:t>
      </w:r>
    </w:p>
  </w:footnote>
  <w:footnote w:id="46">
    <w:p>
      <w:pPr>
        <w:bidi/>
        <w:spacing w:after="60"/>
        <w:jc w:val="both"/>
      </w:pPr>
      <w:r>
        <w:rPr>
          <w:rStyle w:val="FootnoteReference"/>
        </w:rPr>
        <w:footnoteRef/>
      </w:r>
      <w:r>
        <w:rPr>
          <w:rFonts w:ascii="David" w:cs="David" w:eastAsia="David" w:hAnsi="David"/>
          <w:noProof/>
          <w:sz w:val="20"/>
          <w:szCs w:val="20"/>
          <w:rtl/>
        </w:rPr>
        <w:t xml:space="preserve">ס׳ 5(2) ו-20 לחוק ההתיישנות, התשי"ח–1958; ס׳ 159(ב) לחוק המקרקעין; טל חבקין </w:t>
      </w:r>
      <w:r>
        <w:rPr>
          <w:rFonts w:ascii="David" w:cs="David" w:eastAsia="David" w:hAnsi="David"/>
          <w:b/>
          <w:bCs/>
          <w:noProof/>
          <w:sz w:val="20"/>
          <w:szCs w:val="20"/>
          <w:rtl/>
        </w:rPr>
        <w:t xml:space="preserve">התיישנות</w:t>
      </w:r>
      <w:r>
        <w:rPr>
          <w:rFonts w:ascii="David" w:cs="David" w:eastAsia="David" w:hAnsi="David"/>
          <w:noProof/>
          <w:sz w:val="20"/>
          <w:szCs w:val="20"/>
          <w:rtl/>
        </w:rPr>
        <w:t xml:space="preserve"> (מהדורה שנייה 2021); שקד, </w:t>
      </w:r>
      <w:r>
        <w:rPr>
          <w:rFonts w:ascii="David" w:cs="David" w:eastAsia="David" w:hAnsi="David"/>
          <w:noProof/>
          <w:sz w:val="20"/>
          <w:szCs w:val="20"/>
          <w:rtl/>
        </w:rPr>
        <w:t xml:space="preserve">לעיל ה"ש 23</w:t>
      </w:r>
      <w:r>
        <w:rPr>
          <w:rFonts w:ascii="David" w:cs="David" w:eastAsia="David" w:hAnsi="David"/>
          <w:noProof/>
          <w:sz w:val="20"/>
          <w:szCs w:val="20"/>
          <w:rtl/>
        </w:rPr>
        <w:t xml:space="preserve">, פרק שנים-עשר; והשוו זלצמן, </w:t>
      </w:r>
      <w:r>
        <w:rPr>
          <w:rFonts w:ascii="David" w:cs="David" w:eastAsia="David" w:hAnsi="David"/>
          <w:noProof/>
          <w:sz w:val="20"/>
          <w:szCs w:val="20"/>
          <w:rtl/>
        </w:rPr>
        <w:t xml:space="preserve">לעיל ה"ש 42</w:t>
      </w:r>
      <w:r>
        <w:rPr>
          <w:rFonts w:ascii="David" w:cs="David" w:eastAsia="David" w:hAnsi="David"/>
          <w:noProof/>
          <w:sz w:val="20"/>
          <w:szCs w:val="20"/>
          <w:rtl/>
        </w:rPr>
        <w:t xml:space="preserve">, ליחס בין רישיון לחזקה.</w:t>
      </w:r>
    </w:p>
  </w:footnote>
  <w:footnote w:id="47">
    <w:p>
      <w:pPr>
        <w:bidi/>
        <w:spacing w:after="60"/>
        <w:jc w:val="both"/>
      </w:pPr>
      <w:r>
        <w:rPr>
          <w:rStyle w:val="FootnoteReference"/>
        </w:rPr>
        <w:footnoteRef/>
      </w:r>
      <w:r>
        <w:rPr>
          <w:rFonts w:ascii="David" w:cs="David" w:eastAsia="David" w:hAnsi="David"/>
          <w:noProof/>
          <w:sz w:val="20"/>
          <w:szCs w:val="20"/>
          <w:rtl/>
        </w:rPr>
        <w:t xml:space="preserve">ע"א 2693/19 </w:t>
      </w:r>
      <w:r>
        <w:rPr>
          <w:rFonts w:ascii="David" w:cs="David" w:eastAsia="David" w:hAnsi="David"/>
          <w:b/>
          <w:bCs/>
          <w:noProof/>
          <w:sz w:val="20"/>
          <w:szCs w:val="20"/>
          <w:rtl/>
        </w:rPr>
        <w:t xml:space="preserve">משעל נ׳ כמאל</w:t>
      </w:r>
      <w:r>
        <w:rPr>
          <w:rFonts w:ascii="David" w:cs="David" w:eastAsia="David" w:hAnsi="David"/>
          <w:noProof/>
          <w:sz w:val="20"/>
          <w:szCs w:val="20"/>
          <w:rtl/>
        </w:rPr>
        <w:t xml:space="preserve"> (נבו 22.9.2020) (להלן: עניין </w:t>
      </w:r>
      <w:r>
        <w:rPr>
          <w:rFonts w:ascii="David" w:cs="David" w:eastAsia="David" w:hAnsi="David"/>
          <w:b/>
          <w:bCs/>
          <w:noProof/>
          <w:sz w:val="20"/>
          <w:szCs w:val="20"/>
          <w:rtl/>
        </w:rPr>
        <w:t xml:space="preserve">משעל</w:t>
      </w:r>
      <w:r>
        <w:rPr>
          <w:rFonts w:ascii="David" w:cs="David" w:eastAsia="David" w:hAnsi="David"/>
          <w:noProof/>
          <w:sz w:val="20"/>
          <w:szCs w:val="20"/>
          <w:rtl/>
        </w:rPr>
        <w:t xml:space="preserve">); בע"מ 7496/19 </w:t>
      </w:r>
      <w:r>
        <w:rPr>
          <w:rFonts w:ascii="David" w:cs="David" w:eastAsia="David" w:hAnsi="David"/>
          <w:b/>
          <w:bCs/>
          <w:noProof/>
          <w:sz w:val="20"/>
          <w:szCs w:val="20"/>
          <w:rtl/>
        </w:rPr>
        <w:t xml:space="preserve">פלוני נ׳ פלוני</w:t>
      </w:r>
      <w:r>
        <w:rPr>
          <w:rFonts w:ascii="David" w:cs="David" w:eastAsia="David" w:hAnsi="David"/>
          <w:noProof/>
          <w:sz w:val="20"/>
          <w:szCs w:val="20"/>
          <w:rtl/>
        </w:rPr>
        <w:t xml:space="preserve"> (נבו 30.12.2019); עניין </w:t>
      </w:r>
      <w:r>
        <w:rPr>
          <w:rFonts w:ascii="David" w:cs="David" w:eastAsia="David" w:hAnsi="David"/>
          <w:b/>
          <w:bCs/>
          <w:noProof/>
          <w:sz w:val="20"/>
          <w:szCs w:val="20"/>
          <w:rtl/>
        </w:rPr>
        <w:t xml:space="preserve">אבו ג׳נימה</w:t>
      </w:r>
      <w:r>
        <w:rPr>
          <w:rFonts w:ascii="David" w:cs="David" w:eastAsia="David" w:hAnsi="David"/>
          <w:noProof/>
          <w:sz w:val="20"/>
          <w:szCs w:val="20"/>
          <w:rtl/>
        </w:rPr>
        <w:t xml:space="preserve">, </w:t>
      </w:r>
      <w:r>
        <w:rPr>
          <w:rFonts w:ascii="David" w:cs="David" w:eastAsia="David" w:hAnsi="David"/>
          <w:noProof/>
          <w:sz w:val="20"/>
          <w:szCs w:val="20"/>
          <w:rtl/>
        </w:rPr>
        <w:t xml:space="preserve">לעיל ה"ש 37</w:t>
      </w:r>
      <w:r>
        <w:rPr>
          <w:rFonts w:ascii="David" w:cs="David" w:eastAsia="David" w:hAnsi="David"/>
          <w:noProof/>
          <w:sz w:val="20"/>
          <w:szCs w:val="20"/>
          <w:rtl/>
        </w:rPr>
        <w:t xml:space="preserve">.</w:t>
      </w:r>
    </w:p>
  </w:footnote>
  <w:footnote w:id="48">
    <w:p>
      <w:pPr>
        <w:bidi/>
        <w:spacing w:after="60"/>
        <w:jc w:val="both"/>
      </w:pPr>
      <w:r>
        <w:rPr>
          <w:rStyle w:val="FootnoteReference"/>
        </w:rPr>
        <w:footnoteRef/>
      </w:r>
      <w:r>
        <w:rPr>
          <w:rFonts w:ascii="David" w:cs="David" w:eastAsia="David" w:hAnsi="David"/>
          <w:noProof/>
          <w:sz w:val="20"/>
          <w:szCs w:val="20"/>
          <w:rtl/>
        </w:rPr>
        <w:t xml:space="preserve">עניין </w:t>
      </w:r>
      <w:r>
        <w:rPr>
          <w:rFonts w:ascii="David" w:cs="David" w:eastAsia="David" w:hAnsi="David"/>
          <w:b/>
          <w:bCs/>
          <w:noProof/>
          <w:sz w:val="20"/>
          <w:szCs w:val="20"/>
          <w:rtl/>
        </w:rPr>
        <w:t xml:space="preserve">משעל</w:t>
      </w:r>
      <w:r>
        <w:rPr>
          <w:rFonts w:ascii="David" w:cs="David" w:eastAsia="David" w:hAnsi="David"/>
          <w:noProof/>
          <w:sz w:val="20"/>
          <w:szCs w:val="20"/>
          <w:rtl/>
        </w:rPr>
        <w:t xml:space="preserve">, </w:t>
      </w:r>
      <w:r>
        <w:rPr>
          <w:rFonts w:ascii="David" w:cs="David" w:eastAsia="David" w:hAnsi="David"/>
          <w:noProof/>
          <w:sz w:val="20"/>
          <w:szCs w:val="20"/>
          <w:rtl/>
        </w:rPr>
        <w:t xml:space="preserve">לעיל ה"ש 47</w:t>
      </w:r>
      <w:r>
        <w:rPr>
          <w:rFonts w:ascii="David" w:cs="David" w:eastAsia="David" w:hAnsi="David"/>
          <w:noProof/>
          <w:sz w:val="20"/>
          <w:szCs w:val="20"/>
          <w:rtl/>
        </w:rPr>
        <w:t xml:space="preserve">, בעמ׳ 3–4 לפסק הדין.</w:t>
      </w:r>
    </w:p>
  </w:footnote>
  <w:footnote w:id="49">
    <w:p>
      <w:pPr>
        <w:bidi/>
        <w:spacing w:after="60"/>
        <w:jc w:val="both"/>
      </w:pPr>
      <w:r>
        <w:rPr>
          <w:rStyle w:val="FootnoteReference"/>
        </w:rPr>
        <w:footnoteRef/>
      </w:r>
      <w:r>
        <w:rPr>
          <w:rFonts w:ascii="David" w:cs="David" w:eastAsia="David" w:hAnsi="David"/>
          <w:noProof/>
          <w:sz w:val="20"/>
          <w:szCs w:val="20"/>
          <w:rtl/>
        </w:rPr>
        <w:t xml:space="preserve">תלה"מ (משפחה נצ׳) 60777-07-20 </w:t>
      </w:r>
      <w:r>
        <w:rPr>
          <w:rFonts w:ascii="David" w:cs="David" w:eastAsia="David" w:hAnsi="David"/>
          <w:b/>
          <w:bCs/>
          <w:noProof/>
          <w:sz w:val="20"/>
          <w:szCs w:val="20"/>
          <w:rtl/>
        </w:rPr>
        <w:t xml:space="preserve">ג.ס נ׳ מ.ד</w:t>
      </w:r>
      <w:r>
        <w:rPr>
          <w:rFonts w:ascii="David" w:cs="David" w:eastAsia="David" w:hAnsi="David"/>
          <w:noProof/>
          <w:sz w:val="20"/>
          <w:szCs w:val="20"/>
          <w:rtl/>
        </w:rPr>
        <w:t xml:space="preserve"> (נבו 14.4.2021); תמ"ש (משפחה נצ׳) 27669-01-17 </w:t>
      </w:r>
      <w:r>
        <w:rPr>
          <w:rFonts w:ascii="David" w:cs="David" w:eastAsia="David" w:hAnsi="David"/>
          <w:b/>
          <w:bCs/>
          <w:noProof/>
          <w:sz w:val="20"/>
          <w:szCs w:val="20"/>
          <w:rtl/>
        </w:rPr>
        <w:t xml:space="preserve">ו.ע נ׳ כ.ע</w:t>
      </w:r>
      <w:r>
        <w:rPr>
          <w:rFonts w:ascii="David" w:cs="David" w:eastAsia="David" w:hAnsi="David"/>
          <w:noProof/>
          <w:sz w:val="20"/>
          <w:szCs w:val="20"/>
          <w:rtl/>
        </w:rPr>
        <w:t xml:space="preserve"> (נבו 22.4.2018); וראו גם תמ"ש (משפחה נצ׳) 4821-07 </w:t>
      </w:r>
      <w:r>
        <w:rPr>
          <w:rFonts w:ascii="David" w:cs="David" w:eastAsia="David" w:hAnsi="David"/>
          <w:b/>
          <w:bCs/>
          <w:noProof/>
          <w:sz w:val="20"/>
          <w:szCs w:val="20"/>
          <w:rtl/>
        </w:rPr>
        <w:t xml:space="preserve">ס.ע.ז נ׳ ע.ע.ז</w:t>
      </w:r>
      <w:r>
        <w:rPr>
          <w:rFonts w:ascii="David" w:cs="David" w:eastAsia="David" w:hAnsi="David"/>
          <w:noProof/>
          <w:sz w:val="20"/>
          <w:szCs w:val="20"/>
          <w:rtl/>
        </w:rPr>
        <w:t xml:space="preserve"> (נבו 2012); תמ"ש (משפחה נצ׳) 59099-02-24 </w:t>
      </w:r>
      <w:r>
        <w:rPr>
          <w:rFonts w:ascii="David" w:cs="David" w:eastAsia="David" w:hAnsi="David"/>
          <w:b/>
          <w:bCs/>
          <w:noProof/>
          <w:sz w:val="20"/>
          <w:szCs w:val="20"/>
          <w:rtl/>
        </w:rPr>
        <w:t xml:space="preserve">א.ז נ׳ מ.ז</w:t>
      </w:r>
      <w:r>
        <w:rPr>
          <w:rFonts w:ascii="David" w:cs="David" w:eastAsia="David" w:hAnsi="David"/>
          <w:noProof/>
          <w:sz w:val="20"/>
          <w:szCs w:val="20"/>
          <w:rtl/>
        </w:rPr>
        <w:t xml:space="preserve"> (נבו 10.3.2026); ת"א (מחוזי חי׳) 41898-04-18 </w:t>
      </w:r>
      <w:r>
        <w:rPr>
          <w:rFonts w:ascii="David" w:cs="David" w:eastAsia="David" w:hAnsi="David"/>
          <w:b/>
          <w:bCs/>
          <w:noProof/>
          <w:sz w:val="20"/>
          <w:szCs w:val="20"/>
          <w:rtl/>
        </w:rPr>
        <w:t xml:space="preserve">שחוק נ׳ עיזבון המנוח שחוק ז"ל</w:t>
      </w:r>
      <w:r>
        <w:rPr>
          <w:rFonts w:ascii="David" w:cs="David" w:eastAsia="David" w:hAnsi="David"/>
          <w:noProof/>
          <w:sz w:val="20"/>
          <w:szCs w:val="20"/>
          <w:rtl/>
        </w:rPr>
        <w:t xml:space="preserve"> (נבו 21.2.2021); עניין </w:t>
      </w:r>
      <w:r>
        <w:rPr>
          <w:rFonts w:ascii="David" w:cs="David" w:eastAsia="David" w:hAnsi="David"/>
          <w:b/>
          <w:bCs/>
          <w:noProof/>
          <w:sz w:val="20"/>
          <w:szCs w:val="20"/>
          <w:rtl/>
        </w:rPr>
        <w:t xml:space="preserve">אבו ליל</w:t>
      </w:r>
      <w:r>
        <w:rPr>
          <w:rFonts w:ascii="David" w:cs="David" w:eastAsia="David" w:hAnsi="David"/>
          <w:noProof/>
          <w:sz w:val="20"/>
          <w:szCs w:val="20"/>
          <w:rtl/>
        </w:rPr>
        <w:t xml:space="preserve">, </w:t>
      </w:r>
      <w:r>
        <w:rPr>
          <w:rFonts w:ascii="David" w:cs="David" w:eastAsia="David" w:hAnsi="David"/>
          <w:noProof/>
          <w:sz w:val="20"/>
          <w:szCs w:val="20"/>
          <w:rtl/>
        </w:rPr>
        <w:t xml:space="preserve">לעיל ה"ש 29</w:t>
      </w:r>
      <w:r>
        <w:rPr>
          <w:rFonts w:ascii="David" w:cs="David" w:eastAsia="David" w:hAnsi="David"/>
          <w:noProof/>
          <w:sz w:val="20"/>
          <w:szCs w:val="20"/>
          <w:rtl/>
        </w:rPr>
        <w:t xml:space="preserve">.</w:t>
      </w:r>
    </w:p>
  </w:footnote>
  <w:footnote w:id="50">
    <w:p>
      <w:pPr>
        <w:bidi/>
        <w:spacing w:after="60"/>
        <w:jc w:val="both"/>
      </w:pPr>
      <w:r>
        <w:rPr>
          <w:rStyle w:val="FootnoteReference"/>
        </w:rPr>
        <w:footnoteRef/>
      </w:r>
      <w:r>
        <w:rPr>
          <w:rFonts w:ascii="David" w:cs="David" w:eastAsia="David" w:hAnsi="David"/>
          <w:noProof/>
          <w:sz w:val="20"/>
          <w:szCs w:val="20"/>
          <w:rtl/>
        </w:rPr>
        <w:t xml:space="preserve">תלה"מ (משפחה נצ׳) 39735-12-19 </w:t>
      </w:r>
      <w:r>
        <w:rPr>
          <w:rFonts w:ascii="David" w:cs="David" w:eastAsia="David" w:hAnsi="David"/>
          <w:b/>
          <w:bCs/>
          <w:noProof/>
          <w:sz w:val="20"/>
          <w:szCs w:val="20"/>
          <w:rtl/>
        </w:rPr>
        <w:t xml:space="preserve">פלונית נ׳ פלוני</w:t>
      </w:r>
      <w:r>
        <w:rPr>
          <w:rFonts w:ascii="David" w:cs="David" w:eastAsia="David" w:hAnsi="David"/>
          <w:noProof/>
          <w:sz w:val="20"/>
          <w:szCs w:val="20"/>
          <w:rtl/>
        </w:rPr>
        <w:t xml:space="preserve"> (נבו 14.10.2022); תמ"ש (משפחה חד׳) 44358-11-19 </w:t>
      </w:r>
      <w:r>
        <w:rPr>
          <w:rFonts w:ascii="David" w:cs="David" w:eastAsia="David" w:hAnsi="David"/>
          <w:b/>
          <w:bCs/>
          <w:noProof/>
          <w:sz w:val="20"/>
          <w:szCs w:val="20"/>
          <w:rtl/>
        </w:rPr>
        <w:t xml:space="preserve">אלמונית נ׳ פלונית</w:t>
      </w:r>
      <w:r>
        <w:rPr>
          <w:rFonts w:ascii="David" w:cs="David" w:eastAsia="David" w:hAnsi="David"/>
          <w:noProof/>
          <w:sz w:val="20"/>
          <w:szCs w:val="20"/>
          <w:rtl/>
        </w:rPr>
        <w:t xml:space="preserve"> (נבו 7.5.2023).</w:t>
      </w:r>
    </w:p>
  </w:footnote>
  <w:footnote w:id="51">
    <w:p>
      <w:pPr>
        <w:bidi/>
        <w:spacing w:after="60"/>
        <w:jc w:val="both"/>
      </w:pPr>
      <w:r>
        <w:rPr>
          <w:rStyle w:val="FootnoteReference"/>
        </w:rPr>
        <w:footnoteRef/>
      </w:r>
      <w:r>
        <w:rPr>
          <w:rFonts w:ascii="David" w:cs="David" w:eastAsia="David" w:hAnsi="David"/>
          <w:noProof/>
          <w:sz w:val="20"/>
          <w:szCs w:val="20"/>
          <w:rtl/>
        </w:rPr>
        <w:t xml:space="preserve">ע"א 514/76 </w:t>
      </w:r>
      <w:r>
        <w:rPr>
          <w:rFonts w:ascii="David" w:cs="David" w:eastAsia="David" w:hAnsi="David"/>
          <w:b/>
          <w:bCs/>
          <w:noProof/>
          <w:sz w:val="20"/>
          <w:szCs w:val="20"/>
          <w:rtl/>
        </w:rPr>
        <w:t xml:space="preserve">חשש נ׳ דמארי</w:t>
      </w:r>
      <w:r>
        <w:rPr>
          <w:rFonts w:ascii="David" w:cs="David" w:eastAsia="David" w:hAnsi="David"/>
          <w:noProof/>
          <w:sz w:val="20"/>
          <w:szCs w:val="20"/>
          <w:rtl/>
        </w:rPr>
        <w:t xml:space="preserve">, פ"ד לא(2) 505 (1977), קביעה החשובה ליישובים שבהם ההחזקה נסמכת על הסכמי פיתוח והרשאות של רשות מקרקעי ישראל; פרידמן וכהן, </w:t>
      </w:r>
      <w:r>
        <w:rPr>
          <w:rFonts w:ascii="David" w:cs="David" w:eastAsia="David" w:hAnsi="David"/>
          <w:noProof/>
          <w:sz w:val="20"/>
          <w:szCs w:val="20"/>
          <w:rtl/>
        </w:rPr>
        <w:t xml:space="preserve">לעיל ה"ש 34</w:t>
      </w:r>
      <w:r>
        <w:rPr>
          <w:rFonts w:ascii="David" w:cs="David" w:eastAsia="David" w:hAnsi="David"/>
          <w:noProof/>
          <w:sz w:val="20"/>
          <w:szCs w:val="20"/>
          <w:rtl/>
        </w:rPr>
        <w:t xml:space="preserve">, בעמ׳ 499–500; ויסמן </w:t>
      </w:r>
      <w:r>
        <w:rPr>
          <w:rFonts w:ascii="David" w:cs="David" w:eastAsia="David" w:hAnsi="David"/>
          <w:b/>
          <w:bCs/>
          <w:noProof/>
          <w:sz w:val="20"/>
          <w:szCs w:val="20"/>
          <w:rtl/>
        </w:rPr>
        <w:t xml:space="preserve">דיני קניין</w:t>
      </w:r>
      <w:r>
        <w:rPr>
          <w:rFonts w:ascii="David" w:cs="David" w:eastAsia="David" w:hAnsi="David"/>
          <w:noProof/>
          <w:sz w:val="20"/>
          <w:szCs w:val="20"/>
          <w:rtl/>
        </w:rPr>
        <w:t xml:space="preserve">, </w:t>
      </w:r>
      <w:r>
        <w:rPr>
          <w:rFonts w:ascii="David" w:cs="David" w:eastAsia="David" w:hAnsi="David"/>
          <w:noProof/>
          <w:sz w:val="20"/>
          <w:szCs w:val="20"/>
          <w:rtl/>
        </w:rPr>
        <w:t xml:space="preserve">לעיל ה"ש 8</w:t>
      </w:r>
      <w:r>
        <w:rPr>
          <w:rFonts w:ascii="David" w:cs="David" w:eastAsia="David" w:hAnsi="David"/>
          <w:noProof/>
          <w:sz w:val="20"/>
          <w:szCs w:val="20"/>
          <w:rtl/>
        </w:rPr>
        <w:t xml:space="preserve">, בעמ׳ 43–48; ולמישור הדיוני ראו עניין </w:t>
      </w:r>
      <w:r>
        <w:rPr>
          <w:rFonts w:ascii="David" w:cs="David" w:eastAsia="David" w:hAnsi="David"/>
          <w:b/>
          <w:bCs/>
          <w:noProof/>
          <w:sz w:val="20"/>
          <w:szCs w:val="20"/>
          <w:rtl/>
        </w:rPr>
        <w:t xml:space="preserve">אלוש</w:t>
      </w:r>
      <w:r>
        <w:rPr>
          <w:rFonts w:ascii="David" w:cs="David" w:eastAsia="David" w:hAnsi="David"/>
          <w:noProof/>
          <w:sz w:val="20"/>
          <w:szCs w:val="20"/>
          <w:rtl/>
        </w:rPr>
        <w:t xml:space="preserve">, </w:t>
      </w:r>
      <w:r>
        <w:rPr>
          <w:rFonts w:ascii="David" w:cs="David" w:eastAsia="David" w:hAnsi="David"/>
          <w:noProof/>
          <w:sz w:val="20"/>
          <w:szCs w:val="20"/>
          <w:rtl/>
        </w:rPr>
        <w:t xml:space="preserve">לעיל ה"ש 12</w:t>
      </w:r>
      <w:r>
        <w:rPr>
          <w:rFonts w:ascii="David" w:cs="David" w:eastAsia="David" w:hAnsi="David"/>
          <w:noProof/>
          <w:sz w:val="20"/>
          <w:szCs w:val="20"/>
          <w:rtl/>
        </w:rPr>
        <w:t xml:space="preserve">.</w:t>
      </w:r>
    </w:p>
  </w:footnote>
  <w:footnote w:id="52">
    <w:p>
      <w:pPr>
        <w:bidi/>
        <w:spacing w:after="60"/>
        <w:jc w:val="both"/>
      </w:pPr>
      <w:r>
        <w:rPr>
          <w:rStyle w:val="FootnoteReference"/>
        </w:rPr>
        <w:footnoteRef/>
      </w:r>
      <w:r>
        <w:rPr>
          <w:rFonts w:ascii="David" w:cs="David" w:eastAsia="David" w:hAnsi="David"/>
          <w:noProof/>
          <w:sz w:val="20"/>
          <w:szCs w:val="20"/>
          <w:rtl/>
        </w:rPr>
        <w:t xml:space="preserve">לביקורת על אי-הוודאות הנובעת משסתומי יושר ותום לב השוו רייכמן, </w:t>
      </w:r>
      <w:r>
        <w:rPr>
          <w:rFonts w:ascii="David" w:cs="David" w:eastAsia="David" w:hAnsi="David"/>
          <w:noProof/>
          <w:sz w:val="20"/>
          <w:szCs w:val="20"/>
          <w:rtl/>
        </w:rPr>
        <w:t xml:space="preserve">לעיל ה"ש 8</w:t>
      </w:r>
      <w:r>
        <w:rPr>
          <w:rFonts w:ascii="David" w:cs="David" w:eastAsia="David" w:hAnsi="David"/>
          <w:noProof/>
          <w:sz w:val="20"/>
          <w:szCs w:val="20"/>
          <w:rtl/>
        </w:rPr>
        <w:t xml:space="preserve">, בעמ׳ 297 ואילך; וכהן, </w:t>
      </w:r>
      <w:r>
        <w:rPr>
          <w:rFonts w:ascii="David" w:cs="David" w:eastAsia="David" w:hAnsi="David"/>
          <w:noProof/>
          <w:sz w:val="20"/>
          <w:szCs w:val="20"/>
          <w:rtl/>
        </w:rPr>
        <w:t xml:space="preserve">לעיל ה"ש 33</w:t>
      </w:r>
      <w:r>
        <w:rPr>
          <w:rFonts w:ascii="David" w:cs="David" w:eastAsia="David" w:hAnsi="David"/>
          <w:noProof/>
          <w:sz w:val="20"/>
          <w:szCs w:val="20"/>
          <w:rtl/>
        </w:rPr>
        <w:t xml:space="preserve">.</w:t>
      </w:r>
    </w:p>
  </w:footnote>
  <w:footnote w:id="53">
    <w:p>
      <w:pPr>
        <w:bidi/>
        <w:spacing w:after="60"/>
        <w:jc w:val="both"/>
      </w:pPr>
      <w:r>
        <w:rPr>
          <w:rStyle w:val="FootnoteReference"/>
        </w:rPr>
        <w:footnoteRef/>
      </w:r>
      <w:r>
        <w:rPr>
          <w:rFonts w:ascii="David" w:cs="David" w:eastAsia="David" w:hAnsi="David"/>
          <w:noProof/>
          <w:sz w:val="20"/>
          <w:szCs w:val="20"/>
          <w:rtl/>
        </w:rPr>
        <w:t xml:space="preserve">תק׳ 36–38 לתקנות התכנון והבניה (רישוי בניה), התשע"ו–2016; וקודם לכן תק׳ 2א לתקנות התכנון והבניה (בקשה להיתר, תנאיו ואגרות), התש"ל–1970.</w:t>
      </w:r>
    </w:p>
  </w:footnote>
  <w:footnote w:id="54">
    <w:p>
      <w:pPr>
        <w:bidi/>
        <w:spacing w:after="60"/>
        <w:jc w:val="both"/>
      </w:pPr>
      <w:r>
        <w:rPr>
          <w:rStyle w:val="FootnoteReference"/>
        </w:rPr>
        <w:footnoteRef/>
      </w:r>
      <w:r>
        <w:rPr>
          <w:rFonts w:ascii="David" w:cs="David" w:eastAsia="David" w:hAnsi="David"/>
          <w:noProof/>
          <w:sz w:val="20"/>
          <w:szCs w:val="20"/>
          <w:rtl/>
        </w:rPr>
        <w:t xml:space="preserve">לרקע התכנוני ראו שטרן, </w:t>
      </w:r>
      <w:r>
        <w:rPr>
          <w:rFonts w:ascii="David" w:cs="David" w:eastAsia="David" w:hAnsi="David"/>
          <w:noProof/>
          <w:sz w:val="20"/>
          <w:szCs w:val="20"/>
          <w:rtl/>
        </w:rPr>
        <w:t xml:space="preserve">לעיל ה"ש 17</w:t>
      </w:r>
      <w:r>
        <w:rPr>
          <w:rFonts w:ascii="David" w:cs="David" w:eastAsia="David" w:hAnsi="David"/>
          <w:noProof/>
          <w:sz w:val="20"/>
          <w:szCs w:val="20"/>
          <w:rtl/>
        </w:rPr>
        <w:t xml:space="preserve">, בעמ׳ 252–253; נאסר, </w:t>
      </w:r>
      <w:r>
        <w:rPr>
          <w:rFonts w:ascii="David" w:cs="David" w:eastAsia="David" w:hAnsi="David"/>
          <w:noProof/>
          <w:sz w:val="20"/>
          <w:szCs w:val="20"/>
          <w:rtl/>
        </w:rPr>
        <w:t xml:space="preserve">לעיל ה"ש 20</w:t>
      </w:r>
      <w:r>
        <w:rPr>
          <w:rFonts w:ascii="David" w:cs="David" w:eastAsia="David" w:hAnsi="David"/>
          <w:noProof/>
          <w:sz w:val="20"/>
          <w:szCs w:val="20"/>
          <w:rtl/>
        </w:rPr>
        <w:t xml:space="preserve">.</w:t>
      </w:r>
    </w:p>
  </w:footnote>
  <w:footnote w:id="55">
    <w:p>
      <w:pPr>
        <w:bidi/>
        <w:spacing w:after="60"/>
        <w:jc w:val="both"/>
      </w:pPr>
      <w:r>
        <w:rPr>
          <w:rStyle w:val="FootnoteReference"/>
        </w:rPr>
        <w:footnoteRef/>
      </w:r>
      <w:r>
        <w:rPr>
          <w:rFonts w:ascii="David" w:cs="David" w:eastAsia="David" w:hAnsi="David"/>
          <w:noProof/>
          <w:sz w:val="20"/>
          <w:szCs w:val="20"/>
          <w:rtl/>
        </w:rPr>
        <w:t xml:space="preserve">ראו פסיקת ערכאות המשפחה שנסקרה לעיל, </w:t>
      </w:r>
      <w:r>
        <w:rPr>
          <w:rFonts w:ascii="David" w:cs="David" w:eastAsia="David" w:hAnsi="David"/>
          <w:noProof/>
          <w:sz w:val="20"/>
          <w:szCs w:val="20"/>
          <w:rtl/>
        </w:rPr>
        <w:t xml:space="preserve">לעיל ה"ש 49</w:t>
      </w:r>
      <w:r>
        <w:rPr>
          <w:rFonts w:ascii="David" w:cs="David" w:eastAsia="David" w:hAnsi="David"/>
          <w:noProof/>
          <w:sz w:val="20"/>
          <w:szCs w:val="20"/>
          <w:rtl/>
        </w:rPr>
        <w:t xml:space="preserve">; ולמשקל ההשקעה והבנייה בהסכמה ראו עניין </w:t>
      </w:r>
      <w:r>
        <w:rPr>
          <w:rFonts w:ascii="David" w:cs="David" w:eastAsia="David" w:hAnsi="David"/>
          <w:b/>
          <w:bCs/>
          <w:noProof/>
          <w:sz w:val="20"/>
          <w:szCs w:val="20"/>
          <w:rtl/>
        </w:rPr>
        <w:t xml:space="preserve">ג׳בראן</w:t>
      </w:r>
      <w:r>
        <w:rPr>
          <w:rFonts w:ascii="David" w:cs="David" w:eastAsia="David" w:hAnsi="David"/>
          <w:noProof/>
          <w:sz w:val="20"/>
          <w:szCs w:val="20"/>
          <w:rtl/>
        </w:rPr>
        <w:t xml:space="preserve">, </w:t>
      </w:r>
      <w:r>
        <w:rPr>
          <w:rFonts w:ascii="David" w:cs="David" w:eastAsia="David" w:hAnsi="David"/>
          <w:noProof/>
          <w:sz w:val="20"/>
          <w:szCs w:val="20"/>
          <w:rtl/>
        </w:rPr>
        <w:t xml:space="preserve">לעיל ה"ש 43</w:t>
      </w:r>
      <w:r>
        <w:rPr>
          <w:rFonts w:ascii="David" w:cs="David" w:eastAsia="David" w:hAnsi="David"/>
          <w:noProof/>
          <w:sz w:val="20"/>
          <w:szCs w:val="20"/>
          <w:rtl/>
        </w:rPr>
        <w:t xml:space="preserve">.</w:t>
      </w:r>
    </w:p>
  </w:footnote>
  <w:footnote w:id="56">
    <w:p>
      <w:pPr>
        <w:bidi/>
        <w:spacing w:after="60"/>
        <w:jc w:val="both"/>
      </w:pPr>
      <w:r>
        <w:rPr>
          <w:rStyle w:val="FootnoteReference"/>
        </w:rPr>
        <w:footnoteRef/>
      </w:r>
      <w:r>
        <w:rPr>
          <w:rFonts w:ascii="David" w:cs="David" w:eastAsia="David" w:hAnsi="David"/>
          <w:noProof/>
          <w:sz w:val="20"/>
          <w:szCs w:val="20"/>
          <w:rtl/>
        </w:rPr>
        <w:t xml:space="preserve">עניין </w:t>
      </w:r>
      <w:r>
        <w:rPr>
          <w:rFonts w:ascii="David" w:cs="David" w:eastAsia="David" w:hAnsi="David"/>
          <w:b/>
          <w:bCs/>
          <w:noProof/>
          <w:sz w:val="20"/>
          <w:szCs w:val="20"/>
          <w:rtl/>
        </w:rPr>
        <w:t xml:space="preserve">אבו ג׳נימה</w:t>
      </w:r>
      <w:r>
        <w:rPr>
          <w:rFonts w:ascii="David" w:cs="David" w:eastAsia="David" w:hAnsi="David"/>
          <w:noProof/>
          <w:sz w:val="20"/>
          <w:szCs w:val="20"/>
          <w:rtl/>
        </w:rPr>
        <w:t xml:space="preserve">, </w:t>
      </w:r>
      <w:r>
        <w:rPr>
          <w:rFonts w:ascii="David" w:cs="David" w:eastAsia="David" w:hAnsi="David"/>
          <w:noProof/>
          <w:sz w:val="20"/>
          <w:szCs w:val="20"/>
          <w:rtl/>
        </w:rPr>
        <w:t xml:space="preserve">לעיל ה"ש 37</w:t>
      </w:r>
      <w:r>
        <w:rPr>
          <w:rFonts w:ascii="David" w:cs="David" w:eastAsia="David" w:hAnsi="David"/>
          <w:noProof/>
          <w:sz w:val="20"/>
          <w:szCs w:val="20"/>
          <w:rtl/>
        </w:rPr>
        <w:t xml:space="preserve">.</w:t>
      </w:r>
    </w:p>
  </w:footnote>
  <w:footnote w:id="57">
    <w:p>
      <w:pPr>
        <w:bidi/>
        <w:spacing w:after="60"/>
        <w:jc w:val="both"/>
      </w:pPr>
      <w:r>
        <w:rPr>
          <w:rStyle w:val="FootnoteReference"/>
        </w:rPr>
        <w:footnoteRef/>
      </w:r>
      <w:r>
        <w:rPr>
          <w:rFonts w:ascii="David" w:cs="David" w:eastAsia="David" w:hAnsi="David"/>
          <w:noProof/>
          <w:sz w:val="20"/>
          <w:szCs w:val="20"/>
          <w:rtl/>
        </w:rPr>
        <w:t xml:space="preserve">ס׳ 269 ו-325–326 לפקודת העיריות [נוסח חדש]. שוכר, בר-רשות ואף פולש עשויים להירשם כמחזיקים.</w:t>
      </w:r>
    </w:p>
  </w:footnote>
  <w:footnote w:id="58">
    <w:p>
      <w:pPr>
        <w:bidi/>
        <w:spacing w:after="60"/>
        <w:jc w:val="both"/>
      </w:pPr>
      <w:r>
        <w:rPr>
          <w:rStyle w:val="FootnoteReference"/>
        </w:rPr>
        <w:footnoteRef/>
      </w:r>
      <w:r>
        <w:rPr>
          <w:rFonts w:ascii="David" w:cs="David" w:eastAsia="David" w:hAnsi="David"/>
          <w:noProof/>
          <w:sz w:val="20"/>
          <w:szCs w:val="20"/>
          <w:rtl/>
        </w:rPr>
        <w:t xml:space="preserve">להבחנה בין רשות חינם לרישיון שנוצרה בגינו הסתמכות ראו זלצמן, </w:t>
      </w:r>
      <w:r>
        <w:rPr>
          <w:rFonts w:ascii="David" w:cs="David" w:eastAsia="David" w:hAnsi="David"/>
          <w:noProof/>
          <w:sz w:val="20"/>
          <w:szCs w:val="20"/>
          <w:rtl/>
        </w:rPr>
        <w:t xml:space="preserve">לעיל ה"ש 42</w:t>
      </w:r>
      <w:r>
        <w:rPr>
          <w:rFonts w:ascii="David" w:cs="David" w:eastAsia="David" w:hAnsi="David"/>
          <w:noProof/>
          <w:sz w:val="20"/>
          <w:szCs w:val="20"/>
          <w:rtl/>
        </w:rPr>
        <w:t xml:space="preserve">; שקד, </w:t>
      </w:r>
      <w:r>
        <w:rPr>
          <w:rFonts w:ascii="David" w:cs="David" w:eastAsia="David" w:hAnsi="David"/>
          <w:noProof/>
          <w:sz w:val="20"/>
          <w:szCs w:val="20"/>
          <w:rtl/>
        </w:rPr>
        <w:t xml:space="preserve">לעיל ה"ש 23</w:t>
      </w:r>
      <w:r>
        <w:rPr>
          <w:rFonts w:ascii="David" w:cs="David" w:eastAsia="David" w:hAnsi="David"/>
          <w:noProof/>
          <w:sz w:val="20"/>
          <w:szCs w:val="20"/>
          <w:rtl/>
        </w:rPr>
        <w:t xml:space="preserve">, בעמ׳ 405–408.</w:t>
      </w:r>
    </w:p>
  </w:footnote>
  <w:footnote w:id="59">
    <w:p>
      <w:pPr>
        <w:bidi/>
        <w:spacing w:after="60"/>
        <w:jc w:val="both"/>
      </w:pPr>
      <w:r>
        <w:rPr>
          <w:rStyle w:val="FootnoteReference"/>
        </w:rPr>
        <w:footnoteRef/>
      </w:r>
      <w:r>
        <w:rPr>
          <w:rFonts w:ascii="David" w:cs="David" w:eastAsia="David" w:hAnsi="David"/>
          <w:noProof/>
          <w:sz w:val="20"/>
          <w:szCs w:val="20"/>
          <w:rtl/>
        </w:rPr>
        <w:t xml:space="preserve">ראו עניין </w:t>
      </w:r>
      <w:r>
        <w:rPr>
          <w:rFonts w:ascii="David" w:cs="David" w:eastAsia="David" w:hAnsi="David"/>
          <w:b/>
          <w:bCs/>
          <w:noProof/>
          <w:sz w:val="20"/>
          <w:szCs w:val="20"/>
          <w:rtl/>
        </w:rPr>
        <w:t xml:space="preserve">נאטור</w:t>
      </w:r>
      <w:r>
        <w:rPr>
          <w:rFonts w:ascii="David" w:cs="David" w:eastAsia="David" w:hAnsi="David"/>
          <w:noProof/>
          <w:sz w:val="20"/>
          <w:szCs w:val="20"/>
          <w:rtl/>
        </w:rPr>
        <w:t xml:space="preserve">, </w:t>
      </w:r>
      <w:r>
        <w:rPr>
          <w:rFonts w:ascii="David" w:cs="David" w:eastAsia="David" w:hAnsi="David"/>
          <w:noProof/>
          <w:sz w:val="20"/>
          <w:szCs w:val="20"/>
          <w:rtl/>
        </w:rPr>
        <w:t xml:space="preserve">לעיל ה"ש 27</w:t>
      </w:r>
      <w:r>
        <w:rPr>
          <w:rFonts w:ascii="David" w:cs="David" w:eastAsia="David" w:hAnsi="David"/>
          <w:noProof/>
          <w:sz w:val="20"/>
          <w:szCs w:val="20"/>
          <w:rtl/>
        </w:rPr>
        <w:t xml:space="preserve">; עניין </w:t>
      </w:r>
      <w:r>
        <w:rPr>
          <w:rFonts w:ascii="David" w:cs="David" w:eastAsia="David" w:hAnsi="David"/>
          <w:b/>
          <w:bCs/>
          <w:noProof/>
          <w:sz w:val="20"/>
          <w:szCs w:val="20"/>
          <w:rtl/>
        </w:rPr>
        <w:t xml:space="preserve">אבו ליל</w:t>
      </w:r>
      <w:r>
        <w:rPr>
          <w:rFonts w:ascii="David" w:cs="David" w:eastAsia="David" w:hAnsi="David"/>
          <w:noProof/>
          <w:sz w:val="20"/>
          <w:szCs w:val="20"/>
          <w:rtl/>
        </w:rPr>
        <w:t xml:space="preserve">, </w:t>
      </w:r>
      <w:r>
        <w:rPr>
          <w:rFonts w:ascii="David" w:cs="David" w:eastAsia="David" w:hAnsi="David"/>
          <w:noProof/>
          <w:sz w:val="20"/>
          <w:szCs w:val="20"/>
          <w:rtl/>
        </w:rPr>
        <w:t xml:space="preserve">לעיל ה"ש 29</w:t>
      </w:r>
      <w:r>
        <w:rPr>
          <w:rFonts w:ascii="David" w:cs="David" w:eastAsia="David" w:hAnsi="David"/>
          <w:noProof/>
          <w:sz w:val="20"/>
          <w:szCs w:val="20"/>
          <w:rtl/>
        </w:rPr>
        <w:t xml:space="preserve">; ולמשטר הבין זמני ראו לעיל פרק ג.3.</w:t>
      </w:r>
    </w:p>
  </w:footnote>
  <w:footnote w:id="60">
    <w:p>
      <w:pPr>
        <w:bidi/>
        <w:spacing w:after="60"/>
        <w:jc w:val="both"/>
      </w:pPr>
      <w:r>
        <w:rPr>
          <w:rStyle w:val="FootnoteReference"/>
        </w:rPr>
        <w:footnoteRef/>
      </w:r>
      <w:r>
        <w:rPr>
          <w:rFonts w:ascii="David" w:cs="David" w:eastAsia="David" w:hAnsi="David"/>
          <w:noProof/>
          <w:sz w:val="20"/>
          <w:szCs w:val="20"/>
          <w:rtl/>
        </w:rPr>
        <w:t xml:space="preserve">עניין </w:t>
      </w:r>
      <w:r>
        <w:rPr>
          <w:rFonts w:ascii="David" w:cs="David" w:eastAsia="David" w:hAnsi="David"/>
          <w:b/>
          <w:bCs/>
          <w:noProof/>
          <w:sz w:val="20"/>
          <w:szCs w:val="20"/>
          <w:rtl/>
        </w:rPr>
        <w:t xml:space="preserve">אבו ג׳נימה</w:t>
      </w:r>
      <w:r>
        <w:rPr>
          <w:rFonts w:ascii="David" w:cs="David" w:eastAsia="David" w:hAnsi="David"/>
          <w:noProof/>
          <w:sz w:val="20"/>
          <w:szCs w:val="20"/>
          <w:rtl/>
        </w:rPr>
        <w:t xml:space="preserve">, </w:t>
      </w:r>
      <w:r>
        <w:rPr>
          <w:rFonts w:ascii="David" w:cs="David" w:eastAsia="David" w:hAnsi="David"/>
          <w:noProof/>
          <w:sz w:val="20"/>
          <w:szCs w:val="20"/>
          <w:rtl/>
        </w:rPr>
        <w:t xml:space="preserve">לעיל ה"ש 37</w:t>
      </w:r>
      <w:r>
        <w:rPr>
          <w:rFonts w:ascii="David" w:cs="David" w:eastAsia="David" w:hAnsi="David"/>
          <w:noProof/>
          <w:sz w:val="20"/>
          <w:szCs w:val="20"/>
          <w:rtl/>
        </w:rPr>
        <w:t xml:space="preserve">, שם הוכחה עסקה משנת 1968 שהסכמהּ לא אותר; והשוו עניין </w:t>
      </w:r>
      <w:r>
        <w:rPr>
          <w:rFonts w:ascii="David" w:cs="David" w:eastAsia="David" w:hAnsi="David"/>
          <w:b/>
          <w:bCs/>
          <w:noProof/>
          <w:sz w:val="20"/>
          <w:szCs w:val="20"/>
          <w:rtl/>
        </w:rPr>
        <w:t xml:space="preserve">צימבלר</w:t>
      </w:r>
      <w:r>
        <w:rPr>
          <w:rFonts w:ascii="David" w:cs="David" w:eastAsia="David" w:hAnsi="David"/>
          <w:noProof/>
          <w:sz w:val="20"/>
          <w:szCs w:val="20"/>
          <w:rtl/>
        </w:rPr>
        <w:t xml:space="preserve">, </w:t>
      </w:r>
      <w:r>
        <w:rPr>
          <w:rFonts w:ascii="David" w:cs="David" w:eastAsia="David" w:hAnsi="David"/>
          <w:noProof/>
          <w:sz w:val="20"/>
          <w:szCs w:val="20"/>
          <w:rtl/>
        </w:rPr>
        <w:t xml:space="preserve">לעיל ה"ש 31</w:t>
      </w:r>
      <w:r>
        <w:rPr>
          <w:rFonts w:ascii="David" w:cs="David" w:eastAsia="David" w:hAnsi="David"/>
          <w:noProof/>
          <w:sz w:val="20"/>
          <w:szCs w:val="20"/>
          <w:rtl/>
        </w:rPr>
        <w:t xml:space="preserve">.</w:t>
      </w:r>
    </w:p>
  </w:footnote>
  <w:footnote w:id="61">
    <w:p>
      <w:pPr>
        <w:bidi/>
        <w:spacing w:after="60"/>
        <w:jc w:val="both"/>
      </w:pPr>
      <w:r>
        <w:rPr>
          <w:rStyle w:val="FootnoteReference"/>
        </w:rPr>
        <w:footnoteRef/>
      </w:r>
      <w:r>
        <w:rPr>
          <w:rFonts w:ascii="David" w:cs="David" w:eastAsia="David" w:hAnsi="David"/>
          <w:noProof/>
          <w:sz w:val="20"/>
          <w:szCs w:val="20"/>
          <w:rtl/>
        </w:rPr>
        <w:t xml:space="preserve">ס׳ 54(4) לפקודת הראיות [נוסח חדש], התשל"א–1971. ליישום ראו ה"פ (מחוזי י-ם) 48783-04-18 </w:t>
      </w:r>
      <w:r>
        <w:rPr>
          <w:rFonts w:ascii="David" w:cs="David" w:eastAsia="David" w:hAnsi="David"/>
          <w:b/>
          <w:bCs/>
          <w:noProof/>
          <w:sz w:val="20"/>
          <w:szCs w:val="20"/>
          <w:rtl/>
        </w:rPr>
        <w:t xml:space="preserve">הוך נ׳ בריכטא</w:t>
      </w:r>
      <w:r>
        <w:rPr>
          <w:rFonts w:ascii="David" w:cs="David" w:eastAsia="David" w:hAnsi="David"/>
          <w:noProof/>
          <w:sz w:val="20"/>
          <w:szCs w:val="20"/>
          <w:rtl/>
        </w:rPr>
        <w:t xml:space="preserve"> (נבו 4.5.2020), שבו נדחתה תביעה להצהרה על זכויות מכוח מתנה משנקבע כי בתביעה נגד עיזבון שהוגשה שנים רבות לאחר ההעברה הנטענת מוטל נטל שכנוע כבד, והוא לא הורם.</w:t>
      </w:r>
    </w:p>
  </w:footnote>
  <w:footnote w:id="62">
    <w:p>
      <w:pPr>
        <w:bidi/>
        <w:spacing w:after="60"/>
        <w:jc w:val="both"/>
      </w:pPr>
      <w:r>
        <w:rPr>
          <w:rStyle w:val="FootnoteReference"/>
        </w:rPr>
        <w:footnoteRef/>
      </w:r>
      <w:r>
        <w:rPr>
          <w:rFonts w:ascii="David" w:cs="David" w:eastAsia="David" w:hAnsi="David"/>
          <w:noProof/>
          <w:sz w:val="20"/>
          <w:szCs w:val="20"/>
          <w:rtl/>
        </w:rPr>
        <w:t xml:space="preserve">עניין </w:t>
      </w:r>
      <w:r>
        <w:rPr>
          <w:rFonts w:ascii="David" w:cs="David" w:eastAsia="David" w:hAnsi="David"/>
          <w:b/>
          <w:bCs/>
          <w:noProof/>
          <w:sz w:val="20"/>
          <w:szCs w:val="20"/>
          <w:rtl/>
        </w:rPr>
        <w:t xml:space="preserve">משעל</w:t>
      </w:r>
      <w:r>
        <w:rPr>
          <w:rFonts w:ascii="David" w:cs="David" w:eastAsia="David" w:hAnsi="David"/>
          <w:noProof/>
          <w:sz w:val="20"/>
          <w:szCs w:val="20"/>
          <w:rtl/>
        </w:rPr>
        <w:t xml:space="preserve">, </w:t>
      </w:r>
      <w:r>
        <w:rPr>
          <w:rFonts w:ascii="David" w:cs="David" w:eastAsia="David" w:hAnsi="David"/>
          <w:noProof/>
          <w:sz w:val="20"/>
          <w:szCs w:val="20"/>
          <w:rtl/>
        </w:rPr>
        <w:t xml:space="preserve">לעיל ה"ש 47</w:t>
      </w:r>
      <w:r>
        <w:rPr>
          <w:rFonts w:ascii="David" w:cs="David" w:eastAsia="David" w:hAnsi="David"/>
          <w:noProof/>
          <w:sz w:val="20"/>
          <w:szCs w:val="20"/>
          <w:rtl/>
        </w:rPr>
        <w:t xml:space="preserve">.</w:t>
      </w:r>
    </w:p>
  </w:footnote>
  <w:footnote w:id="63">
    <w:p>
      <w:pPr>
        <w:bidi/>
        <w:spacing w:after="60"/>
        <w:jc w:val="both"/>
      </w:pPr>
      <w:r>
        <w:rPr>
          <w:rStyle w:val="FootnoteReference"/>
        </w:rPr>
        <w:footnoteRef/>
      </w:r>
      <w:r>
        <w:rPr>
          <w:rFonts w:ascii="David" w:cs="David" w:eastAsia="David" w:hAnsi="David"/>
          <w:noProof/>
          <w:sz w:val="20"/>
          <w:szCs w:val="20"/>
          <w:rtl/>
        </w:rPr>
        <w:t xml:space="preserve">רע"א 7060/12 </w:t>
      </w:r>
      <w:r>
        <w:rPr>
          <w:rFonts w:ascii="David" w:cs="David" w:eastAsia="David" w:hAnsi="David"/>
          <w:b/>
          <w:bCs/>
          <w:noProof/>
          <w:sz w:val="20"/>
          <w:szCs w:val="20"/>
          <w:rtl/>
        </w:rPr>
        <w:t xml:space="preserve">מדינת ישראל נ׳ </w:t>
      </w:r>
      <w:r>
        <w:rPr>
          <w:rFonts w:ascii="Times New Roman" w:cs="Times New Roman" w:eastAsia="Times New Roman" w:hAnsi="Times New Roman"/>
          <w:b/>
          <w:bCs/>
          <w:noProof/>
          <w:sz w:val="20"/>
          <w:szCs w:val="20"/>
        </w:rPr>
        <w:t xml:space="preserve">United Israel Appeal Inc</w:t>
      </w:r>
      <w:r>
        <w:rPr>
          <w:rFonts w:ascii="David" w:cs="David" w:eastAsia="David" w:hAnsi="David"/>
          <w:noProof/>
          <w:sz w:val="20"/>
          <w:szCs w:val="20"/>
          <w:rtl/>
        </w:rPr>
        <w:t xml:space="preserve"> (נבו 30.4.2015).</w:t>
      </w:r>
    </w:p>
  </w:footnote>
  <w:footnote w:id="64">
    <w:p>
      <w:pPr>
        <w:bidi/>
        <w:spacing w:after="60"/>
        <w:jc w:val="both"/>
      </w:pPr>
      <w:r>
        <w:rPr>
          <w:rStyle w:val="FootnoteReference"/>
        </w:rPr>
        <w:footnoteRef/>
      </w:r>
      <w:r>
        <w:rPr>
          <w:rFonts w:ascii="David" w:cs="David" w:eastAsia="David" w:hAnsi="David"/>
          <w:noProof/>
          <w:sz w:val="20"/>
          <w:szCs w:val="20"/>
          <w:rtl/>
        </w:rPr>
        <w:t xml:space="preserve">ס׳ 16(א) לחוק מיסוי מקרקעין (שבח ורכישה), התשכ"ג–1963 (להלן: חוק מיסוי מקרקעין); אבי גורמן ושי אהרונוביץ׳ </w:t>
      </w:r>
      <w:r>
        <w:rPr>
          <w:rFonts w:ascii="David" w:cs="David" w:eastAsia="David" w:hAnsi="David"/>
          <w:b/>
          <w:bCs/>
          <w:noProof/>
          <w:sz w:val="20"/>
          <w:szCs w:val="20"/>
          <w:rtl/>
        </w:rPr>
        <w:t xml:space="preserve">מיסוי מקרקעין – פרשנות, הלכה ומעשה</w:t>
      </w:r>
      <w:r>
        <w:rPr>
          <w:rFonts w:ascii="David" w:cs="David" w:eastAsia="David" w:hAnsi="David"/>
          <w:noProof/>
          <w:sz w:val="20"/>
          <w:szCs w:val="20"/>
          <w:rtl/>
        </w:rPr>
        <w:t xml:space="preserve"> 278–293 (2017) (להלן: גורמן ואהרונוביץ׳).</w:t>
      </w:r>
    </w:p>
  </w:footnote>
  <w:footnote w:id="65">
    <w:p>
      <w:pPr>
        <w:bidi/>
        <w:spacing w:after="60"/>
        <w:jc w:val="both"/>
      </w:pPr>
      <w:r>
        <w:rPr>
          <w:rStyle w:val="FootnoteReference"/>
        </w:rPr>
        <w:footnoteRef/>
      </w:r>
      <w:r>
        <w:rPr>
          <w:rFonts w:ascii="David" w:cs="David" w:eastAsia="David" w:hAnsi="David"/>
          <w:noProof/>
          <w:sz w:val="20"/>
          <w:szCs w:val="20"/>
          <w:rtl/>
        </w:rPr>
        <w:t xml:space="preserve">גורמן ואהרונוביץ׳, </w:t>
      </w:r>
      <w:r>
        <w:rPr>
          <w:rFonts w:ascii="David" w:cs="David" w:eastAsia="David" w:hAnsi="David"/>
          <w:noProof/>
          <w:sz w:val="20"/>
          <w:szCs w:val="20"/>
          <w:rtl/>
        </w:rPr>
        <w:t xml:space="preserve">לעיל ה"ש 64</w:t>
      </w:r>
      <w:r>
        <w:rPr>
          <w:rFonts w:ascii="David" w:cs="David" w:eastAsia="David" w:hAnsi="David"/>
          <w:noProof/>
          <w:sz w:val="20"/>
          <w:szCs w:val="20"/>
          <w:rtl/>
        </w:rPr>
        <w:t xml:space="preserve">, בעמ׳ 282.</w:t>
      </w:r>
    </w:p>
  </w:footnote>
  <w:footnote w:id="66">
    <w:p>
      <w:pPr>
        <w:bidi/>
        <w:spacing w:after="60"/>
        <w:jc w:val="both"/>
      </w:pPr>
      <w:r>
        <w:rPr>
          <w:rStyle w:val="FootnoteReference"/>
        </w:rPr>
        <w:footnoteRef/>
      </w:r>
      <w:r>
        <w:rPr>
          <w:rFonts w:ascii="David" w:cs="David" w:eastAsia="David" w:hAnsi="David"/>
          <w:noProof/>
          <w:sz w:val="20"/>
          <w:szCs w:val="20"/>
          <w:rtl/>
        </w:rPr>
        <w:t xml:space="preserve">ס׳ 16(ב) ו-73 לחוק מיסוי מקרקעין; ס׳ 324(א) לפקודת העיריות [נוסח חדש]; ס׳ 10 לתוספת השלישית לחוק התכנון והבנייה, התשכ"ה–1965.</w:t>
      </w:r>
    </w:p>
  </w:footnote>
  <w:footnote w:id="67">
    <w:p>
      <w:pPr>
        <w:bidi/>
        <w:spacing w:after="60"/>
        <w:jc w:val="both"/>
      </w:pPr>
      <w:r>
        <w:rPr>
          <w:rStyle w:val="FootnoteReference"/>
        </w:rPr>
        <w:footnoteRef/>
      </w:r>
      <w:r>
        <w:rPr>
          <w:rFonts w:ascii="David" w:cs="David" w:eastAsia="David" w:hAnsi="David"/>
          <w:noProof/>
          <w:sz w:val="20"/>
          <w:szCs w:val="20"/>
          <w:rtl/>
        </w:rPr>
        <w:t xml:space="preserve">ס׳ 1 לחוק מיסוי מקרקעין; ו"ע (מחוזי חי׳) 4631-12-13 </w:t>
      </w:r>
      <w:r>
        <w:rPr>
          <w:rFonts w:ascii="David" w:cs="David" w:eastAsia="David" w:hAnsi="David"/>
          <w:b/>
          <w:bCs/>
          <w:noProof/>
          <w:sz w:val="20"/>
          <w:szCs w:val="20"/>
          <w:rtl/>
        </w:rPr>
        <w:t xml:space="preserve">גולדברג נ׳ מנהל מיסוי מקרקעין – חדרה</w:t>
      </w:r>
      <w:r>
        <w:rPr>
          <w:rFonts w:ascii="David" w:cs="David" w:eastAsia="David" w:hAnsi="David"/>
          <w:noProof/>
          <w:sz w:val="20"/>
          <w:szCs w:val="20"/>
          <w:rtl/>
        </w:rPr>
        <w:t xml:space="preserve">, </w:t>
      </w:r>
      <w:r>
        <w:rPr>
          <w:rFonts w:ascii="David" w:cs="David" w:eastAsia="David" w:hAnsi="David"/>
          <w:b/>
          <w:bCs/>
          <w:noProof/>
          <w:sz w:val="20"/>
          <w:szCs w:val="20"/>
          <w:rtl/>
        </w:rPr>
        <w:t xml:space="preserve">מיסים</w:t>
      </w:r>
      <w:r>
        <w:rPr>
          <w:rFonts w:ascii="David" w:cs="David" w:eastAsia="David" w:hAnsi="David"/>
          <w:noProof/>
          <w:sz w:val="20"/>
          <w:szCs w:val="20"/>
          <w:rtl/>
        </w:rPr>
        <w:t xml:space="preserve"> כט/3 ה-320 (2015); גורמן ואהרונוביץ׳, </w:t>
      </w:r>
      <w:r>
        <w:rPr>
          <w:rFonts w:ascii="David" w:cs="David" w:eastAsia="David" w:hAnsi="David"/>
          <w:noProof/>
          <w:sz w:val="20"/>
          <w:szCs w:val="20"/>
          <w:rtl/>
        </w:rPr>
        <w:t xml:space="preserve">לעיל ה"ש 64</w:t>
      </w:r>
      <w:r>
        <w:rPr>
          <w:rFonts w:ascii="David" w:cs="David" w:eastAsia="David" w:hAnsi="David"/>
          <w:noProof/>
          <w:sz w:val="20"/>
          <w:szCs w:val="20"/>
          <w:rtl/>
        </w:rPr>
        <w:t xml:space="preserve">, בעמ׳ 151–154.</w:t>
      </w:r>
    </w:p>
  </w:footnote>
  <w:footnote w:id="68">
    <w:p>
      <w:pPr>
        <w:bidi/>
        <w:spacing w:after="60"/>
        <w:jc w:val="both"/>
      </w:pPr>
      <w:r>
        <w:rPr>
          <w:rStyle w:val="FootnoteReference"/>
        </w:rPr>
        <w:footnoteRef/>
      </w:r>
      <w:r>
        <w:rPr>
          <w:rFonts w:ascii="David" w:cs="David" w:eastAsia="David" w:hAnsi="David"/>
          <w:noProof/>
          <w:sz w:val="20"/>
          <w:szCs w:val="20"/>
          <w:rtl/>
        </w:rPr>
        <w:t xml:space="preserve">ס׳ 197 לחוק התכנון והבנייה, התשכ"ה–1965; אהרן נמדר </w:t>
      </w:r>
      <w:r>
        <w:rPr>
          <w:rFonts w:ascii="David" w:cs="David" w:eastAsia="David" w:hAnsi="David"/>
          <w:b/>
          <w:bCs/>
          <w:noProof/>
          <w:sz w:val="20"/>
          <w:szCs w:val="20"/>
          <w:rtl/>
        </w:rPr>
        <w:t xml:space="preserve">פגיעה במקרקעין [פיצויים בגין נזקי תכנית]</w:t>
      </w:r>
      <w:r>
        <w:rPr>
          <w:rFonts w:ascii="David" w:cs="David" w:eastAsia="David" w:hAnsi="David"/>
          <w:noProof/>
          <w:sz w:val="20"/>
          <w:szCs w:val="20"/>
          <w:rtl/>
        </w:rPr>
        <w:t xml:space="preserve"> 429–439 (התשס"ח).</w:t>
      </w:r>
    </w:p>
  </w:footnote>
  <w:footnote w:id="69">
    <w:p>
      <w:pPr>
        <w:bidi/>
        <w:spacing w:after="60"/>
        <w:jc w:val="both"/>
      </w:pPr>
      <w:r>
        <w:rPr>
          <w:rStyle w:val="FootnoteReference"/>
        </w:rPr>
        <w:footnoteRef/>
      </w:r>
      <w:r>
        <w:rPr>
          <w:rFonts w:ascii="David" w:cs="David" w:eastAsia="David" w:hAnsi="David"/>
          <w:noProof/>
          <w:sz w:val="20"/>
          <w:szCs w:val="20"/>
          <w:rtl/>
        </w:rPr>
        <w:t xml:space="preserve">פרק אחד-עשר לחוק מיסוי מקרקעין; גורמן ואהרונוביץ׳, </w:t>
      </w:r>
      <w:r>
        <w:rPr>
          <w:rFonts w:ascii="David" w:cs="David" w:eastAsia="David" w:hAnsi="David"/>
          <w:noProof/>
          <w:sz w:val="20"/>
          <w:szCs w:val="20"/>
          <w:rtl/>
        </w:rPr>
        <w:t xml:space="preserve">לעיל ה"ש 64</w:t>
      </w:r>
      <w:r>
        <w:rPr>
          <w:rFonts w:ascii="David" w:cs="David" w:eastAsia="David" w:hAnsi="David"/>
          <w:noProof/>
          <w:sz w:val="20"/>
          <w:szCs w:val="20"/>
          <w:rtl/>
        </w:rPr>
        <w:t xml:space="preserve">.</w:t>
      </w:r>
    </w:p>
  </w:footnote>
  <w:footnote w:id="70">
    <w:p>
      <w:pPr>
        <w:bidi/>
        <w:spacing w:after="60"/>
        <w:jc w:val="both"/>
      </w:pPr>
      <w:r>
        <w:rPr>
          <w:rStyle w:val="FootnoteReference"/>
        </w:rPr>
        <w:footnoteRef/>
      </w:r>
      <w:r>
        <w:rPr>
          <w:rFonts w:ascii="David" w:cs="David" w:eastAsia="David" w:hAnsi="David"/>
          <w:noProof/>
          <w:sz w:val="20"/>
          <w:szCs w:val="20"/>
          <w:rtl/>
        </w:rPr>
        <w:t xml:space="preserve">גורמן ואהרונוביץ׳, </w:t>
      </w:r>
      <w:r>
        <w:rPr>
          <w:rFonts w:ascii="David" w:cs="David" w:eastAsia="David" w:hAnsi="David"/>
          <w:noProof/>
          <w:sz w:val="20"/>
          <w:szCs w:val="20"/>
          <w:rtl/>
        </w:rPr>
        <w:t xml:space="preserve">לעיל ה"ש 64</w:t>
      </w:r>
      <w:r>
        <w:rPr>
          <w:rFonts w:ascii="David" w:cs="David" w:eastAsia="David" w:hAnsi="David"/>
          <w:noProof/>
          <w:sz w:val="20"/>
          <w:szCs w:val="20"/>
          <w:rtl/>
        </w:rPr>
        <w:t xml:space="preserve">, בעמ׳ 282–284, והפסיקה הנסקרת שם.</w:t>
      </w:r>
    </w:p>
  </w:footnote>
  <w:footnote w:id="71">
    <w:p>
      <w:pPr>
        <w:bidi/>
        <w:spacing w:after="60"/>
        <w:jc w:val="both"/>
      </w:pPr>
      <w:r>
        <w:rPr>
          <w:rStyle w:val="FootnoteReference"/>
        </w:rPr>
        <w:footnoteRef/>
      </w:r>
      <w:r>
        <w:rPr>
          <w:rFonts w:ascii="David" w:cs="David" w:eastAsia="David" w:hAnsi="David"/>
          <w:noProof/>
          <w:sz w:val="20"/>
          <w:szCs w:val="20"/>
          <w:rtl/>
        </w:rPr>
        <w:t xml:space="preserve">להיגיון הגבייתי של הסעיף ראו גורמן ואהרונוביץ׳, </w:t>
      </w:r>
      <w:r>
        <w:rPr>
          <w:rFonts w:ascii="David" w:cs="David" w:eastAsia="David" w:hAnsi="David"/>
          <w:noProof/>
          <w:sz w:val="20"/>
          <w:szCs w:val="20"/>
          <w:rtl/>
        </w:rPr>
        <w:t xml:space="preserve">לעיל ה"ש 65</w:t>
      </w:r>
      <w:r>
        <w:rPr>
          <w:rFonts w:ascii="David" w:cs="David" w:eastAsia="David" w:hAnsi="David"/>
          <w:noProof/>
          <w:sz w:val="20"/>
          <w:szCs w:val="20"/>
          <w:rtl/>
        </w:rPr>
        <w:t xml:space="preserve">.</w:t>
      </w:r>
    </w:p>
  </w:footnote>
  <w:footnote w:id="72">
    <w:p>
      <w:pPr>
        <w:bidi/>
        <w:spacing w:after="60"/>
        <w:jc w:val="both"/>
      </w:pPr>
      <w:r>
        <w:rPr>
          <w:rStyle w:val="FootnoteReference"/>
        </w:rPr>
        <w:footnoteRef/>
      </w:r>
      <w:r>
        <w:rPr>
          <w:rFonts w:ascii="David" w:cs="David" w:eastAsia="David" w:hAnsi="David"/>
          <w:noProof/>
          <w:sz w:val="20"/>
          <w:szCs w:val="20"/>
          <w:rtl/>
        </w:rPr>
        <w:t xml:space="preserve">למונח "הון מת" ראו </w:t>
      </w:r>
      <w:r>
        <w:rPr>
          <w:rFonts w:ascii="Times New Roman" w:cs="Times New Roman" w:eastAsia="Times New Roman" w:hAnsi="Times New Roman"/>
          <w:smallCaps/>
          <w:noProof/>
          <w:sz w:val="20"/>
          <w:szCs w:val="20"/>
        </w:rPr>
        <w:t xml:space="preserve">Hernando de Soto, The Mystery of Capital: Why Capitalism Triumphs in the West and Fails Everywhere Else (2000)</w:t>
      </w:r>
      <w:r>
        <w:rPr>
          <w:rFonts w:ascii="David" w:cs="David" w:eastAsia="David" w:hAnsi="David"/>
          <w:noProof/>
          <w:sz w:val="20"/>
          <w:szCs w:val="20"/>
          <w:rtl/>
        </w:rPr>
        <w:t xml:space="preserve">. דה-סוטו ביסס את הניתוח על עבודת שדה במצרים; ראו להלן פרק ו.2.</w:t>
      </w:r>
    </w:p>
  </w:footnote>
  <w:footnote w:id="73">
    <w:p>
      <w:pPr>
        <w:bidi/>
        <w:spacing w:after="60"/>
        <w:jc w:val="both"/>
      </w:pPr>
      <w:r>
        <w:rPr>
          <w:rStyle w:val="FootnoteReference"/>
        </w:rPr>
        <w:footnoteRef/>
      </w:r>
      <w:r>
        <w:rPr>
          <w:rFonts w:ascii="David" w:cs="David" w:eastAsia="David" w:hAnsi="David"/>
          <w:noProof/>
          <w:sz w:val="20"/>
          <w:szCs w:val="20"/>
          <w:rtl/>
        </w:rPr>
        <w:t xml:space="preserve">השוו עניין </w:t>
      </w:r>
      <w:r>
        <w:rPr>
          <w:rFonts w:ascii="David" w:cs="David" w:eastAsia="David" w:hAnsi="David"/>
          <w:b/>
          <w:bCs/>
          <w:noProof/>
          <w:sz w:val="20"/>
          <w:szCs w:val="20"/>
          <w:rtl/>
        </w:rPr>
        <w:t xml:space="preserve">צימבלר</w:t>
      </w:r>
      <w:r>
        <w:rPr>
          <w:rFonts w:ascii="David" w:cs="David" w:eastAsia="David" w:hAnsi="David"/>
          <w:noProof/>
          <w:sz w:val="20"/>
          <w:szCs w:val="20"/>
          <w:rtl/>
        </w:rPr>
        <w:t xml:space="preserve">, </w:t>
      </w:r>
      <w:r>
        <w:rPr>
          <w:rFonts w:ascii="David" w:cs="David" w:eastAsia="David" w:hAnsi="David"/>
          <w:noProof/>
          <w:sz w:val="20"/>
          <w:szCs w:val="20"/>
          <w:rtl/>
        </w:rPr>
        <w:t xml:space="preserve">לעיל ה"ש 31</w:t>
      </w:r>
      <w:r>
        <w:rPr>
          <w:rFonts w:ascii="David" w:cs="David" w:eastAsia="David" w:hAnsi="David"/>
          <w:noProof/>
          <w:sz w:val="20"/>
          <w:szCs w:val="20"/>
          <w:rtl/>
        </w:rPr>
        <w:t xml:space="preserve">, שבו לא נזקפה ההתנהלות הבלתי פורמלית רבת-השנים לחובת הרוכשת.</w:t>
      </w:r>
    </w:p>
  </w:footnote>
  <w:footnote w:id="74">
    <w:p>
      <w:pPr>
        <w:bidi/>
        <w:spacing w:after="60"/>
        <w:jc w:val="both"/>
      </w:pPr>
      <w:r>
        <w:rPr>
          <w:rStyle w:val="FootnoteReference"/>
        </w:rPr>
        <w:footnoteRef/>
      </w:r>
      <w:r>
        <w:rPr>
          <w:rFonts w:ascii="David" w:cs="David" w:eastAsia="David" w:hAnsi="David"/>
          <w:noProof/>
          <w:sz w:val="20"/>
          <w:szCs w:val="20"/>
          <w:rtl/>
        </w:rPr>
        <w:t xml:space="preserve">תופעה מקבילה קיימת גם במשפט העברי, שבו נקנית קרקע בכסף, בשטר או בחזקה בלא דרישת רישום; מפאת קוצר היריעה לא יורחב הדיון בשיטה זו. ראו "חוזים על פי דיני התורה" </w:t>
      </w:r>
      <w:r>
        <w:rPr>
          <w:rFonts w:ascii="David" w:cs="David" w:eastAsia="David" w:hAnsi="David"/>
          <w:b/>
          <w:bCs/>
          <w:noProof/>
          <w:sz w:val="20"/>
          <w:szCs w:val="20"/>
          <w:rtl/>
        </w:rPr>
        <w:t xml:space="preserve">כתר</w:t>
      </w:r>
      <w:r>
        <w:rPr>
          <w:rFonts w:ascii="David" w:cs="David" w:eastAsia="David" w:hAnsi="David"/>
          <w:noProof/>
          <w:sz w:val="20"/>
          <w:szCs w:val="20"/>
          <w:rtl/>
        </w:rPr>
        <w:t xml:space="preserve"> א 71–75 (התשנ"ו).</w:t>
      </w:r>
    </w:p>
  </w:footnote>
  <w:footnote w:id="75">
    <w:p>
      <w:pPr>
        <w:bidi/>
        <w:spacing w:after="60"/>
        <w:jc w:val="both"/>
      </w:pPr>
      <w:r>
        <w:rPr>
          <w:rStyle w:val="FootnoteReference"/>
        </w:rPr>
        <w:footnoteRef/>
      </w:r>
      <w:r>
        <w:rPr>
          <w:rFonts w:ascii="Times New Roman" w:cs="Times New Roman" w:eastAsia="Times New Roman" w:hAnsi="Times New Roman"/>
          <w:noProof/>
          <w:sz w:val="20"/>
          <w:szCs w:val="20"/>
        </w:rPr>
        <w:t xml:space="preserve">Lysaght v Edwards (1876) 2 Ch D 499 (Ch); Walsh v Lonsdale (1882) 21 Ch D 9 (CA)</w:t>
      </w:r>
      <w:r>
        <w:rPr>
          <w:rFonts w:ascii="David" w:cs="David" w:eastAsia="David" w:hAnsi="David"/>
          <w:noProof/>
          <w:sz w:val="20"/>
          <w:szCs w:val="20"/>
          <w:rtl/>
        </w:rPr>
        <w:t xml:space="preserve">. הבעלות שביושר קמה רק מקום שהחוזה ניתן לאכיפה בעין.</w:t>
      </w:r>
    </w:p>
  </w:footnote>
  <w:footnote w:id="76">
    <w:p>
      <w:pPr>
        <w:bidi/>
        <w:spacing w:after="60"/>
        <w:jc w:val="both"/>
      </w:pPr>
      <w:r>
        <w:rPr>
          <w:rStyle w:val="FootnoteReference"/>
        </w:rPr>
        <w:footnoteRef/>
      </w:r>
      <w:r>
        <w:rPr>
          <w:rFonts w:ascii="David" w:cs="David" w:eastAsia="David" w:hAnsi="David"/>
          <w:noProof/>
          <w:sz w:val="20"/>
          <w:szCs w:val="20"/>
          <w:rtl/>
        </w:rPr>
        <w:t xml:space="preserve">ס׳ 161 לחוק המקרקעין; עניין </w:t>
      </w:r>
      <w:r>
        <w:rPr>
          <w:rFonts w:ascii="David" w:cs="David" w:eastAsia="David" w:hAnsi="David"/>
          <w:b/>
          <w:bCs/>
          <w:noProof/>
          <w:sz w:val="20"/>
          <w:szCs w:val="20"/>
          <w:rtl/>
        </w:rPr>
        <w:t xml:space="preserve">אהרונוב</w:t>
      </w:r>
      <w:r>
        <w:rPr>
          <w:rFonts w:ascii="David" w:cs="David" w:eastAsia="David" w:hAnsi="David"/>
          <w:noProof/>
          <w:sz w:val="20"/>
          <w:szCs w:val="20"/>
          <w:rtl/>
        </w:rPr>
        <w:t xml:space="preserve">, </w:t>
      </w:r>
      <w:r>
        <w:rPr>
          <w:rFonts w:ascii="David" w:cs="David" w:eastAsia="David" w:hAnsi="David"/>
          <w:noProof/>
          <w:sz w:val="20"/>
          <w:szCs w:val="20"/>
          <w:rtl/>
        </w:rPr>
        <w:t xml:space="preserve">לעיל ה"ש 24</w:t>
      </w:r>
      <w:r>
        <w:rPr>
          <w:rFonts w:ascii="David" w:cs="David" w:eastAsia="David" w:hAnsi="David"/>
          <w:noProof/>
          <w:sz w:val="20"/>
          <w:szCs w:val="20"/>
          <w:rtl/>
        </w:rPr>
        <w:t xml:space="preserve">.</w:t>
      </w:r>
    </w:p>
  </w:footnote>
  <w:footnote w:id="77">
    <w:p>
      <w:pPr>
        <w:bidi/>
        <w:spacing w:after="60"/>
        <w:jc w:val="both"/>
      </w:pPr>
      <w:r>
        <w:rPr>
          <w:rStyle w:val="FootnoteReference"/>
        </w:rPr>
        <w:footnoteRef/>
      </w:r>
      <w:r>
        <w:rPr>
          <w:rFonts w:ascii="Times New Roman" w:cs="Times New Roman" w:eastAsia="Times New Roman" w:hAnsi="Times New Roman"/>
          <w:noProof/>
          <w:sz w:val="20"/>
          <w:szCs w:val="20"/>
        </w:rPr>
        <w:t xml:space="preserve">Land Registration Act 2002, c. 9, § 27, sch. 3, para. 2; Williams &amp; Glyn’s Bank Ltd v Boland [1981] AC 487 (HL)</w:t>
      </w:r>
      <w:r>
        <w:rPr>
          <w:rFonts w:ascii="David" w:cs="David" w:eastAsia="David" w:hAnsi="David"/>
          <w:noProof/>
          <w:sz w:val="20"/>
          <w:szCs w:val="20"/>
          <w:rtl/>
        </w:rPr>
        <w:t xml:space="preserve">.</w:t>
      </w:r>
    </w:p>
  </w:footnote>
  <w:footnote w:id="78">
    <w:p>
      <w:pPr>
        <w:bidi/>
        <w:spacing w:after="60"/>
        <w:jc w:val="both"/>
      </w:pPr>
      <w:r>
        <w:rPr>
          <w:rStyle w:val="FootnoteReference"/>
        </w:rPr>
        <w:footnoteRef/>
      </w:r>
      <w:r>
        <w:rPr>
          <w:rFonts w:ascii="Times New Roman" w:cs="Times New Roman" w:eastAsia="Times New Roman" w:hAnsi="Times New Roman"/>
          <w:noProof/>
          <w:sz w:val="20"/>
          <w:szCs w:val="20"/>
        </w:rPr>
        <w:t xml:space="preserve">Land Registration Act 2002, c. 9, sch. 8</w:t>
      </w:r>
      <w:r>
        <w:rPr>
          <w:rFonts w:ascii="David" w:cs="David" w:eastAsia="David" w:hAnsi="David"/>
          <w:noProof/>
          <w:sz w:val="20"/>
          <w:szCs w:val="20"/>
          <w:rtl/>
        </w:rPr>
        <w:t xml:space="preserve">; </w:t>
      </w:r>
      <w:r>
        <w:rPr>
          <w:rFonts w:ascii="Times New Roman" w:cs="Times New Roman" w:eastAsia="Times New Roman" w:hAnsi="Times New Roman"/>
          <w:noProof/>
          <w:sz w:val="20"/>
          <w:szCs w:val="20"/>
        </w:rPr>
        <w:t xml:space="preserve">Chris Bevan, </w:t>
      </w:r>
      <w:r>
        <w:rPr>
          <w:rFonts w:ascii="Times New Roman" w:cs="Times New Roman" w:eastAsia="Times New Roman" w:hAnsi="Times New Roman"/>
          <w:i/>
          <w:iCs/>
          <w:noProof/>
          <w:sz w:val="20"/>
          <w:szCs w:val="20"/>
        </w:rPr>
        <w:t xml:space="preserve">Overriding Interests under the Land Registration Act 2002: Time to Repair the ‘Cracked Mirror’?</w:t>
      </w:r>
      <w:r>
        <w:rPr>
          <w:rFonts w:ascii="Times New Roman" w:cs="Times New Roman" w:eastAsia="Times New Roman" w:hAnsi="Times New Roman"/>
          <w:noProof/>
          <w:sz w:val="20"/>
          <w:szCs w:val="20"/>
        </w:rPr>
        <w:t xml:space="preserve"> [2024] </w:t>
      </w:r>
      <w:r>
        <w:rPr>
          <w:rFonts w:ascii="Times New Roman" w:cs="Times New Roman" w:eastAsia="Times New Roman" w:hAnsi="Times New Roman"/>
          <w:smallCaps/>
          <w:noProof/>
          <w:sz w:val="20"/>
          <w:szCs w:val="20"/>
        </w:rPr>
        <w:t xml:space="preserve">Conv.</w:t>
      </w:r>
      <w:r>
        <w:rPr>
          <w:rFonts w:ascii="Times New Roman" w:cs="Times New Roman" w:eastAsia="Times New Roman" w:hAnsi="Times New Roman"/>
          <w:noProof/>
          <w:sz w:val="20"/>
          <w:szCs w:val="20"/>
        </w:rPr>
        <w:t xml:space="preserve"> 123</w:t>
      </w:r>
      <w:r>
        <w:rPr>
          <w:rFonts w:ascii="David" w:cs="David" w:eastAsia="David" w:hAnsi="David"/>
          <w:noProof/>
          <w:sz w:val="20"/>
          <w:szCs w:val="20"/>
          <w:rtl/>
        </w:rPr>
        <w:t xml:space="preserve">.</w:t>
      </w:r>
    </w:p>
  </w:footnote>
  <w:footnote w:id="79">
    <w:p>
      <w:pPr>
        <w:bidi/>
        <w:spacing w:after="60"/>
        <w:jc w:val="both"/>
      </w:pPr>
      <w:r>
        <w:rPr>
          <w:rStyle w:val="FootnoteReference"/>
        </w:rPr>
        <w:footnoteRef/>
      </w:r>
      <w:r>
        <w:rPr>
          <w:rFonts w:ascii="Times New Roman" w:cs="Times New Roman" w:eastAsia="Times New Roman" w:hAnsi="Times New Roman"/>
          <w:noProof/>
          <w:sz w:val="20"/>
          <w:szCs w:val="20"/>
        </w:rPr>
        <w:t xml:space="preserve">Stack v Dowden [2007] UKHL 17, [2007] 2 AC 432; Jones v Kernott [2011] UKSC 53, [2012] 1 AC 776</w:t>
      </w:r>
      <w:r>
        <w:rPr>
          <w:rFonts w:ascii="David" w:cs="David" w:eastAsia="David" w:hAnsi="David"/>
          <w:noProof/>
          <w:sz w:val="20"/>
          <w:szCs w:val="20"/>
          <w:rtl/>
        </w:rPr>
        <w:t xml:space="preserve">.</w:t>
      </w:r>
    </w:p>
  </w:footnote>
  <w:footnote w:id="80">
    <w:p>
      <w:pPr>
        <w:bidi/>
        <w:spacing w:after="60"/>
        <w:jc w:val="both"/>
      </w:pPr>
      <w:r>
        <w:rPr>
          <w:rStyle w:val="FootnoteReference"/>
        </w:rPr>
        <w:footnoteRef/>
      </w:r>
      <w:r>
        <w:rPr>
          <w:rFonts w:ascii="Times New Roman" w:cs="Times New Roman" w:eastAsia="Times New Roman" w:hAnsi="Times New Roman"/>
          <w:noProof/>
          <w:sz w:val="20"/>
          <w:szCs w:val="20"/>
        </w:rPr>
        <w:t xml:space="preserve">Thorner v Major [2009] UKHL 18, [2009] 1 WLR 776; Guest v Guest [2022] UKSC 27, [2022] 3 WLR 911</w:t>
      </w:r>
      <w:r>
        <w:rPr>
          <w:rFonts w:ascii="David" w:cs="David" w:eastAsia="David" w:hAnsi="David"/>
          <w:noProof/>
          <w:sz w:val="20"/>
          <w:szCs w:val="20"/>
          <w:rtl/>
        </w:rPr>
        <w:t xml:space="preserve">; </w:t>
      </w:r>
      <w:r>
        <w:rPr>
          <w:rFonts w:ascii="Times New Roman" w:cs="Times New Roman" w:eastAsia="Times New Roman" w:hAnsi="Times New Roman"/>
          <w:noProof/>
          <w:sz w:val="20"/>
          <w:szCs w:val="20"/>
        </w:rPr>
        <w:t xml:space="preserve">Brian Sloan, </w:t>
      </w:r>
      <w:r>
        <w:rPr>
          <w:rFonts w:ascii="Times New Roman" w:cs="Times New Roman" w:eastAsia="Times New Roman" w:hAnsi="Times New Roman"/>
          <w:i/>
          <w:iCs/>
          <w:noProof/>
          <w:sz w:val="20"/>
          <w:szCs w:val="20"/>
        </w:rPr>
        <w:t xml:space="preserve">Proprietary Estoppel in the Supreme Court: Banquo’s Ghost?</w:t>
      </w:r>
      <w:r>
        <w:rPr>
          <w:rFonts w:ascii="Times New Roman" w:cs="Times New Roman" w:eastAsia="Times New Roman" w:hAnsi="Times New Roman"/>
          <w:noProof/>
          <w:sz w:val="20"/>
          <w:szCs w:val="20"/>
        </w:rPr>
        <w:t xml:space="preserve">, (2023) 82 </w:t>
      </w:r>
      <w:r>
        <w:rPr>
          <w:rFonts w:ascii="Times New Roman" w:cs="Times New Roman" w:eastAsia="Times New Roman" w:hAnsi="Times New Roman"/>
          <w:smallCaps/>
          <w:noProof/>
          <w:sz w:val="20"/>
          <w:szCs w:val="20"/>
        </w:rPr>
        <w:t xml:space="preserve">CLJ</w:t>
      </w:r>
      <w:r>
        <w:rPr>
          <w:rFonts w:ascii="Times New Roman" w:cs="Times New Roman" w:eastAsia="Times New Roman" w:hAnsi="Times New Roman"/>
          <w:noProof/>
          <w:sz w:val="20"/>
          <w:szCs w:val="20"/>
        </w:rPr>
        <w:t xml:space="preserve"> 13</w:t>
      </w:r>
      <w:r>
        <w:rPr>
          <w:rFonts w:ascii="David" w:cs="David" w:eastAsia="David" w:hAnsi="David"/>
          <w:noProof/>
          <w:sz w:val="20"/>
          <w:szCs w:val="20"/>
          <w:rtl/>
        </w:rPr>
        <w:t xml:space="preserve">.</w:t>
      </w:r>
    </w:p>
  </w:footnote>
  <w:footnote w:id="81">
    <w:p>
      <w:pPr>
        <w:bidi/>
        <w:spacing w:after="60"/>
        <w:jc w:val="both"/>
      </w:pPr>
      <w:r>
        <w:rPr>
          <w:rStyle w:val="FootnoteReference"/>
        </w:rPr>
        <w:footnoteRef/>
      </w:r>
      <w:r>
        <w:rPr>
          <w:rFonts w:ascii="Times New Roman" w:cs="Times New Roman" w:eastAsia="Times New Roman" w:hAnsi="Times New Roman"/>
          <w:noProof/>
          <w:sz w:val="20"/>
          <w:szCs w:val="20"/>
        </w:rPr>
        <w:t xml:space="preserve">Law of Property (Miscellaneous Provisions) Act 1989, c. 34, §§ 1–2; Re Rose [1952] Ch 499 (CA); Pennington v Waine [2002] EWCA Civ 227, [2002] 1 WLR 2075</w:t>
      </w:r>
      <w:r>
        <w:rPr>
          <w:rFonts w:ascii="David" w:cs="David" w:eastAsia="David" w:hAnsi="David"/>
          <w:noProof/>
          <w:sz w:val="20"/>
          <w:szCs w:val="20"/>
          <w:rtl/>
        </w:rPr>
        <w:t xml:space="preserve">; ראבילו, </w:t>
      </w:r>
      <w:r>
        <w:rPr>
          <w:rFonts w:ascii="David" w:cs="David" w:eastAsia="David" w:hAnsi="David"/>
          <w:noProof/>
          <w:sz w:val="20"/>
          <w:szCs w:val="20"/>
          <w:rtl/>
        </w:rPr>
        <w:t xml:space="preserve">לעיל ה"ש 38</w:t>
      </w:r>
      <w:r>
        <w:rPr>
          <w:rFonts w:ascii="David" w:cs="David" w:eastAsia="David" w:hAnsi="David"/>
          <w:noProof/>
          <w:sz w:val="20"/>
          <w:szCs w:val="20"/>
          <w:rtl/>
        </w:rPr>
        <w:t xml:space="preserve">; עניין </w:t>
      </w:r>
      <w:r>
        <w:rPr>
          <w:rFonts w:ascii="David" w:cs="David" w:eastAsia="David" w:hAnsi="David"/>
          <w:b/>
          <w:bCs/>
          <w:noProof/>
          <w:sz w:val="20"/>
          <w:szCs w:val="20"/>
          <w:rtl/>
        </w:rPr>
        <w:t xml:space="preserve">כבהה</w:t>
      </w:r>
      <w:r>
        <w:rPr>
          <w:rFonts w:ascii="David" w:cs="David" w:eastAsia="David" w:hAnsi="David"/>
          <w:noProof/>
          <w:sz w:val="20"/>
          <w:szCs w:val="20"/>
          <w:rtl/>
        </w:rPr>
        <w:t xml:space="preserve">, </w:t>
      </w:r>
      <w:r>
        <w:rPr>
          <w:rFonts w:ascii="David" w:cs="David" w:eastAsia="David" w:hAnsi="David"/>
          <w:noProof/>
          <w:sz w:val="20"/>
          <w:szCs w:val="20"/>
          <w:rtl/>
        </w:rPr>
        <w:t xml:space="preserve">לעיל ה"ש 41</w:t>
      </w:r>
      <w:r>
        <w:rPr>
          <w:rFonts w:ascii="David" w:cs="David" w:eastAsia="David" w:hAnsi="David"/>
          <w:noProof/>
          <w:sz w:val="20"/>
          <w:szCs w:val="20"/>
          <w:rtl/>
        </w:rPr>
        <w:t xml:space="preserve">.</w:t>
      </w:r>
    </w:p>
  </w:footnote>
  <w:footnote w:id="82">
    <w:p>
      <w:pPr>
        <w:bidi/>
        <w:spacing w:after="60"/>
        <w:jc w:val="both"/>
      </w:pPr>
      <w:r>
        <w:rPr>
          <w:rStyle w:val="FootnoteReference"/>
        </w:rPr>
        <w:footnoteRef/>
      </w:r>
      <w:r>
        <w:rPr>
          <w:rFonts w:ascii="Times New Roman" w:cs="Times New Roman" w:eastAsia="Times New Roman" w:hAnsi="Times New Roman"/>
          <w:noProof/>
          <w:sz w:val="20"/>
          <w:szCs w:val="20"/>
        </w:rPr>
        <w:t xml:space="preserve">Powers of Attorney Act 1971, c. 27, § 4</w:t>
      </w:r>
      <w:r>
        <w:rPr>
          <w:rFonts w:ascii="David" w:cs="David" w:eastAsia="David" w:hAnsi="David"/>
          <w:noProof/>
          <w:sz w:val="20"/>
          <w:szCs w:val="20"/>
          <w:rtl/>
        </w:rPr>
        <w:t xml:space="preserve">. זהו המקור ההיסטורי של ס׳ 14(ב) לחוק השליחות; ברק, </w:t>
      </w:r>
      <w:r>
        <w:rPr>
          <w:rFonts w:ascii="David" w:cs="David" w:eastAsia="David" w:hAnsi="David"/>
          <w:noProof/>
          <w:sz w:val="20"/>
          <w:szCs w:val="20"/>
          <w:rtl/>
        </w:rPr>
        <w:t xml:space="preserve">לעיל ה"ש 30</w:t>
      </w:r>
      <w:r>
        <w:rPr>
          <w:rFonts w:ascii="David" w:cs="David" w:eastAsia="David" w:hAnsi="David"/>
          <w:noProof/>
          <w:sz w:val="20"/>
          <w:szCs w:val="20"/>
          <w:rtl/>
        </w:rPr>
        <w:t xml:space="preserve">, בעמ׳ 1243.</w:t>
      </w:r>
    </w:p>
  </w:footnote>
  <w:footnote w:id="83">
    <w:p>
      <w:pPr>
        <w:bidi/>
        <w:spacing w:after="60"/>
        <w:jc w:val="both"/>
      </w:pPr>
      <w:r>
        <w:rPr>
          <w:rStyle w:val="FootnoteReference"/>
        </w:rPr>
        <w:footnoteRef/>
      </w:r>
      <w:r>
        <w:rPr>
          <w:rFonts w:ascii="Times New Roman" w:cs="Times New Roman" w:eastAsia="Times New Roman" w:hAnsi="Times New Roman"/>
          <w:noProof/>
          <w:sz w:val="20"/>
          <w:szCs w:val="20"/>
        </w:rPr>
        <w:t xml:space="preserve">Nadav Shoked, </w:t>
      </w:r>
      <w:r>
        <w:rPr>
          <w:rFonts w:ascii="Times New Roman" w:cs="Times New Roman" w:eastAsia="Times New Roman" w:hAnsi="Times New Roman"/>
          <w:i/>
          <w:iCs/>
          <w:noProof/>
          <w:sz w:val="20"/>
          <w:szCs w:val="20"/>
        </w:rPr>
        <w:t xml:space="preserve">Who Needs Adverse Possession?</w:t>
      </w:r>
      <w:r>
        <w:rPr>
          <w:rFonts w:ascii="Times New Roman" w:cs="Times New Roman" w:eastAsia="Times New Roman" w:hAnsi="Times New Roman"/>
          <w:noProof/>
          <w:sz w:val="20"/>
          <w:szCs w:val="20"/>
        </w:rPr>
        <w:t xml:space="preserve">, 89 </w:t>
      </w:r>
      <w:r>
        <w:rPr>
          <w:rFonts w:ascii="Times New Roman" w:cs="Times New Roman" w:eastAsia="Times New Roman" w:hAnsi="Times New Roman"/>
          <w:smallCaps/>
          <w:noProof/>
          <w:sz w:val="20"/>
          <w:szCs w:val="20"/>
        </w:rPr>
        <w:t xml:space="preserve">Fordham L. Rev.</w:t>
      </w:r>
      <w:r>
        <w:rPr>
          <w:rFonts w:ascii="Times New Roman" w:cs="Times New Roman" w:eastAsia="Times New Roman" w:hAnsi="Times New Roman"/>
          <w:noProof/>
          <w:sz w:val="20"/>
          <w:szCs w:val="20"/>
        </w:rPr>
        <w:t xml:space="preserve"> 2639 (2021)</w:t>
      </w:r>
      <w:r>
        <w:rPr>
          <w:rFonts w:ascii="David" w:cs="David" w:eastAsia="David" w:hAnsi="David"/>
          <w:noProof/>
          <w:sz w:val="20"/>
          <w:szCs w:val="20"/>
          <w:rtl/>
        </w:rPr>
        <w:t xml:space="preserve">.</w:t>
      </w:r>
    </w:p>
  </w:footnote>
  <w:footnote w:id="84">
    <w:p>
      <w:pPr>
        <w:bidi/>
        <w:spacing w:after="60"/>
        <w:jc w:val="both"/>
      </w:pPr>
      <w:r>
        <w:rPr>
          <w:rStyle w:val="FootnoteReference"/>
        </w:rPr>
        <w:footnoteRef/>
      </w:r>
      <w:r>
        <w:rPr>
          <w:rFonts w:ascii="David" w:cs="David" w:eastAsia="David" w:hAnsi="David"/>
          <w:noProof/>
          <w:sz w:val="20"/>
          <w:szCs w:val="20"/>
          <w:rtl/>
        </w:rPr>
        <w:t xml:space="preserve">ס׳ 418 ו-934 לקוד האזרחי המצרי (חוק מס׳ 131 לשנת 1948); ס׳ 9 לחוק ארגון הפומביות המקרקעית, חוק מס׳ 114 לשנת 1946. במצרים פועלות במקביל שתי שיטות רישום: רישום שטרות פרסונלי לפי חוק 114/1946, החולש על מרבית המדינה, ורישום זכויות קדסטרלי לפי חוק מס׳ 142 לשנת 1964.</w:t>
      </w:r>
    </w:p>
  </w:footnote>
  <w:footnote w:id="85">
    <w:p>
      <w:pPr>
        <w:bidi/>
        <w:spacing w:after="60"/>
        <w:jc w:val="both"/>
      </w:pPr>
      <w:r>
        <w:rPr>
          <w:rStyle w:val="FootnoteReference"/>
        </w:rPr>
        <w:footnoteRef/>
      </w:r>
      <w:r>
        <w:rPr>
          <w:rFonts w:ascii="Times New Roman" w:cs="Times New Roman" w:eastAsia="Times New Roman" w:hAnsi="Times New Roman"/>
          <w:i/>
          <w:iCs/>
          <w:noProof/>
          <w:sz w:val="20"/>
          <w:szCs w:val="20"/>
        </w:rPr>
        <w:t xml:space="preserve">More than 90% of Egypt’s Properties Are Unregistered: Justice Minister</w:t>
      </w:r>
      <w:r>
        <w:rPr>
          <w:rFonts w:ascii="Times New Roman" w:cs="Times New Roman" w:eastAsia="Times New Roman" w:hAnsi="Times New Roman"/>
          <w:noProof/>
          <w:sz w:val="20"/>
          <w:szCs w:val="20"/>
        </w:rPr>
        <w:t xml:space="preserve">, </w:t>
      </w:r>
      <w:r>
        <w:rPr>
          <w:rFonts w:ascii="Times New Roman" w:cs="Times New Roman" w:eastAsia="Times New Roman" w:hAnsi="Times New Roman"/>
          <w:smallCaps/>
          <w:noProof/>
          <w:sz w:val="20"/>
          <w:szCs w:val="20"/>
        </w:rPr>
        <w:t xml:space="preserve">Daily News Egypt</w:t>
      </w:r>
      <w:r>
        <w:rPr>
          <w:rFonts w:ascii="Times New Roman" w:cs="Times New Roman" w:eastAsia="Times New Roman" w:hAnsi="Times New Roman"/>
          <w:noProof/>
          <w:sz w:val="20"/>
          <w:szCs w:val="20"/>
        </w:rPr>
        <w:t xml:space="preserve"> (Feb. 14, 2022); </w:t>
      </w:r>
      <w:r>
        <w:rPr>
          <w:rFonts w:ascii="Times New Roman" w:cs="Times New Roman" w:eastAsia="Times New Roman" w:hAnsi="Times New Roman"/>
          <w:i/>
          <w:iCs/>
          <w:noProof/>
          <w:sz w:val="20"/>
          <w:szCs w:val="20"/>
        </w:rPr>
        <w:t xml:space="preserve">Egypt’s Property Registration Rate Remains Below 10%…: World Bank</w:t>
      </w:r>
      <w:r>
        <w:rPr>
          <w:rFonts w:ascii="Times New Roman" w:cs="Times New Roman" w:eastAsia="Times New Roman" w:hAnsi="Times New Roman"/>
          <w:noProof/>
          <w:sz w:val="20"/>
          <w:szCs w:val="20"/>
        </w:rPr>
        <w:t xml:space="preserve">, </w:t>
      </w:r>
      <w:r>
        <w:rPr>
          <w:rFonts w:ascii="Times New Roman" w:cs="Times New Roman" w:eastAsia="Times New Roman" w:hAnsi="Times New Roman"/>
          <w:smallCaps/>
          <w:noProof/>
          <w:sz w:val="20"/>
          <w:szCs w:val="20"/>
        </w:rPr>
        <w:t xml:space="preserve">Daily News Egypt</w:t>
      </w:r>
      <w:r>
        <w:rPr>
          <w:rFonts w:ascii="Times New Roman" w:cs="Times New Roman" w:eastAsia="Times New Roman" w:hAnsi="Times New Roman"/>
          <w:noProof/>
          <w:sz w:val="20"/>
          <w:szCs w:val="20"/>
        </w:rPr>
        <w:t xml:space="preserve"> (July 5, 2026)</w:t>
      </w:r>
      <w:r>
        <w:rPr>
          <w:rFonts w:ascii="David" w:cs="David" w:eastAsia="David" w:hAnsi="David"/>
          <w:noProof/>
          <w:sz w:val="20"/>
          <w:szCs w:val="20"/>
          <w:rtl/>
        </w:rPr>
        <w:t xml:space="preserve">. הרנדו דה-סוטו ביסס על מצרים את מחקר "ההון המת": </w:t>
      </w:r>
      <w:r>
        <w:rPr>
          <w:rFonts w:ascii="David" w:cs="David" w:eastAsia="David" w:hAnsi="David"/>
          <w:noProof/>
          <w:sz w:val="20"/>
          <w:szCs w:val="20"/>
          <w:rtl/>
        </w:rPr>
        <w:t xml:space="preserve">לעיל ה"ש 72</w:t>
      </w:r>
      <w:r>
        <w:rPr>
          <w:rFonts w:ascii="David" w:cs="David" w:eastAsia="David" w:hAnsi="David"/>
          <w:noProof/>
          <w:sz w:val="20"/>
          <w:szCs w:val="20"/>
          <w:rtl/>
        </w:rPr>
        <w:t xml:space="preserve">.</w:t>
      </w:r>
    </w:p>
  </w:footnote>
  <w:footnote w:id="86">
    <w:p>
      <w:pPr>
        <w:bidi/>
        <w:spacing w:after="60"/>
        <w:jc w:val="both"/>
      </w:pPr>
      <w:r>
        <w:rPr>
          <w:rStyle w:val="FootnoteReference"/>
        </w:rPr>
        <w:footnoteRef/>
      </w:r>
      <w:r>
        <w:rPr>
          <w:rFonts w:ascii="Times New Roman" w:cs="Times New Roman" w:eastAsia="Times New Roman" w:hAnsi="Times New Roman"/>
          <w:noProof/>
          <w:sz w:val="20"/>
          <w:szCs w:val="20"/>
        </w:rPr>
        <w:t xml:space="preserve">David Sims, </w:t>
      </w:r>
      <w:r>
        <w:rPr>
          <w:rFonts w:ascii="Times New Roman" w:cs="Times New Roman" w:eastAsia="Times New Roman" w:hAnsi="Times New Roman"/>
          <w:i/>
          <w:iCs/>
          <w:noProof/>
          <w:sz w:val="20"/>
          <w:szCs w:val="20"/>
        </w:rPr>
        <w:t xml:space="preserve">Securing Land Tenure in Egypt: Who Needs Registered Titles?</w:t>
      </w:r>
      <w:r>
        <w:rPr>
          <w:rFonts w:ascii="Times New Roman" w:cs="Times New Roman" w:eastAsia="Times New Roman" w:hAnsi="Times New Roman"/>
          <w:noProof/>
          <w:sz w:val="20"/>
          <w:szCs w:val="20"/>
        </w:rPr>
        <w:t xml:space="preserve">, </w:t>
      </w:r>
      <w:r>
        <w:rPr>
          <w:rFonts w:ascii="Times New Roman" w:cs="Times New Roman" w:eastAsia="Times New Roman" w:hAnsi="Times New Roman"/>
          <w:smallCaps/>
          <w:noProof/>
          <w:sz w:val="20"/>
          <w:szCs w:val="20"/>
        </w:rPr>
        <w:t xml:space="preserve">Metropolitics</w:t>
      </w:r>
      <w:r>
        <w:rPr>
          <w:rFonts w:ascii="Times New Roman" w:cs="Times New Roman" w:eastAsia="Times New Roman" w:hAnsi="Times New Roman"/>
          <w:noProof/>
          <w:sz w:val="20"/>
          <w:szCs w:val="20"/>
        </w:rPr>
        <w:t xml:space="preserve"> (June 14, 2016)</w:t>
      </w:r>
      <w:r>
        <w:rPr>
          <w:rFonts w:ascii="David" w:cs="David" w:eastAsia="David" w:hAnsi="David"/>
          <w:noProof/>
          <w:sz w:val="20"/>
          <w:szCs w:val="20"/>
          <w:rtl/>
        </w:rPr>
        <w:t xml:space="preserve">.</w:t>
      </w:r>
    </w:p>
  </w:footnote>
  <w:footnote w:id="87">
    <w:p>
      <w:pPr>
        <w:bidi/>
        <w:spacing w:after="60"/>
        <w:jc w:val="both"/>
      </w:pPr>
      <w:r>
        <w:rPr>
          <w:rStyle w:val="FootnoteReference"/>
        </w:rPr>
        <w:footnoteRef/>
      </w:r>
      <w:r>
        <w:rPr>
          <w:rFonts w:ascii="David" w:cs="David" w:eastAsia="David" w:hAnsi="David"/>
          <w:noProof/>
          <w:sz w:val="20"/>
          <w:szCs w:val="20"/>
          <w:rtl/>
        </w:rPr>
        <w:t xml:space="preserve">ס׳ 714–715 לקוד האזרחי המצרי. בית המשפט החוקתי העליון שב ואישר בשנת 2021 כי ייפוי כוח כזה אינו ניתן לביטול חד-צדדי; ואולם ס׳ 714 מורה כי השליחות פוקעת במות השולח, נקודת תורפה מרכזית שפסיקת בית המשפט לקסאציה בעניינה אינה אחידה.</w:t>
      </w:r>
    </w:p>
  </w:footnote>
  <w:footnote w:id="88">
    <w:p>
      <w:pPr>
        <w:bidi/>
        <w:spacing w:after="60"/>
        <w:jc w:val="both"/>
      </w:pPr>
      <w:r>
        <w:rPr>
          <w:rStyle w:val="FootnoteReference"/>
        </w:rPr>
        <w:footnoteRef/>
      </w:r>
      <w:r>
        <w:rPr>
          <w:rFonts w:ascii="David" w:cs="David" w:eastAsia="David" w:hAnsi="David"/>
          <w:noProof/>
          <w:sz w:val="20"/>
          <w:szCs w:val="20"/>
          <w:rtl/>
        </w:rPr>
        <w:t xml:space="preserve">לתביעות אלה ולפרקטיקה ראו </w:t>
      </w:r>
      <w:r>
        <w:rPr>
          <w:rFonts w:ascii="Times New Roman" w:cs="Times New Roman" w:eastAsia="Times New Roman" w:hAnsi="Times New Roman"/>
          <w:noProof/>
          <w:sz w:val="20"/>
          <w:szCs w:val="20"/>
        </w:rPr>
        <w:t xml:space="preserve">Sims</w:t>
      </w:r>
      <w:r>
        <w:rPr>
          <w:rFonts w:ascii="David" w:cs="David" w:eastAsia="David" w:hAnsi="David"/>
          <w:noProof/>
          <w:sz w:val="20"/>
          <w:szCs w:val="20"/>
          <w:rtl/>
        </w:rPr>
        <w:t xml:space="preserve">, </w:t>
      </w:r>
      <w:r>
        <w:rPr>
          <w:rFonts w:ascii="David" w:cs="David" w:eastAsia="David" w:hAnsi="David"/>
          <w:noProof/>
          <w:sz w:val="20"/>
          <w:szCs w:val="20"/>
          <w:rtl/>
        </w:rPr>
        <w:t xml:space="preserve">לעיל ה"ש 86</w:t>
      </w:r>
      <w:r>
        <w:rPr>
          <w:rFonts w:ascii="David" w:cs="David" w:eastAsia="David" w:hAnsi="David"/>
          <w:noProof/>
          <w:sz w:val="20"/>
          <w:szCs w:val="20"/>
          <w:rtl/>
        </w:rPr>
        <w:t xml:space="preserve">.</w:t>
      </w:r>
    </w:p>
  </w:footnote>
  <w:footnote w:id="89">
    <w:p>
      <w:pPr>
        <w:bidi/>
        <w:spacing w:after="60"/>
        <w:jc w:val="both"/>
      </w:pPr>
      <w:r>
        <w:rPr>
          <w:rStyle w:val="FootnoteReference"/>
        </w:rPr>
        <w:footnoteRef/>
      </w:r>
      <w:r>
        <w:rPr>
          <w:rFonts w:ascii="David" w:cs="David" w:eastAsia="David" w:hAnsi="David"/>
          <w:noProof/>
          <w:sz w:val="20"/>
          <w:szCs w:val="20"/>
          <w:rtl/>
        </w:rPr>
        <w:t xml:space="preserve">ס׳ 968–969 לקוד האזרחי המצרי. הפרקטיקה דנה בכך תחת הכותרת "וַצְ׳ע אל-יַד" (הנחת היד). ס׳ 970, כפי שתוקן בחוק מס׳ 55 לשנת 1970, שולל רכישה בהתיישנות של נכסי המדינה, תאגידים ציבוריים והקדשים.</w:t>
      </w:r>
    </w:p>
  </w:footnote>
  <w:footnote w:id="90">
    <w:p>
      <w:pPr>
        <w:bidi/>
        <w:spacing w:after="60"/>
        <w:jc w:val="both"/>
      </w:pPr>
      <w:r>
        <w:rPr>
          <w:rStyle w:val="FootnoteReference"/>
        </w:rPr>
        <w:footnoteRef/>
      </w:r>
      <w:r>
        <w:rPr>
          <w:rFonts w:ascii="David" w:cs="David" w:eastAsia="David" w:hAnsi="David"/>
          <w:noProof/>
          <w:sz w:val="20"/>
          <w:szCs w:val="20"/>
          <w:rtl/>
        </w:rPr>
        <w:t xml:space="preserve">להשוואה בין שיטות הרישום להתיישנות רוכשת ראו </w:t>
      </w:r>
      <w:r>
        <w:rPr>
          <w:rFonts w:ascii="Times New Roman" w:cs="Times New Roman" w:eastAsia="Times New Roman" w:hAnsi="Times New Roman"/>
          <w:noProof/>
          <w:sz w:val="20"/>
          <w:szCs w:val="20"/>
        </w:rPr>
        <w:t xml:space="preserve">Shoked</w:t>
      </w:r>
      <w:r>
        <w:rPr>
          <w:rFonts w:ascii="David" w:cs="David" w:eastAsia="David" w:hAnsi="David"/>
          <w:noProof/>
          <w:sz w:val="20"/>
          <w:szCs w:val="20"/>
          <w:rtl/>
        </w:rPr>
        <w:t xml:space="preserve">, </w:t>
      </w:r>
      <w:r>
        <w:rPr>
          <w:rFonts w:ascii="David" w:cs="David" w:eastAsia="David" w:hAnsi="David"/>
          <w:noProof/>
          <w:sz w:val="20"/>
          <w:szCs w:val="20"/>
          <w:rtl/>
        </w:rPr>
        <w:t xml:space="preserve">לעיל ה"ש 83</w:t>
      </w:r>
      <w:r>
        <w:rPr>
          <w:rFonts w:ascii="David" w:cs="David" w:eastAsia="David" w:hAnsi="David"/>
          <w:noProof/>
          <w:sz w:val="20"/>
          <w:szCs w:val="20"/>
          <w:rtl/>
        </w:rPr>
        <w:t xml:space="preserve">; ולאופייה הדיוני של ההתיישנות הישראלית ראו לעיל פרק ג.6.</w:t>
      </w:r>
    </w:p>
  </w:footnote>
  <w:footnote w:id="91">
    <w:p>
      <w:pPr>
        <w:bidi/>
        <w:spacing w:after="60"/>
        <w:jc w:val="both"/>
      </w:pPr>
      <w:r>
        <w:rPr>
          <w:rStyle w:val="FootnoteReference"/>
        </w:rPr>
        <w:footnoteRef/>
      </w:r>
      <w:r>
        <w:rPr>
          <w:rFonts w:ascii="Times New Roman" w:cs="Times New Roman" w:eastAsia="Times New Roman" w:hAnsi="Times New Roman"/>
          <w:i/>
          <w:iCs/>
          <w:noProof/>
          <w:sz w:val="20"/>
          <w:szCs w:val="20"/>
        </w:rPr>
        <w:t xml:space="preserve">Sisi Orders Delaying Implementation of Controversial Real Estate Law for 2 Years</w:t>
      </w:r>
      <w:r>
        <w:rPr>
          <w:rFonts w:ascii="Times New Roman" w:cs="Times New Roman" w:eastAsia="Times New Roman" w:hAnsi="Times New Roman"/>
          <w:noProof/>
          <w:sz w:val="20"/>
          <w:szCs w:val="20"/>
        </w:rPr>
        <w:t xml:space="preserve">, </w:t>
      </w:r>
      <w:r>
        <w:rPr>
          <w:rFonts w:ascii="Times New Roman" w:cs="Times New Roman" w:eastAsia="Times New Roman" w:hAnsi="Times New Roman"/>
          <w:smallCaps/>
          <w:noProof/>
          <w:sz w:val="20"/>
          <w:szCs w:val="20"/>
        </w:rPr>
        <w:t xml:space="preserve">Ahram Online</w:t>
      </w:r>
      <w:r>
        <w:rPr>
          <w:rFonts w:ascii="Times New Roman" w:cs="Times New Roman" w:eastAsia="Times New Roman" w:hAnsi="Times New Roman"/>
          <w:noProof/>
          <w:sz w:val="20"/>
          <w:szCs w:val="20"/>
        </w:rPr>
        <w:t xml:space="preserve"> (Feb. 28, 2021)</w:t>
      </w:r>
      <w:r>
        <w:rPr>
          <w:rFonts w:ascii="David" w:cs="David" w:eastAsia="David" w:hAnsi="David"/>
          <w:noProof/>
          <w:sz w:val="20"/>
          <w:szCs w:val="20"/>
          <w:rtl/>
        </w:rPr>
        <w:t xml:space="preserve">; חוק מס׳ 9 לשנת 2022 (מצרים), המתקן את חוק מס׳ 114 לשנת 1946; </w:t>
      </w:r>
      <w:r>
        <w:rPr>
          <w:rFonts w:ascii="Times New Roman" w:cs="Times New Roman" w:eastAsia="Times New Roman" w:hAnsi="Times New Roman"/>
          <w:noProof/>
          <w:sz w:val="20"/>
          <w:szCs w:val="20"/>
        </w:rPr>
        <w:t xml:space="preserve">Shalakany Law Office, </w:t>
      </w:r>
      <w:r>
        <w:rPr>
          <w:rFonts w:ascii="Times New Roman" w:cs="Times New Roman" w:eastAsia="Times New Roman" w:hAnsi="Times New Roman"/>
          <w:i/>
          <w:iCs/>
          <w:noProof/>
          <w:sz w:val="20"/>
          <w:szCs w:val="20"/>
        </w:rPr>
        <w:t xml:space="preserve">New Amendments to Real Estate Registration Law</w:t>
      </w:r>
      <w:r>
        <w:rPr>
          <w:rFonts w:ascii="Times New Roman" w:cs="Times New Roman" w:eastAsia="Times New Roman" w:hAnsi="Times New Roman"/>
          <w:noProof/>
          <w:sz w:val="20"/>
          <w:szCs w:val="20"/>
        </w:rPr>
        <w:t xml:space="preserve"> (2022)</w:t>
      </w:r>
      <w:r>
        <w:rPr>
          <w:rFonts w:ascii="David" w:cs="David" w:eastAsia="David" w:hAnsi="David"/>
          <w:noProof/>
          <w:sz w:val="20"/>
          <w:szCs w:val="20"/>
          <w:rtl/>
        </w:rPr>
        <w:t xml:space="preserve">. להערכה מסויגת של רפורמות רישום כפתרון כולל ראו </w:t>
      </w:r>
      <w:r>
        <w:rPr>
          <w:rFonts w:ascii="Times New Roman" w:cs="Times New Roman" w:eastAsia="Times New Roman" w:hAnsi="Times New Roman"/>
          <w:noProof/>
          <w:sz w:val="20"/>
          <w:szCs w:val="20"/>
        </w:rPr>
        <w:t xml:space="preserve">Kareem Ibrahim &amp; Deena Khalil, </w:t>
      </w:r>
      <w:r>
        <w:rPr>
          <w:rFonts w:ascii="Times New Roman" w:cs="Times New Roman" w:eastAsia="Times New Roman" w:hAnsi="Times New Roman"/>
          <w:i/>
          <w:iCs/>
          <w:noProof/>
          <w:sz w:val="20"/>
          <w:szCs w:val="20"/>
        </w:rPr>
        <w:t xml:space="preserve">Land Titling: A Tool, not a Panacea</w:t>
      </w:r>
      <w:r>
        <w:rPr>
          <w:rFonts w:ascii="Times New Roman" w:cs="Times New Roman" w:eastAsia="Times New Roman" w:hAnsi="Times New Roman"/>
          <w:noProof/>
          <w:sz w:val="20"/>
          <w:szCs w:val="20"/>
        </w:rPr>
        <w:t xml:space="preserve">, </w:t>
      </w:r>
      <w:r>
        <w:rPr>
          <w:rFonts w:ascii="Times New Roman" w:cs="Times New Roman" w:eastAsia="Times New Roman" w:hAnsi="Times New Roman"/>
          <w:smallCaps/>
          <w:noProof/>
          <w:sz w:val="20"/>
          <w:szCs w:val="20"/>
        </w:rPr>
        <w:t xml:space="preserve">Metropolitics</w:t>
      </w:r>
      <w:r>
        <w:rPr>
          <w:rFonts w:ascii="Times New Roman" w:cs="Times New Roman" w:eastAsia="Times New Roman" w:hAnsi="Times New Roman"/>
          <w:noProof/>
          <w:sz w:val="20"/>
          <w:szCs w:val="20"/>
        </w:rPr>
        <w:t xml:space="preserve"> (Dec. 20, 2016)</w:t>
      </w:r>
      <w:r>
        <w:rPr>
          <w:rFonts w:ascii="David" w:cs="David" w:eastAsia="David" w:hAnsi="David"/>
          <w:noProof/>
          <w:sz w:val="20"/>
          <w:szCs w:val="20"/>
          <w:rtl/>
        </w:rPr>
        <w:t xml:space="preserve">.</w:t>
      </w:r>
    </w:p>
  </w:footnote>
  <w:footnote w:id="92">
    <w:p>
      <w:pPr>
        <w:bidi/>
        <w:spacing w:after="60"/>
        <w:jc w:val="both"/>
      </w:pPr>
      <w:r>
        <w:rPr>
          <w:rStyle w:val="FootnoteReference"/>
        </w:rPr>
        <w:footnoteRef/>
      </w:r>
      <w:r>
        <w:rPr>
          <w:rFonts w:ascii="David" w:cs="David" w:eastAsia="David" w:hAnsi="David"/>
          <w:noProof/>
          <w:sz w:val="20"/>
          <w:szCs w:val="20"/>
          <w:rtl/>
        </w:rPr>
        <w:t xml:space="preserve">ס׳ 2 לחוקת מצרים (2014); ס׳ 1 לקוד האזרחי המצרי; חוק הירושה המצרי, חוק מס׳ 77 לשנת 1943.</w:t>
      </w:r>
    </w:p>
  </w:footnote>
  <w:footnote w:id="93">
    <w:p>
      <w:pPr>
        <w:bidi/>
        <w:spacing w:after="60"/>
        <w:jc w:val="both"/>
      </w:pPr>
      <w:r>
        <w:rPr>
          <w:rStyle w:val="FootnoteReference"/>
        </w:rPr>
        <w:footnoteRef/>
      </w:r>
      <w:r>
        <w:rPr>
          <w:rFonts w:ascii="David" w:cs="David" w:eastAsia="David" w:hAnsi="David"/>
          <w:noProof/>
          <w:sz w:val="20"/>
          <w:szCs w:val="20"/>
          <w:rtl/>
        </w:rPr>
        <w:t xml:space="preserve">לתרגום האנגלי המקובל ראו </w:t>
      </w:r>
      <w:r>
        <w:rPr>
          <w:rFonts w:ascii="Times New Roman" w:cs="Times New Roman" w:eastAsia="Times New Roman" w:hAnsi="Times New Roman"/>
          <w:smallCaps/>
          <w:noProof/>
          <w:sz w:val="20"/>
          <w:szCs w:val="20"/>
        </w:rPr>
        <w:t xml:space="preserve">C.R. Tyser, D.G. Demetriades &amp; Ismail Haqqi Effendi (trans.), The Mejelle: Being an English Translation of Majallah el-Ahkam-i-Adliya (1901)</w:t>
      </w:r>
      <w:r>
        <w:rPr>
          <w:rFonts w:ascii="David" w:cs="David" w:eastAsia="David" w:hAnsi="David"/>
          <w:noProof/>
          <w:sz w:val="20"/>
          <w:szCs w:val="20"/>
          <w:rtl/>
        </w:rPr>
        <w:t xml:space="preserve">.</w:t>
      </w:r>
    </w:p>
  </w:footnote>
  <w:footnote w:id="94">
    <w:p>
      <w:pPr>
        <w:bidi/>
        <w:spacing w:after="60"/>
        <w:jc w:val="both"/>
      </w:pPr>
      <w:r>
        <w:rPr>
          <w:rStyle w:val="FootnoteReference"/>
        </w:rPr>
        <w:footnoteRef/>
      </w:r>
      <w:r>
        <w:rPr>
          <w:rFonts w:ascii="David" w:cs="David" w:eastAsia="David" w:hAnsi="David"/>
          <w:noProof/>
          <w:sz w:val="20"/>
          <w:szCs w:val="20"/>
          <w:rtl/>
        </w:rPr>
        <w:t xml:space="preserve">חוק לביטול המג׳לה, התשמ"ד–1984; ראבילו, </w:t>
      </w:r>
      <w:r>
        <w:rPr>
          <w:rFonts w:ascii="David" w:cs="David" w:eastAsia="David" w:hAnsi="David"/>
          <w:noProof/>
          <w:sz w:val="20"/>
          <w:szCs w:val="20"/>
          <w:rtl/>
        </w:rPr>
        <w:t xml:space="preserve">לעיל ה"ש 38</w:t>
      </w:r>
      <w:r>
        <w:rPr>
          <w:rFonts w:ascii="David" w:cs="David" w:eastAsia="David" w:hAnsi="David"/>
          <w:noProof/>
          <w:sz w:val="20"/>
          <w:szCs w:val="20"/>
          <w:rtl/>
        </w:rPr>
        <w:t xml:space="preserve">, בעמ׳ 333–337; ולעיל פרק ג.3 לעניין ס׳ 80 לחוק הפרוצדורה האזרחית העות׳מאני.</w:t>
      </w:r>
    </w:p>
  </w:footnote>
  <w:footnote w:id="95">
    <w:p>
      <w:pPr>
        <w:bidi/>
        <w:spacing w:after="60"/>
        <w:jc w:val="both"/>
      </w:pPr>
      <w:r>
        <w:rPr>
          <w:rStyle w:val="FootnoteReference"/>
        </w:rPr>
        <w:footnoteRef/>
      </w:r>
      <w:r>
        <w:rPr>
          <w:rFonts w:ascii="David" w:cs="David" w:eastAsia="David" w:hAnsi="David"/>
          <w:noProof/>
          <w:sz w:val="20"/>
          <w:szCs w:val="20"/>
          <w:rtl/>
        </w:rPr>
        <w:t xml:space="preserve">ס׳ 837, 861–862, 866, 872 ו-879 למג׳לה; </w:t>
      </w:r>
      <w:r>
        <w:rPr>
          <w:rFonts w:ascii="Times New Roman" w:cs="Times New Roman" w:eastAsia="Times New Roman" w:hAnsi="Times New Roman"/>
          <w:smallCaps/>
          <w:noProof/>
          <w:sz w:val="20"/>
          <w:szCs w:val="20"/>
        </w:rPr>
        <w:t xml:space="preserve">Joseph Schacht, An Introduction to Islamic Law (1964)</w:t>
      </w:r>
      <w:r>
        <w:rPr>
          <w:rFonts w:ascii="Times New Roman" w:cs="Times New Roman" w:eastAsia="Times New Roman" w:hAnsi="Times New Roman"/>
          <w:noProof/>
          <w:sz w:val="20"/>
          <w:szCs w:val="20"/>
        </w:rPr>
        <w:t xml:space="preserve">; Y. Linant de Bellefonds, </w:t>
      </w:r>
      <w:r>
        <w:rPr>
          <w:rFonts w:ascii="Times New Roman" w:cs="Times New Roman" w:eastAsia="Times New Roman" w:hAnsi="Times New Roman"/>
          <w:i/>
          <w:iCs/>
          <w:noProof/>
          <w:sz w:val="20"/>
          <w:szCs w:val="20"/>
        </w:rPr>
        <w:t xml:space="preserve">Hiba</w:t>
      </w:r>
      <w:r>
        <w:rPr>
          <w:rFonts w:ascii="Times New Roman" w:cs="Times New Roman" w:eastAsia="Times New Roman" w:hAnsi="Times New Roman"/>
          <w:noProof/>
          <w:sz w:val="20"/>
          <w:szCs w:val="20"/>
        </w:rPr>
        <w:t xml:space="preserve">, in </w:t>
      </w:r>
      <w:r>
        <w:rPr>
          <w:rFonts w:ascii="Times New Roman" w:cs="Times New Roman" w:eastAsia="Times New Roman" w:hAnsi="Times New Roman"/>
          <w:smallCaps/>
          <w:noProof/>
          <w:sz w:val="20"/>
          <w:szCs w:val="20"/>
        </w:rPr>
        <w:t xml:space="preserve">The Encyclopaedia of Islam</w:t>
      </w:r>
      <w:r>
        <w:rPr>
          <w:rFonts w:ascii="Times New Roman" w:cs="Times New Roman" w:eastAsia="Times New Roman" w:hAnsi="Times New Roman"/>
          <w:noProof/>
          <w:sz w:val="20"/>
          <w:szCs w:val="20"/>
        </w:rPr>
        <w:t xml:space="preserve"> (2d ed.)</w:t>
      </w:r>
      <w:r>
        <w:rPr>
          <w:rFonts w:ascii="David" w:cs="David" w:eastAsia="David" w:hAnsi="David"/>
          <w:noProof/>
          <w:sz w:val="20"/>
          <w:szCs w:val="20"/>
          <w:rtl/>
        </w:rPr>
        <w:t xml:space="preserve">.</w:t>
      </w:r>
    </w:p>
  </w:footnote>
  <w:footnote w:id="96">
    <w:p>
      <w:pPr>
        <w:bidi/>
        <w:spacing w:after="60"/>
        <w:jc w:val="both"/>
      </w:pPr>
      <w:r>
        <w:rPr>
          <w:rStyle w:val="FootnoteReference"/>
        </w:rPr>
        <w:footnoteRef/>
      </w:r>
      <w:r>
        <w:rPr>
          <w:rFonts w:ascii="David" w:cs="David" w:eastAsia="David" w:hAnsi="David"/>
          <w:noProof/>
          <w:sz w:val="20"/>
          <w:szCs w:val="20"/>
          <w:rtl/>
        </w:rPr>
        <w:t xml:space="preserve">להוראת המעבר ראו ראבילו, </w:t>
      </w:r>
      <w:r>
        <w:rPr>
          <w:rFonts w:ascii="David" w:cs="David" w:eastAsia="David" w:hAnsi="David"/>
          <w:noProof/>
          <w:sz w:val="20"/>
          <w:szCs w:val="20"/>
          <w:rtl/>
        </w:rPr>
        <w:t xml:space="preserve">לעיל ה"ש 38</w:t>
      </w:r>
      <w:r>
        <w:rPr>
          <w:rFonts w:ascii="David" w:cs="David" w:eastAsia="David" w:hAnsi="David"/>
          <w:noProof/>
          <w:sz w:val="20"/>
          <w:szCs w:val="20"/>
          <w:rtl/>
        </w:rPr>
        <w:t xml:space="preserve">, בעמ׳ 333–337.</w:t>
      </w:r>
    </w:p>
  </w:footnote>
  <w:footnote w:id="97">
    <w:p>
      <w:pPr>
        <w:bidi/>
        <w:spacing w:after="60"/>
        <w:jc w:val="both"/>
      </w:pPr>
      <w:r>
        <w:rPr>
          <w:rStyle w:val="FootnoteReference"/>
        </w:rPr>
        <w:footnoteRef/>
      </w:r>
      <w:r>
        <w:rPr>
          <w:rFonts w:ascii="David" w:cs="David" w:eastAsia="David" w:hAnsi="David"/>
          <w:noProof/>
          <w:sz w:val="20"/>
          <w:szCs w:val="20"/>
          <w:rtl/>
        </w:rPr>
        <w:t xml:space="preserve">ס׳ 1660, 1661 ו-1674 למג׳לה. ההקבלה לס׳ 2 לחוק ההתיישנות, התשי"ח–1958, גלויה לעין.</w:t>
      </w:r>
    </w:p>
  </w:footnote>
  <w:footnote w:id="98">
    <w:p>
      <w:pPr>
        <w:bidi/>
        <w:spacing w:after="60"/>
        <w:jc w:val="both"/>
      </w:pPr>
      <w:r>
        <w:rPr>
          <w:rStyle w:val="FootnoteReference"/>
        </w:rPr>
        <w:footnoteRef/>
      </w:r>
      <w:r>
        <w:rPr>
          <w:rFonts w:ascii="David" w:cs="David" w:eastAsia="David" w:hAnsi="David"/>
          <w:noProof/>
          <w:sz w:val="20"/>
          <w:szCs w:val="20"/>
          <w:rtl/>
        </w:rPr>
        <w:t xml:space="preserve">ס׳ 20 ו-78 לחוק הקרקעות העות׳מאני, 1858; </w:t>
      </w:r>
      <w:r>
        <w:rPr>
          <w:rFonts w:ascii="Times New Roman" w:cs="Times New Roman" w:eastAsia="Times New Roman" w:hAnsi="Times New Roman"/>
          <w:noProof/>
          <w:sz w:val="20"/>
          <w:szCs w:val="20"/>
        </w:rPr>
        <w:t xml:space="preserve">Ahmad Amara, </w:t>
      </w:r>
      <w:r>
        <w:rPr>
          <w:rFonts w:ascii="Times New Roman" w:cs="Times New Roman" w:eastAsia="Times New Roman" w:hAnsi="Times New Roman"/>
          <w:i/>
          <w:iCs/>
          <w:noProof/>
          <w:sz w:val="20"/>
          <w:szCs w:val="20"/>
        </w:rPr>
        <w:t xml:space="preserve">Dispossession by Law: How the Israeli Judicial System Utilizes Ottoman Land Law to Expel and Dispossess the Bedouins</w:t>
      </w:r>
      <w:r>
        <w:rPr>
          <w:rFonts w:ascii="Times New Roman" w:cs="Times New Roman" w:eastAsia="Times New Roman" w:hAnsi="Times New Roman"/>
          <w:noProof/>
          <w:sz w:val="20"/>
          <w:szCs w:val="20"/>
        </w:rPr>
        <w:t xml:space="preserve">, </w:t>
      </w:r>
      <w:r>
        <w:rPr>
          <w:rFonts w:ascii="Times New Roman" w:cs="Times New Roman" w:eastAsia="Times New Roman" w:hAnsi="Times New Roman"/>
          <w:smallCaps/>
          <w:noProof/>
          <w:sz w:val="20"/>
          <w:szCs w:val="20"/>
        </w:rPr>
        <w:t xml:space="preserve">J. Levantine Stud.</w:t>
      </w:r>
      <w:r>
        <w:rPr>
          <w:rFonts w:ascii="Times New Roman" w:cs="Times New Roman" w:eastAsia="Times New Roman" w:hAnsi="Times New Roman"/>
          <w:noProof/>
          <w:sz w:val="20"/>
          <w:szCs w:val="20"/>
        </w:rPr>
        <w:t xml:space="preserve"> (2015)</w:t>
      </w:r>
      <w:r>
        <w:rPr>
          <w:rFonts w:ascii="David" w:cs="David" w:eastAsia="David" w:hAnsi="David"/>
          <w:noProof/>
          <w:sz w:val="20"/>
          <w:szCs w:val="20"/>
          <w:rtl/>
        </w:rPr>
        <w:t xml:space="preserve">; זנדברג, </w:t>
      </w:r>
      <w:r>
        <w:rPr>
          <w:rFonts w:ascii="David" w:cs="David" w:eastAsia="David" w:hAnsi="David"/>
          <w:noProof/>
          <w:sz w:val="20"/>
          <w:szCs w:val="20"/>
          <w:rtl/>
        </w:rPr>
        <w:t xml:space="preserve">לעיל ה"ש 10</w:t>
      </w:r>
      <w:r>
        <w:rPr>
          <w:rFonts w:ascii="David" w:cs="David" w:eastAsia="David" w:hAnsi="David"/>
          <w:noProof/>
          <w:sz w:val="20"/>
          <w:szCs w:val="20"/>
          <w:rtl/>
        </w:rPr>
        <w:t xml:space="preserve">.</w:t>
      </w:r>
    </w:p>
  </w:footnote>
  <w:footnote w:id="99">
    <w:p>
      <w:pPr>
        <w:bidi/>
        <w:spacing w:after="60"/>
        <w:jc w:val="both"/>
      </w:pPr>
      <w:r>
        <w:rPr>
          <w:rStyle w:val="FootnoteReference"/>
        </w:rPr>
        <w:footnoteRef/>
      </w:r>
      <w:r>
        <w:rPr>
          <w:rFonts w:ascii="David" w:cs="David" w:eastAsia="David" w:hAnsi="David"/>
          <w:noProof/>
          <w:sz w:val="20"/>
          <w:szCs w:val="20"/>
          <w:rtl/>
        </w:rPr>
        <w:t xml:space="preserve">ס׳ 1521–1522 למג׳לה; ברק, </w:t>
      </w:r>
      <w:r>
        <w:rPr>
          <w:rFonts w:ascii="David" w:cs="David" w:eastAsia="David" w:hAnsi="David"/>
          <w:noProof/>
          <w:sz w:val="20"/>
          <w:szCs w:val="20"/>
          <w:rtl/>
        </w:rPr>
        <w:t xml:space="preserve">לעיל ה"ש 30</w:t>
      </w:r>
      <w:r>
        <w:rPr>
          <w:rFonts w:ascii="David" w:cs="David" w:eastAsia="David" w:hAnsi="David"/>
          <w:noProof/>
          <w:sz w:val="20"/>
          <w:szCs w:val="20"/>
          <w:rtl/>
        </w:rPr>
        <w:t xml:space="preserve">, בעמ׳ 1241, 1244; ע"א 516/65 </w:t>
      </w:r>
      <w:r>
        <w:rPr>
          <w:rFonts w:ascii="David" w:cs="David" w:eastAsia="David" w:hAnsi="David"/>
          <w:b/>
          <w:bCs/>
          <w:noProof/>
          <w:sz w:val="20"/>
          <w:szCs w:val="20"/>
          <w:rtl/>
        </w:rPr>
        <w:t xml:space="preserve">ריעס נ׳ פורר</w:t>
      </w:r>
      <w:r>
        <w:rPr>
          <w:rFonts w:ascii="David" w:cs="David" w:eastAsia="David" w:hAnsi="David"/>
          <w:noProof/>
          <w:sz w:val="20"/>
          <w:szCs w:val="20"/>
          <w:rtl/>
        </w:rPr>
        <w:t xml:space="preserve">, פ"ד כ(3) 488 (1966). השליחות פוקעת ככלל במות השולח, כלל שהעמיד בסימן שאלה את ייפויי הכוח שנועדו לפעול "לאחר אריכות ימים".</w:t>
      </w:r>
    </w:p>
  </w:footnote>
  <w:footnote w:id="100">
    <w:p>
      <w:pPr>
        <w:bidi/>
        <w:spacing w:after="60"/>
        <w:jc w:val="both"/>
      </w:pPr>
      <w:r>
        <w:rPr>
          <w:rStyle w:val="FootnoteReference"/>
        </w:rPr>
        <w:footnoteRef/>
      </w:r>
      <w:r>
        <w:rPr>
          <w:rFonts w:ascii="Times New Roman" w:cs="Times New Roman" w:eastAsia="Times New Roman" w:hAnsi="Times New Roman"/>
          <w:smallCaps/>
          <w:noProof/>
          <w:sz w:val="20"/>
          <w:szCs w:val="20"/>
        </w:rPr>
        <w:t xml:space="preserve">N.J. Coulson, Succession in the Muslim Family (1971)</w:t>
      </w:r>
      <w:r>
        <w:rPr>
          <w:rFonts w:ascii="Times New Roman" w:cs="Times New Roman" w:eastAsia="Times New Roman" w:hAnsi="Times New Roman"/>
          <w:smallCaps/>
          <w:noProof/>
          <w:sz w:val="20"/>
          <w:szCs w:val="20"/>
        </w:rPr>
        <w:t xml:space="preserve">; Annelies Moors, Women, Property and Islam: Palestinian Experiences, 1920–1990 (1995)</w:t>
      </w:r>
      <w:r>
        <w:rPr>
          <w:rFonts w:ascii="David" w:cs="David" w:eastAsia="David" w:hAnsi="David"/>
          <w:noProof/>
          <w:sz w:val="20"/>
          <w:szCs w:val="20"/>
          <w:rtl/>
        </w:rPr>
        <w:t xml:space="preserve">; ולפרקטיקה בבתי הדין השרעיים בישראל ראו </w:t>
      </w:r>
      <w:r>
        <w:rPr>
          <w:rFonts w:ascii="Times New Roman" w:cs="Times New Roman" w:eastAsia="Times New Roman" w:hAnsi="Times New Roman"/>
          <w:smallCaps/>
          <w:noProof/>
          <w:sz w:val="20"/>
          <w:szCs w:val="20"/>
        </w:rPr>
        <w:t xml:space="preserve">Aharon Layish, Women and Islamic Law in a Non-Muslim State (1975)</w:t>
      </w:r>
      <w:r>
        <w:rPr>
          <w:rFonts w:ascii="David" w:cs="David" w:eastAsia="David" w:hAnsi="David"/>
          <w:noProof/>
          <w:sz w:val="20"/>
          <w:szCs w:val="20"/>
          <w:rtl/>
        </w:rPr>
        <w:t xml:space="preserve">.</w:t>
      </w:r>
    </w:p>
  </w:footnote>
  <w:footnote w:id="101">
    <w:p>
      <w:pPr>
        <w:bidi/>
        <w:spacing w:after="60"/>
        <w:jc w:val="both"/>
      </w:pPr>
      <w:r>
        <w:rPr>
          <w:rStyle w:val="FootnoteReference"/>
        </w:rPr>
        <w:footnoteRef/>
      </w:r>
      <w:r>
        <w:rPr>
          <w:rFonts w:ascii="Times New Roman" w:cs="Times New Roman" w:eastAsia="Times New Roman" w:hAnsi="Times New Roman"/>
          <w:noProof/>
          <w:sz w:val="20"/>
          <w:szCs w:val="20"/>
        </w:rPr>
        <w:t xml:space="preserve">Ruth Kark, </w:t>
      </w:r>
      <w:r>
        <w:rPr>
          <w:rFonts w:ascii="Times New Roman" w:cs="Times New Roman" w:eastAsia="Times New Roman" w:hAnsi="Times New Roman"/>
          <w:i/>
          <w:iCs/>
          <w:noProof/>
          <w:sz w:val="20"/>
          <w:szCs w:val="20"/>
        </w:rPr>
        <w:t xml:space="preserve">Consequences of the Ottoman Land Law: Agrarian and Privatization Processes in Palestine, 1858–1918</w:t>
      </w:r>
      <w:r>
        <w:rPr>
          <w:rFonts w:ascii="Times New Roman" w:cs="Times New Roman" w:eastAsia="Times New Roman" w:hAnsi="Times New Roman"/>
          <w:noProof/>
          <w:sz w:val="20"/>
          <w:szCs w:val="20"/>
        </w:rPr>
        <w:t xml:space="preserve">, in </w:t>
      </w:r>
      <w:r>
        <w:rPr>
          <w:rFonts w:ascii="Times New Roman" w:cs="Times New Roman" w:eastAsia="Times New Roman" w:hAnsi="Times New Roman"/>
          <w:smallCaps/>
          <w:noProof/>
          <w:sz w:val="20"/>
          <w:szCs w:val="20"/>
        </w:rPr>
        <w:t xml:space="preserve">Societies, Social Inequalities and Marginalization</w:t>
      </w:r>
      <w:r>
        <w:rPr>
          <w:rFonts w:ascii="Times New Roman" w:cs="Times New Roman" w:eastAsia="Times New Roman" w:hAnsi="Times New Roman"/>
          <w:noProof/>
          <w:sz w:val="20"/>
          <w:szCs w:val="20"/>
        </w:rPr>
        <w:t xml:space="preserve"> 101 (R. Chand et al. eds., 2017)</w:t>
      </w:r>
      <w:r>
        <w:rPr>
          <w:rFonts w:ascii="David" w:cs="David" w:eastAsia="David" w:hAnsi="David"/>
          <w:noProof/>
          <w:sz w:val="20"/>
          <w:szCs w:val="20"/>
          <w:rtl/>
        </w:rPr>
        <w:t xml:space="preserve">; נדן, </w:t>
      </w:r>
      <w:r>
        <w:rPr>
          <w:rFonts w:ascii="David" w:cs="David" w:eastAsia="David" w:hAnsi="David"/>
          <w:noProof/>
          <w:sz w:val="20"/>
          <w:szCs w:val="20"/>
          <w:rtl/>
        </w:rPr>
        <w:t xml:space="preserve">לעיל ה"ש 15</w:t>
      </w:r>
      <w:r>
        <w:rPr>
          <w:rFonts w:ascii="David" w:cs="David" w:eastAsia="David" w:hAnsi="David"/>
          <w:noProof/>
          <w:sz w:val="20"/>
          <w:szCs w:val="20"/>
          <w:rtl/>
        </w:rPr>
        <w:t xml:space="preserve">.</w:t>
      </w:r>
    </w:p>
  </w:footnote>
  <w:footnote w:id="102">
    <w:p>
      <w:pPr>
        <w:bidi/>
        <w:spacing w:after="60"/>
        <w:jc w:val="both"/>
      </w:pPr>
      <w:r>
        <w:rPr>
          <w:rStyle w:val="FootnoteReference"/>
        </w:rPr>
        <w:footnoteRef/>
      </w:r>
      <w:r>
        <w:rPr>
          <w:rFonts w:ascii="David" w:cs="David" w:eastAsia="David" w:hAnsi="David"/>
          <w:noProof/>
          <w:sz w:val="20"/>
          <w:szCs w:val="20"/>
          <w:rtl/>
        </w:rPr>
        <w:t xml:space="preserve">עניין </w:t>
      </w:r>
      <w:r>
        <w:rPr>
          <w:rFonts w:ascii="David" w:cs="David" w:eastAsia="David" w:hAnsi="David"/>
          <w:b/>
          <w:bCs/>
          <w:noProof/>
          <w:sz w:val="20"/>
          <w:szCs w:val="20"/>
          <w:rtl/>
        </w:rPr>
        <w:t xml:space="preserve">צימבלר</w:t>
      </w:r>
      <w:r>
        <w:rPr>
          <w:rFonts w:ascii="David" w:cs="David" w:eastAsia="David" w:hAnsi="David"/>
          <w:noProof/>
          <w:sz w:val="20"/>
          <w:szCs w:val="20"/>
          <w:rtl/>
        </w:rPr>
        <w:t xml:space="preserve">, </w:t>
      </w:r>
      <w:r>
        <w:rPr>
          <w:rFonts w:ascii="David" w:cs="David" w:eastAsia="David" w:hAnsi="David"/>
          <w:noProof/>
          <w:sz w:val="20"/>
          <w:szCs w:val="20"/>
          <w:rtl/>
        </w:rPr>
        <w:t xml:space="preserve">לעיל ה"ש 31</w:t>
      </w:r>
      <w:r>
        <w:rPr>
          <w:rFonts w:ascii="David" w:cs="David" w:eastAsia="David" w:hAnsi="David"/>
          <w:noProof/>
          <w:sz w:val="20"/>
          <w:szCs w:val="20"/>
          <w:rtl/>
        </w:rPr>
        <w:t xml:space="preserve">.</w:t>
      </w:r>
    </w:p>
  </w:footnote>
  <w:footnote w:id="103">
    <w:p>
      <w:pPr>
        <w:bidi/>
        <w:spacing w:after="60"/>
        <w:jc w:val="both"/>
      </w:pPr>
      <w:r>
        <w:rPr>
          <w:rStyle w:val="FootnoteReference"/>
        </w:rPr>
        <w:footnoteRef/>
      </w:r>
      <w:r>
        <w:rPr>
          <w:rFonts w:ascii="David" w:cs="David" w:eastAsia="David" w:hAnsi="David"/>
          <w:noProof/>
          <w:sz w:val="20"/>
          <w:szCs w:val="20"/>
          <w:rtl/>
        </w:rPr>
        <w:t xml:space="preserve">עניין </w:t>
      </w:r>
      <w:r>
        <w:rPr>
          <w:rFonts w:ascii="David" w:cs="David" w:eastAsia="David" w:hAnsi="David"/>
          <w:b/>
          <w:bCs/>
          <w:noProof/>
          <w:sz w:val="20"/>
          <w:szCs w:val="20"/>
          <w:rtl/>
        </w:rPr>
        <w:t xml:space="preserve">אבו ג׳נימה</w:t>
      </w:r>
      <w:r>
        <w:rPr>
          <w:rFonts w:ascii="David" w:cs="David" w:eastAsia="David" w:hAnsi="David"/>
          <w:noProof/>
          <w:sz w:val="20"/>
          <w:szCs w:val="20"/>
          <w:rtl/>
        </w:rPr>
        <w:t xml:space="preserve">, </w:t>
      </w:r>
      <w:r>
        <w:rPr>
          <w:rFonts w:ascii="David" w:cs="David" w:eastAsia="David" w:hAnsi="David"/>
          <w:noProof/>
          <w:sz w:val="20"/>
          <w:szCs w:val="20"/>
          <w:rtl/>
        </w:rPr>
        <w:t xml:space="preserve">לעיל ה"ש 37</w:t>
      </w:r>
      <w:r>
        <w:rPr>
          <w:rFonts w:ascii="David" w:cs="David" w:eastAsia="David" w:hAnsi="David"/>
          <w:noProof/>
          <w:sz w:val="20"/>
          <w:szCs w:val="20"/>
          <w:rtl/>
        </w:rPr>
        <w:t xml:space="preserve">.</w:t>
      </w:r>
    </w:p>
  </w:footnote>
  <w:footnote w:id="104">
    <w:p>
      <w:pPr>
        <w:bidi/>
        <w:spacing w:after="60"/>
        <w:jc w:val="both"/>
      </w:pPr>
      <w:r>
        <w:rPr>
          <w:rStyle w:val="FootnoteReference"/>
        </w:rPr>
        <w:footnoteRef/>
      </w:r>
      <w:r>
        <w:rPr>
          <w:rFonts w:ascii="David" w:cs="David" w:eastAsia="David" w:hAnsi="David"/>
          <w:noProof/>
          <w:sz w:val="20"/>
          <w:szCs w:val="20"/>
          <w:rtl/>
        </w:rPr>
        <w:t xml:space="preserve">תמ"ש 18541-01-22, </w:t>
      </w:r>
      <w:r>
        <w:rPr>
          <w:rFonts w:ascii="David" w:cs="David" w:eastAsia="David" w:hAnsi="David"/>
          <w:noProof/>
          <w:sz w:val="20"/>
          <w:szCs w:val="20"/>
          <w:rtl/>
        </w:rPr>
        <w:t xml:space="preserve">לעיל ה"ש 40</w:t>
      </w:r>
      <w:r>
        <w:rPr>
          <w:rFonts w:ascii="David" w:cs="David" w:eastAsia="David" w:hAnsi="David"/>
          <w:noProof/>
          <w:sz w:val="20"/>
          <w:szCs w:val="20"/>
          <w:rtl/>
        </w:rPr>
        <w:t xml:space="preserve">.</w:t>
      </w:r>
    </w:p>
  </w:footnote>
  <w:footnote w:id="105">
    <w:p>
      <w:pPr>
        <w:bidi/>
        <w:spacing w:after="60"/>
        <w:jc w:val="both"/>
      </w:pPr>
      <w:r>
        <w:rPr>
          <w:rStyle w:val="FootnoteReference"/>
        </w:rPr>
        <w:footnoteRef/>
      </w:r>
      <w:r>
        <w:rPr>
          <w:rFonts w:ascii="David" w:cs="David" w:eastAsia="David" w:hAnsi="David"/>
          <w:noProof/>
          <w:sz w:val="20"/>
          <w:szCs w:val="20"/>
          <w:rtl/>
        </w:rPr>
        <w:t xml:space="preserve">ראו </w:t>
      </w:r>
      <w:r>
        <w:rPr>
          <w:rFonts w:ascii="Times New Roman" w:cs="Times New Roman" w:eastAsia="Times New Roman" w:hAnsi="Times New Roman"/>
          <w:noProof/>
          <w:sz w:val="20"/>
          <w:szCs w:val="20"/>
        </w:rPr>
        <w:t xml:space="preserve">Guest v Guest</w:t>
      </w:r>
      <w:r>
        <w:rPr>
          <w:rFonts w:ascii="David" w:cs="David" w:eastAsia="David" w:hAnsi="David"/>
          <w:noProof/>
          <w:sz w:val="20"/>
          <w:szCs w:val="20"/>
          <w:rtl/>
        </w:rPr>
        <w:t xml:space="preserve">, </w:t>
      </w:r>
      <w:r>
        <w:rPr>
          <w:rFonts w:ascii="David" w:cs="David" w:eastAsia="David" w:hAnsi="David"/>
          <w:noProof/>
          <w:sz w:val="20"/>
          <w:szCs w:val="20"/>
          <w:rtl/>
        </w:rPr>
        <w:t xml:space="preserve">לעיל ה"ש 80</w:t>
      </w:r>
      <w:r>
        <w:rPr>
          <w:rFonts w:ascii="David" w:cs="David" w:eastAsia="David" w:hAnsi="David"/>
          <w:noProof/>
          <w:sz w:val="20"/>
          <w:szCs w:val="20"/>
          <w:rtl/>
        </w:rPr>
        <w:t xml:space="preserve">.</w:t>
      </w:r>
    </w:p>
  </w:footnote>
  <w:footnote w:id="106">
    <w:p>
      <w:pPr>
        <w:bidi/>
        <w:spacing w:after="60"/>
        <w:jc w:val="both"/>
      </w:pPr>
      <w:r>
        <w:rPr>
          <w:rStyle w:val="FootnoteReference"/>
        </w:rPr>
        <w:footnoteRef/>
      </w:r>
      <w:r>
        <w:rPr>
          <w:rFonts w:ascii="David" w:cs="David" w:eastAsia="David" w:hAnsi="David"/>
          <w:noProof/>
          <w:sz w:val="20"/>
          <w:szCs w:val="20"/>
          <w:rtl/>
        </w:rPr>
        <w:t xml:space="preserve">לרפורמה המצרית ראו לעיל פרק ו.2.4.</w:t>
      </w:r>
    </w:p>
  </w:footnote>
  <w:footnote w:id="107">
    <w:p>
      <w:pPr>
        <w:bidi/>
        <w:spacing w:after="60"/>
        <w:jc w:val="both"/>
      </w:pPr>
      <w:r>
        <w:rPr>
          <w:rStyle w:val="FootnoteReference"/>
        </w:rPr>
        <w:footnoteRef/>
      </w:r>
      <w:r>
        <w:rPr>
          <w:rFonts w:ascii="David" w:cs="David" w:eastAsia="David" w:hAnsi="David"/>
          <w:noProof/>
          <w:sz w:val="20"/>
          <w:szCs w:val="20"/>
          <w:rtl/>
        </w:rPr>
        <w:t xml:space="preserve">להצעות ברוח זו השוו יפתחאל, קדר ואמארה, וכן לוין-שנור, הנזכרים לעיל בפרק ב.1.</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noProof/>
        <w:sz w:val="24"/>
        <w:szCs w:val="24"/>
        <w:lang w:val="he-IL" w:bidi="he-I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David" w:cs="David" w:eastAsia="David" w:hAnsi="David"/>
      <w:noProof/>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75ce4fdf76b58d4cf0096412ef177958ae578a9.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הכרעה בזכויות במקרקעין לא רשומים בסכסוכים פנים-משפחתיים בחברה הערבית</dc:title>
  <dc:creator>עבודה סמינריונית</dc:creator>
  <cp:lastModifiedBy>Un-named</cp:lastModifiedBy>
  <cp:revision>1</cp:revision>
  <dcterms:created xsi:type="dcterms:W3CDTF">2026-09-02T09:28:57.326Z</dcterms:created>
  <dcterms:modified xsi:type="dcterms:W3CDTF">2026-09-02T09:28:57.326Z</dcterms:modified>
</cp:coreProperties>
</file>

<file path=docProps/custom.xml><?xml version="1.0" encoding="utf-8"?>
<Properties xmlns="http://schemas.openxmlformats.org/officeDocument/2006/custom-properties" xmlns:vt="http://schemas.openxmlformats.org/officeDocument/2006/docPropsVTypes"/>
</file>