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400"/>
      </w:pPr>
    </w:p>
    <w:p>
      <w:pPr>
        <w:bidi/>
        <w:spacing w:after="200" w:before="0"/>
        <w:jc w:val="center"/>
      </w:pPr>
      <w:r>
        <w:rPr>
          <w:rFonts w:ascii="David" w:cs="David" w:eastAsia="David" w:hAnsi="David"/>
          <w:b/>
          <w:bCs/>
          <w:i w:val="false"/>
          <w:iCs w:val="false"/>
          <w:color w:val="000000"/>
          <w:sz w:val="26"/>
          <w:szCs w:val="26"/>
          <w:rtl/>
        </w:rPr>
        <w:t xml:space="preserve">החוג לפסיכולוגיה</w:t>
      </w:r>
    </w:p>
    <w:p>
      <w:pPr>
        <w:bidi/>
        <w:spacing w:after="700" w:before="0"/>
        <w:jc w:val="center"/>
      </w:pPr>
      <w:r>
        <w:rPr>
          <w:rFonts w:ascii="David" w:cs="David" w:eastAsia="David" w:hAnsi="David"/>
          <w:b w:val="false"/>
          <w:bCs w:val="false"/>
          <w:i w:val="false"/>
          <w:iCs w:val="false"/>
          <w:color w:val="000000"/>
          <w:sz w:val="24"/>
          <w:szCs w:val="24"/>
          <w:rtl/>
        </w:rPr>
        <w:t xml:space="preserve">קורס: פסיכולוגיה ניסויית</w:t>
      </w:r>
    </w:p>
    <w:p>
      <w:pPr>
        <w:pBdr>
          <w:bottom w:val="single" w:color="2E5F7A" w:sz="6" w:space="6"/>
        </w:pBdr>
        <w:bidi/>
        <w:spacing w:after="40"/>
        <w:jc w:val="center"/>
      </w:pPr>
      <w:r>
        <w:rPr>
          <w:rFonts w:ascii="David" w:cs="David" w:eastAsia="David" w:hAnsi="David"/>
          <w:b/>
          <w:bCs/>
          <w:i w:val="false"/>
          <w:iCs w:val="false"/>
          <w:color w:val="1F3A5F"/>
          <w:sz w:val="40"/>
          <w:szCs w:val="40"/>
          <w:rtl/>
        </w:rPr>
        <w:t xml:space="preserve">השפעת חוויית שליטה וחשיפה עקיפה</w:t>
      </w:r>
    </w:p>
    <w:p>
      <w:pPr>
        <w:bidi/>
        <w:spacing w:after="120" w:before="40"/>
        <w:jc w:val="center"/>
      </w:pPr>
      <w:r>
        <w:rPr>
          <w:rFonts w:ascii="David" w:cs="David" w:eastAsia="David" w:hAnsi="David"/>
          <w:b/>
          <w:bCs/>
          <w:i w:val="false"/>
          <w:iCs w:val="false"/>
          <w:color w:val="1F3A5F"/>
          <w:sz w:val="40"/>
          <w:szCs w:val="40"/>
          <w:rtl/>
        </w:rPr>
        <w:t xml:space="preserve">על תחושת החוללות העצמית הכללית</w:t>
      </w:r>
    </w:p>
    <w:p>
      <w:pPr>
        <w:bidi/>
        <w:spacing w:after="900" w:before="0"/>
        <w:jc w:val="center"/>
      </w:pPr>
      <w:r>
        <w:rPr>
          <w:rFonts w:ascii="David" w:cs="David" w:eastAsia="David" w:hAnsi="David"/>
          <w:b w:val="false"/>
          <w:bCs w:val="false"/>
          <w:i/>
          <w:iCs/>
          <w:color w:val="000000"/>
          <w:sz w:val="28"/>
          <w:szCs w:val="28"/>
          <w:rtl/>
        </w:rPr>
        <w:t xml:space="preserve">מחקר ניסויי</w:t>
      </w:r>
    </w:p>
    <w:p>
      <w:pPr>
        <w:bidi/>
        <w:spacing w:after="120" w:before="0"/>
        <w:jc w:val="center"/>
      </w:pPr>
      <w:r>
        <w:rPr>
          <w:rFonts w:ascii="David" w:cs="David" w:eastAsia="David" w:hAnsi="David"/>
          <w:b w:val="false"/>
          <w:bCs w:val="false"/>
          <w:i w:val="false"/>
          <w:iCs w:val="false"/>
          <w:color w:val="000000"/>
          <w:sz w:val="24"/>
          <w:szCs w:val="24"/>
          <w:rtl/>
        </w:rPr>
        <w:t xml:space="preserve">מגיש/ה: ______________________</w:t>
      </w:r>
    </w:p>
    <w:p>
      <w:pPr>
        <w:bidi/>
        <w:spacing w:after="120" w:before="0"/>
        <w:jc w:val="center"/>
      </w:pPr>
      <w:r>
        <w:rPr>
          <w:rFonts w:ascii="David" w:cs="David" w:eastAsia="David" w:hAnsi="David"/>
          <w:b w:val="false"/>
          <w:bCs w:val="false"/>
          <w:i w:val="false"/>
          <w:iCs w:val="false"/>
          <w:color w:val="000000"/>
          <w:sz w:val="24"/>
          <w:szCs w:val="24"/>
          <w:rtl/>
        </w:rPr>
        <w:t xml:space="preserve">תעודת זהות: ______________________</w:t>
      </w:r>
    </w:p>
    <w:p>
      <w:pPr>
        <w:bidi/>
        <w:spacing w:after="120" w:before="0"/>
        <w:jc w:val="center"/>
      </w:pPr>
      <w:r>
        <w:rPr>
          <w:rFonts w:ascii="David" w:cs="David" w:eastAsia="David" w:hAnsi="David"/>
          <w:b w:val="false"/>
          <w:bCs w:val="false"/>
          <w:i w:val="false"/>
          <w:iCs w:val="false"/>
          <w:color w:val="000000"/>
          <w:sz w:val="24"/>
          <w:szCs w:val="24"/>
          <w:rtl/>
        </w:rPr>
        <w:t xml:space="preserve">בהנחיית: ______________________</w:t>
      </w:r>
    </w:p>
    <w:p>
      <w:pPr>
        <w:bidi/>
        <w:spacing w:after="0" w:before="0"/>
        <w:jc w:val="center"/>
      </w:pPr>
      <w:r>
        <w:rPr>
          <w:rFonts w:ascii="David" w:cs="David" w:eastAsia="David" w:hAnsi="David"/>
          <w:b w:val="false"/>
          <w:bCs w:val="false"/>
          <w:i w:val="false"/>
          <w:iCs w:val="false"/>
          <w:color w:val="000000"/>
          <w:sz w:val="24"/>
          <w:szCs w:val="24"/>
          <w:rtl/>
        </w:rPr>
        <w:t xml:space="preserve">סמסטר ב' תשפ״ו — יוני 2026</w:t>
      </w:r>
    </w:p>
    <w:p>
      <w:r>
        <w:br w:type="page"/>
      </w:r>
    </w:p>
    <w:p>
      <w:pPr>
        <w:bidi/>
        <w:spacing w:after="160"/>
        <w:jc w:val="right"/>
      </w:pPr>
      <w:r>
        <w:rPr>
          <w:rFonts w:ascii="David" w:cs="David" w:eastAsia="David" w:hAnsi="David"/>
          <w:b/>
          <w:bCs/>
          <w:i w:val="false"/>
          <w:iCs w:val="false"/>
          <w:color w:val="1F3A5F"/>
          <w:sz w:val="32"/>
          <w:szCs w:val="32"/>
          <w:rtl/>
        </w:rPr>
        <w:t xml:space="preserve">תוכן עניינים</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bidi/>
        <w:spacing w:after="160" w:before="300"/>
        <w:jc w:val="right"/>
      </w:pPr>
      <w:r>
        <w:rPr>
          <w:rFonts w:ascii="David" w:cs="David" w:eastAsia="David" w:hAnsi="David"/>
          <w:b/>
          <w:bCs/>
          <w:i w:val="false"/>
          <w:iCs w:val="false"/>
          <w:color w:val="1F3A5F"/>
          <w:sz w:val="32"/>
          <w:szCs w:val="32"/>
          <w:rtl/>
        </w:rPr>
        <w:t xml:space="preserve">תקציר</w:t>
      </w:r>
    </w:p>
    <w:p>
      <w:pPr>
        <w:bidi/>
        <w:spacing w:after="120" w:before="0" w:line="360"/>
        <w:jc w:val="both"/>
      </w:pPr>
      <w:r>
        <w:rPr>
          <w:rFonts w:ascii="David" w:cs="David" w:eastAsia="David" w:hAnsi="David"/>
          <w:b w:val="false"/>
          <w:bCs w:val="false"/>
          <w:i w:val="false"/>
          <w:iCs w:val="false"/>
          <w:color w:val="000000"/>
          <w:sz w:val="24"/>
          <w:szCs w:val="24"/>
          <w:rtl/>
        </w:rPr>
        <w:t xml:space="preserve">המחקר הנוכחי בחן את השפעתם של שני מקורות מרכזיים לחוללות עצמית על-פי תיאוריית בנדורה — חוויית שליטה (mastery experience) וחוויית למידה עקיפה (vicarious experience) — על תחושת החוללות העצמית הכללית. שלושים ושלושה משתתפים (N=33) חולקו אקראית לשלושה תנאים: (א) היזכרות מודרכת בהצלחה אישית מן העבר, (ב) קריאת עדות קצרה של עמית שהתמודד עם אתגר לימודי והצליח בו, ו-(ג) קבוצת ביקורת שביצעה משימת כתיבה ניטרלית. מיד לאחר המניפולציה מילאו המשתתפים את שאלון החוללות העצמית הכללית (NGSE). ניתוח שונות חד-כיווני העלה הבדל מובהק בין התנאים, F(2,30)=5.18, p=.012, η²=.26. השוואות מרובות בשיטת Tukey הראו כי קבוצת חוויית השליטה (M=4.05) דיווחה על חוללות עצמית גבוהה יותר באופן מובהק מקבוצת הביקורת (M=3.30, p=.008), בעוד שקבוצת החשיפה העקיפה (M=3.70) לא נבדלה באופן מובהק מהביקורת. הממצאים עולים בקנה אחד עם הטענה כי חוויות שליטה הן המקור העוצמתי ביותר לחוללות עצמית, ומצביעים על כך שאף אינדוקציה קצרה של היזכרות בהצלחה עשויה להעלות זמנית את תחושת המסוגלות. לבסוף נדונות מגבלות המחקר והצעות למחקר עתידי.</w:t>
      </w:r>
    </w:p>
    <w:p>
      <w:pPr>
        <w:bidi/>
        <w:spacing w:after="160" w:before="0" w:line="360"/>
        <w:jc w:val="both"/>
      </w:pPr>
      <w:r>
        <w:rPr>
          <w:rFonts w:ascii="David" w:cs="David" w:eastAsia="David" w:hAnsi="David"/>
          <w:b/>
          <w:bCs/>
          <w:i w:val="false"/>
          <w:iCs w:val="false"/>
          <w:color w:val="000000"/>
          <w:sz w:val="24"/>
          <w:szCs w:val="24"/>
          <w:rtl/>
        </w:rPr>
        <w:t xml:space="preserve">מילות מפתח: </w:t>
      </w:r>
      <w:r>
        <w:rPr>
          <w:rFonts w:ascii="David" w:cs="David" w:eastAsia="David" w:hAnsi="David"/>
          <w:b w:val="false"/>
          <w:bCs w:val="false"/>
          <w:i w:val="false"/>
          <w:iCs w:val="false"/>
          <w:color w:val="000000"/>
          <w:sz w:val="24"/>
          <w:szCs w:val="24"/>
          <w:rtl/>
        </w:rPr>
        <w:t xml:space="preserve">חוללות עצמית, חוויית שליטה, למידה עקיפה, תיאוריית בנדורה, מניפולציה ניסויית.</w:t>
      </w:r>
    </w:p>
    <w:p>
      <w:r>
        <w:br w:type="page"/>
      </w:r>
    </w:p>
    <w:p>
      <w:pPr>
        <w:pStyle w:val="Heading1"/>
        <w:bidi/>
        <w:spacing w:after="160" w:before="300"/>
        <w:jc w:val="right"/>
      </w:pPr>
      <w:r>
        <w:rPr>
          <w:rFonts w:ascii="David" w:cs="David" w:eastAsia="David" w:hAnsi="David"/>
          <w:b/>
          <w:bCs/>
          <w:i w:val="false"/>
          <w:iCs w:val="false"/>
          <w:color w:val="1F3A5F"/>
          <w:sz w:val="32"/>
          <w:szCs w:val="32"/>
          <w:rtl/>
        </w:rPr>
        <w:t xml:space="preserve">מבוא ורקע תיאורטי</w:t>
      </w:r>
    </w:p>
    <w:p>
      <w:pPr>
        <w:bidi/>
        <w:spacing w:after="160" w:before="0" w:line="360"/>
        <w:jc w:val="both"/>
      </w:pPr>
      <w:r>
        <w:rPr>
          <w:rFonts w:ascii="David" w:cs="David" w:eastAsia="David" w:hAnsi="David"/>
          <w:b w:val="false"/>
          <w:bCs w:val="false"/>
          <w:i w:val="false"/>
          <w:iCs w:val="false"/>
          <w:color w:val="000000"/>
          <w:sz w:val="24"/>
          <w:szCs w:val="24"/>
          <w:rtl/>
        </w:rPr>
        <w:t xml:space="preserve">תחושת החוללות העצמית (self-efficacy) נחשבת לאחד המשתנים המשפיעים ביותר על התנהגות אנושית, מוטיבציה והתמודדות עם אתגרים. בנדורה (Bandura, 1977) הגדיר את החוללות העצמית כאמונתו של אדם ביכולתו לארגן ולבצע את רצף הפעולות הנדרש להשגת תוצאה רצויה. אמונה זו אינה משקפת בהכרח את כישוריו האובייקטיביים של האדם, אלא את הערכתו הסובייקטיבית באשר ליכולתו לפעול ביעילות בסיטואציה נתונה. לפי בנדורה, אנשים בעלי תחושת חוללות עצמית גבוהה נוטים להציב לעצמם מטרות מאתגרות יותר, להשקיע מאמץ רב יותר, להתמיד לנוכח קשיים ולהתאושש מהר יותר מכישלונות.</w:t>
      </w:r>
    </w:p>
    <w:p>
      <w:pPr>
        <w:bidi/>
        <w:spacing w:after="160" w:before="0" w:line="360"/>
        <w:jc w:val="both"/>
      </w:pPr>
      <w:r>
        <w:rPr>
          <w:rFonts w:ascii="David" w:cs="David" w:eastAsia="David" w:hAnsi="David"/>
          <w:b w:val="false"/>
          <w:bCs w:val="false"/>
          <w:i w:val="false"/>
          <w:iCs w:val="false"/>
          <w:color w:val="000000"/>
          <w:sz w:val="24"/>
          <w:szCs w:val="24"/>
          <w:rtl/>
        </w:rPr>
        <w:t xml:space="preserve">בספרו המאוחר הרחיב בנדורה (Bandura, 1997) את התיאוריה והצביע על ארבעה מקורות מרכזיים שמהם נבנית תחושת החוללות העצמית: (1) חוויות שליטה (mastery experiences) — התנסויות ישירות של הצלחה בביצוע משימות, הנחשבות למקור החזק ביותר; (2) חוויות עקיפות (vicarious experiences) — למידה באמצעות התבוננות באנשים אחרים, ובעיקר במודלים דומים לעצמי, המצליחים בביצוע משימות; (3) שכנוע מילולי (verbal persuasion) — עידוד ומשוב מילולי מצד הזולת; ו-(4) מצבים פיזיולוגיים ורגשיים (physiological and affective states) — פרשנות של אותות גופניים ורגשיים כמצביעים על יכולת או על חוסר יכולת. בנדורה טען כי חוויות השליטה הן בעלות ההשפעה החזקה ביותר, משום שהן מספקות את העדות המשכנעת ביותר ליכולתו של האדם, בעוד שהחוויות העקיפות מותנות במידת הדמיון הנתפס בין הצופה למודל.</w:t>
      </w:r>
    </w:p>
    <w:p>
      <w:pPr>
        <w:bidi/>
        <w:spacing w:after="160" w:before="0" w:line="360"/>
        <w:jc w:val="both"/>
      </w:pPr>
      <w:r>
        <w:rPr>
          <w:rFonts w:ascii="David" w:cs="David" w:eastAsia="David" w:hAnsi="David"/>
          <w:b w:val="false"/>
          <w:bCs w:val="false"/>
          <w:i w:val="false"/>
          <w:iCs w:val="false"/>
          <w:color w:val="000000"/>
          <w:sz w:val="24"/>
          <w:szCs w:val="24"/>
          <w:rtl/>
        </w:rPr>
        <w:t xml:space="preserve">מחקרים רבים הראו כי חוללות עצמית אינה תכונה קבועה בלבד אלא מצב הניתן לשינוי (malleable). גיסט ומיטשל (Gist &amp; Mitchell, 1992) הציעו מסגרת תיאורטית המסבירה כיצד תחושת החוללות מתעצבת ומשתנה בעקבות עיבוד מידע על ביצועים קודמים, ייחוסים סיבתיים והערכת דרישות המשימה. הבנה זו פתחה פתח למחקרים התערבותיים ולמניפולציות ניסוייות שנועדו להעלות את תחושת החוללות, ובכללן משימות היזכרות בהצלחות עבר וחשיפה למודלים מצליחים.</w:t>
      </w:r>
    </w:p>
    <w:p>
      <w:pPr>
        <w:bidi/>
        <w:spacing w:after="160" w:before="0" w:line="360"/>
        <w:jc w:val="both"/>
      </w:pPr>
      <w:r>
        <w:rPr>
          <w:rFonts w:ascii="David" w:cs="David" w:eastAsia="David" w:hAnsi="David"/>
          <w:b w:val="false"/>
          <w:bCs w:val="false"/>
          <w:i w:val="false"/>
          <w:iCs w:val="false"/>
          <w:color w:val="000000"/>
          <w:sz w:val="24"/>
          <w:szCs w:val="24"/>
          <w:rtl/>
        </w:rPr>
        <w:t xml:space="preserve">בעוד שבנדורה התמקד בחוללות עצמית ספציפית למשימה, פותח בהמשך המושג של חוללות עצמית כללית (general self-efficacy) — אמונה יציבה יחסית ביכולת האישית להתמודד בהצלחה עם מגוון רחב של מצבים ואתגרים. צ'ן, גאלי ואדן (Chen, Gully, &amp; Eden, 2001) פיתחו וּתיקפו את שאלון החוללות העצמית הכללית (NGSE), כלי בן שמונה פריטים בעל מהימנות ותוקף גבוהים, שנמצא עדיף מבחינה פסיכומטרית על כלים קודמים. לושצ'ינסקה, שולץ ושוורצר (Luszczynska, Scholz, &amp; Schwarzer, 2005) הראו במחקרים חוצי-תרבות כי חוללות עצמית כללית קשורה באופן עקבי לרווחה נפשית, לאופטימיות ולהתמודדות אדפטיבית.</w:t>
      </w:r>
    </w:p>
    <w:p>
      <w:pPr>
        <w:bidi/>
        <w:spacing w:after="160" w:before="0" w:line="360"/>
        <w:jc w:val="both"/>
      </w:pPr>
      <w:r>
        <w:rPr>
          <w:rFonts w:ascii="David" w:cs="David" w:eastAsia="David" w:hAnsi="David"/>
          <w:b w:val="false"/>
          <w:bCs w:val="false"/>
          <w:i w:val="false"/>
          <w:iCs w:val="false"/>
          <w:color w:val="000000"/>
          <w:sz w:val="24"/>
          <w:szCs w:val="24"/>
          <w:rtl/>
        </w:rPr>
        <w:t xml:space="preserve">לתחושת החוללות העצמית השלכות מעשיות נרחבות, בייחוד בהקשר הלימודי. זימרמן (Zimmerman, 2000) הראה כי חוללות עצמית מהווה מנבא מרכזי של הישגים אקדמיים, של ויסות עצמי בלמידה ושל התמדה, אף מעבר ליכולת הקוגניטיבית עצמה. לפיכך, הבנת הדרכים שבהן ניתן לחזק — ולו באופן זמני — את תחושת החוללות העצמית, נושאת חשיבות תיאורטית ויישומית כאחד.</w:t>
      </w:r>
    </w:p>
    <w:p>
      <w:pPr>
        <w:bidi/>
        <w:spacing w:after="160" w:before="0" w:line="360"/>
        <w:jc w:val="both"/>
      </w:pPr>
      <w:r>
        <w:rPr>
          <w:rFonts w:ascii="David" w:cs="David" w:eastAsia="David" w:hAnsi="David"/>
          <w:b w:val="false"/>
          <w:bCs w:val="false"/>
          <w:i w:val="false"/>
          <w:iCs w:val="false"/>
          <w:color w:val="000000"/>
          <w:sz w:val="24"/>
          <w:szCs w:val="24"/>
          <w:rtl/>
        </w:rPr>
        <w:t xml:space="preserve">המחקר הנוכחי מבקש לבחון בתנאי מעבדה מבוקרים את השפעתם של שני מקורות החוללות המרכזיים — חוויית שליטה וחשיפה עקיפה — על תחושת החוללות העצמית הכללית, בהשוואה לתנאי ביקורת ניטרלי. בעוד שהתיאוריה של בנדורה מנוסחת היטב, מחקרים ניסוייים קצרים הבוחנים ישירות והשוואתית את שני המקורות הללו זה מול זה מעטים יחסית. אנו מבקשים אפוא לבדוק האם אינדוקציה קצרה וקלה ליישום — היזכרות בהצלחה אישית או קריאת עדות של עמית מצליח — מספיקה כדי להעלות את תחושת החוללות, ואיזה מבין שני המקורות אפקטיבי יותר.</w:t>
      </w:r>
    </w:p>
    <w:p>
      <w:pPr>
        <w:pStyle w:val="Heading2"/>
        <w:bidi/>
        <w:spacing w:after="120" w:before="220"/>
        <w:jc w:val="right"/>
      </w:pPr>
      <w:r>
        <w:rPr>
          <w:rFonts w:ascii="David" w:cs="David" w:eastAsia="David" w:hAnsi="David"/>
          <w:b/>
          <w:bCs/>
          <w:i w:val="false"/>
          <w:iCs w:val="false"/>
          <w:color w:val="2E5F7A"/>
          <w:sz w:val="27"/>
          <w:szCs w:val="27"/>
          <w:rtl/>
        </w:rPr>
        <w:t xml:space="preserve">השערות המחקר</w:t>
      </w:r>
    </w:p>
    <w:p>
      <w:pPr>
        <w:bidi/>
        <w:spacing w:after="160" w:before="0" w:line="360"/>
        <w:jc w:val="both"/>
      </w:pPr>
      <w:r>
        <w:rPr>
          <w:rFonts w:ascii="David" w:cs="David" w:eastAsia="David" w:hAnsi="David"/>
          <w:b/>
          <w:bCs/>
          <w:i w:val="false"/>
          <w:iCs w:val="false"/>
          <w:color w:val="000000"/>
          <w:sz w:val="24"/>
          <w:szCs w:val="24"/>
          <w:rtl/>
        </w:rPr>
        <w:t xml:space="preserve">השערה 1: </w:t>
      </w:r>
      <w:r>
        <w:rPr>
          <w:rFonts w:ascii="David" w:cs="David" w:eastAsia="David" w:hAnsi="David"/>
          <w:b w:val="false"/>
          <w:bCs w:val="false"/>
          <w:i w:val="false"/>
          <w:iCs w:val="false"/>
          <w:color w:val="000000"/>
          <w:sz w:val="24"/>
          <w:szCs w:val="24"/>
          <w:rtl/>
        </w:rPr>
        <w:t xml:space="preserve">משתתפים בתנאי חוויית השליטה (היזכרות בהצלחה אישית) ידווחו על תחושת חוללות עצמית גבוהה יותר בהשוואה למשתתפים בקבוצת הביקורת.</w:t>
      </w:r>
    </w:p>
    <w:p>
      <w:pPr>
        <w:bidi/>
        <w:spacing w:after="160" w:before="0" w:line="360"/>
        <w:jc w:val="both"/>
      </w:pPr>
      <w:r>
        <w:rPr>
          <w:rFonts w:ascii="David" w:cs="David" w:eastAsia="David" w:hAnsi="David"/>
          <w:b/>
          <w:bCs/>
          <w:i w:val="false"/>
          <w:iCs w:val="false"/>
          <w:color w:val="000000"/>
          <w:sz w:val="24"/>
          <w:szCs w:val="24"/>
          <w:rtl/>
        </w:rPr>
        <w:t xml:space="preserve">השערה 2: </w:t>
      </w:r>
      <w:r>
        <w:rPr>
          <w:rFonts w:ascii="David" w:cs="David" w:eastAsia="David" w:hAnsi="David"/>
          <w:b w:val="false"/>
          <w:bCs w:val="false"/>
          <w:i w:val="false"/>
          <w:iCs w:val="false"/>
          <w:color w:val="000000"/>
          <w:sz w:val="24"/>
          <w:szCs w:val="24"/>
          <w:rtl/>
        </w:rPr>
        <w:t xml:space="preserve">משתתפים בתנאי החשיפה העקיפה (קריאת עדות של עמית מצליח) ידווחו על תחושת חוללות עצמית גבוהה יותר בהשוואה למשתתפים בקבוצת הביקורת.</w:t>
      </w:r>
    </w:p>
    <w:p>
      <w:pPr>
        <w:bidi/>
        <w:spacing w:after="160" w:before="0" w:line="360"/>
        <w:jc w:val="both"/>
      </w:pPr>
      <w:r>
        <w:rPr>
          <w:rFonts w:ascii="David" w:cs="David" w:eastAsia="David" w:hAnsi="David"/>
          <w:b/>
          <w:bCs/>
          <w:i w:val="false"/>
          <w:iCs w:val="false"/>
          <w:color w:val="000000"/>
          <w:sz w:val="24"/>
          <w:szCs w:val="24"/>
          <w:rtl/>
        </w:rPr>
        <w:t xml:space="preserve">השערה 3: </w:t>
      </w:r>
      <w:r>
        <w:rPr>
          <w:rFonts w:ascii="David" w:cs="David" w:eastAsia="David" w:hAnsi="David"/>
          <w:b w:val="false"/>
          <w:bCs w:val="false"/>
          <w:i w:val="false"/>
          <w:iCs w:val="false"/>
          <w:color w:val="000000"/>
          <w:sz w:val="24"/>
          <w:szCs w:val="24"/>
          <w:rtl/>
        </w:rPr>
        <w:t xml:space="preserve">בהתאם לטענת בנדורה כי חוויות שליטה הן המקור העוצמתי ביותר, תחושת החוללות העצמית בתנאי חוויית השליטה תהיה גבוהה יותר מזו שבתנאי החשיפה העקיפה.</w:t>
      </w:r>
    </w:p>
    <w:p>
      <w:r>
        <w:br w:type="page"/>
      </w:r>
    </w:p>
    <w:p>
      <w:pPr>
        <w:pStyle w:val="Heading1"/>
        <w:bidi/>
        <w:spacing w:after="160" w:before="300"/>
        <w:jc w:val="right"/>
      </w:pPr>
      <w:r>
        <w:rPr>
          <w:rFonts w:ascii="David" w:cs="David" w:eastAsia="David" w:hAnsi="David"/>
          <w:b/>
          <w:bCs/>
          <w:i w:val="false"/>
          <w:iCs w:val="false"/>
          <w:color w:val="1F3A5F"/>
          <w:sz w:val="32"/>
          <w:szCs w:val="32"/>
          <w:rtl/>
        </w:rPr>
        <w:t xml:space="preserve">שיטה</w:t>
      </w:r>
    </w:p>
    <w:p>
      <w:pPr>
        <w:pStyle w:val="Heading2"/>
        <w:bidi/>
        <w:spacing w:after="120" w:before="220"/>
        <w:jc w:val="right"/>
      </w:pPr>
      <w:r>
        <w:rPr>
          <w:rFonts w:ascii="David" w:cs="David" w:eastAsia="David" w:hAnsi="David"/>
          <w:b/>
          <w:bCs/>
          <w:i w:val="false"/>
          <w:iCs w:val="false"/>
          <w:color w:val="2E5F7A"/>
          <w:sz w:val="27"/>
          <w:szCs w:val="27"/>
          <w:rtl/>
        </w:rPr>
        <w:t xml:space="preserve">משתתפים</w:t>
      </w:r>
    </w:p>
    <w:p>
      <w:pPr>
        <w:bidi/>
        <w:spacing w:after="160" w:before="0" w:line="360"/>
        <w:jc w:val="both"/>
      </w:pPr>
      <w:r>
        <w:rPr>
          <w:rFonts w:ascii="David" w:cs="David" w:eastAsia="David" w:hAnsi="David"/>
          <w:b w:val="false"/>
          <w:bCs w:val="false"/>
          <w:i w:val="false"/>
          <w:iCs w:val="false"/>
          <w:color w:val="000000"/>
          <w:sz w:val="24"/>
          <w:szCs w:val="24"/>
          <w:rtl/>
        </w:rPr>
        <w:t xml:space="preserve">במחקר השתתפו 33 סטודנטים וסטודנטיות (21 נשים, 12 גברים) בגילאי 18 עד 31 (M=24.3, SD=2.8). המשתתפים גויסו במדגם נוחות מקרב סטודנטים במוסדות להשכלה גבוהה, באמצעות פנייה אישית וברשתות חברתיות. ההשתתפות הייתה וולונטרית ואנונימית, וכל המשתתפים היו בני 18 ומעלה. המשתתפים חולקו אקראית לשלושת התנאים הניסוייים, כך שבכל תנאי נכללו 11 משתתפים. יש לציין כי מדובר במדגם נוחות, עובדה המגבילה את יכולת ההכללה של הממצאים (ראו פרק הדיון).</w:t>
      </w:r>
    </w:p>
    <w:p>
      <w:pPr>
        <w:pStyle w:val="Heading2"/>
        <w:bidi/>
        <w:spacing w:after="120" w:before="220"/>
        <w:jc w:val="right"/>
      </w:pPr>
      <w:r>
        <w:rPr>
          <w:rFonts w:ascii="David" w:cs="David" w:eastAsia="David" w:hAnsi="David"/>
          <w:b/>
          <w:bCs/>
          <w:i w:val="false"/>
          <w:iCs w:val="false"/>
          <w:color w:val="2E5F7A"/>
          <w:sz w:val="27"/>
          <w:szCs w:val="27"/>
          <w:rtl/>
        </w:rPr>
        <w:t xml:space="preserve">כלים</w:t>
      </w:r>
    </w:p>
    <w:p>
      <w:pPr>
        <w:bidi/>
        <w:spacing w:after="160" w:before="0" w:line="360"/>
        <w:jc w:val="both"/>
      </w:pPr>
      <w:r>
        <w:rPr>
          <w:rFonts w:ascii="David" w:cs="David" w:eastAsia="David" w:hAnsi="David"/>
          <w:b/>
          <w:bCs/>
          <w:i w:val="false"/>
          <w:iCs w:val="false"/>
          <w:color w:val="000000"/>
          <w:sz w:val="24"/>
          <w:szCs w:val="24"/>
          <w:rtl/>
        </w:rPr>
        <w:t xml:space="preserve">שאלון החוללות העצמית הכללית (NGSE). </w:t>
      </w:r>
      <w:r>
        <w:rPr>
          <w:rFonts w:ascii="David" w:cs="David" w:eastAsia="David" w:hAnsi="David"/>
          <w:b w:val="false"/>
          <w:bCs w:val="false"/>
          <w:i w:val="false"/>
          <w:iCs w:val="false"/>
          <w:color w:val="000000"/>
          <w:sz w:val="24"/>
          <w:szCs w:val="24"/>
          <w:rtl/>
        </w:rPr>
        <w:t xml:space="preserve">תחושת החוללות העצמית נמדדה באמצעות שאלון ה-NGSE שפיתחו צ'ן, גאלי ואדן (Chen et al., 2001). השאלון כולל שמונה היגדים (למשל: “אני יכול להשיג את מרבית המטרות שהצבתי לעצמי”, “כאשר אני ניצב מול משימות קשות, אני בטוח שאוכל לבצען”), המדורגים על גבי סולם ליקרט בן חמש דרגות (1 = מתנגד מאוד, 5 = מסכים מאוד). ציון החוללות מחושב כממוצע התשובות לשמונת הפריטים, כאשר ציון גבוה יותר מבטא תחושת חוללות עצמית גבוהה יותר. במחקר הנוכחי נמצאה מהימנות פנימית גבוהה לשאלון (α קרונבך = .89). נוסח מלא של השאלון מופיע בנספח א'.</w:t>
      </w:r>
    </w:p>
    <w:p>
      <w:pPr>
        <w:bidi/>
        <w:spacing w:after="160" w:before="0" w:line="360"/>
        <w:jc w:val="both"/>
      </w:pPr>
      <w:r>
        <w:rPr>
          <w:rFonts w:ascii="David" w:cs="David" w:eastAsia="David" w:hAnsi="David"/>
          <w:b/>
          <w:bCs/>
          <w:i w:val="false"/>
          <w:iCs w:val="false"/>
          <w:color w:val="000000"/>
          <w:sz w:val="24"/>
          <w:szCs w:val="24"/>
          <w:rtl/>
        </w:rPr>
        <w:t xml:space="preserve">חומרי המניפולציה. </w:t>
      </w:r>
      <w:r>
        <w:rPr>
          <w:rFonts w:ascii="David" w:cs="David" w:eastAsia="David" w:hAnsi="David"/>
          <w:b w:val="false"/>
          <w:bCs w:val="false"/>
          <w:i w:val="false"/>
          <w:iCs w:val="false"/>
          <w:color w:val="000000"/>
          <w:sz w:val="24"/>
          <w:szCs w:val="24"/>
          <w:rtl/>
        </w:rPr>
        <w:t xml:space="preserve">המשתנה הבלתי-תלוי — סוג המקור לחוללות עצמית — תופעל באמצעות משימת כתיבה/קריאה קצרה בעלת שלוש רמות. בתנאי חוויית השליטה התבקשו המשתתפים להיזכר ולתאר בכתב אירוע מן העבר שבו התמודדו עם משימה מאתגרת והצליחו בה בזכות מאמץ והתמדה. בתנאי החשיפה העקיפה קראו המשתתפים עדות קצרה בגוף ראשון של סטודנט/ית “עמית” שתיאר/ה התמודדות מוצלחת עם אתגר לימודי, והתבקשו להרהר בה. בתנאי הביקורת התבקשו המשתתפים לתאר בכתב את מסלול הגעתם היומי אל מקום הלימודים — משימה ניטרלית שאינה קשורה למסוגלות. נוסח מלא של הוראות המניפולציה מופיע בנספח ב'.</w:t>
      </w:r>
    </w:p>
    <w:p>
      <w:pPr>
        <w:bidi/>
        <w:spacing w:after="160" w:before="0" w:line="360"/>
        <w:jc w:val="both"/>
      </w:pPr>
      <w:r>
        <w:rPr>
          <w:rFonts w:ascii="David" w:cs="David" w:eastAsia="David" w:hAnsi="David"/>
          <w:b/>
          <w:bCs/>
          <w:i w:val="false"/>
          <w:iCs w:val="false"/>
          <w:color w:val="000000"/>
          <w:sz w:val="24"/>
          <w:szCs w:val="24"/>
          <w:rtl/>
        </w:rPr>
        <w:t xml:space="preserve">שאלון פרטים דמוגרפיים. </w:t>
      </w:r>
      <w:r>
        <w:rPr>
          <w:rFonts w:ascii="David" w:cs="David" w:eastAsia="David" w:hAnsi="David"/>
          <w:b w:val="false"/>
          <w:bCs w:val="false"/>
          <w:i w:val="false"/>
          <w:iCs w:val="false"/>
          <w:color w:val="000000"/>
          <w:sz w:val="24"/>
          <w:szCs w:val="24"/>
          <w:rtl/>
        </w:rPr>
        <w:t xml:space="preserve">בסיום נאספו פרטי גיל ומגדר לצורך תיאור המדגם בלבד.</w:t>
      </w:r>
    </w:p>
    <w:p>
      <w:pPr>
        <w:pStyle w:val="Heading2"/>
        <w:bidi/>
        <w:spacing w:after="120" w:before="220"/>
        <w:jc w:val="right"/>
      </w:pPr>
      <w:r>
        <w:rPr>
          <w:rFonts w:ascii="David" w:cs="David" w:eastAsia="David" w:hAnsi="David"/>
          <w:b/>
          <w:bCs/>
          <w:i w:val="false"/>
          <w:iCs w:val="false"/>
          <w:color w:val="2E5F7A"/>
          <w:sz w:val="27"/>
          <w:szCs w:val="27"/>
          <w:rtl/>
        </w:rPr>
        <w:t xml:space="preserve">הליך</w:t>
      </w:r>
    </w:p>
    <w:p>
      <w:pPr>
        <w:bidi/>
        <w:spacing w:after="160" w:before="0" w:line="360"/>
        <w:jc w:val="both"/>
      </w:pPr>
      <w:r>
        <w:rPr>
          <w:rFonts w:ascii="David" w:cs="David" w:eastAsia="David" w:hAnsi="David"/>
          <w:b w:val="false"/>
          <w:bCs w:val="false"/>
          <w:i w:val="false"/>
          <w:iCs w:val="false"/>
          <w:color w:val="000000"/>
          <w:sz w:val="24"/>
          <w:szCs w:val="24"/>
          <w:rtl/>
        </w:rPr>
        <w:t xml:space="preserve">המחקר הועבר באופן מקוון באמצעות מערכת Qualtrics. עם כניסתם קיבלו המשתתפים דף הסבר והסכמה מדעת, שבו הובהר כי ההשתתפות אנונימית וּוולונטרית וכי ניתן להפסיקה בכל שלב. לאחר מתן ההסכמה חולקו המשתתפים אקראית, באמצעות מנגנון הקצאה אקראית של Qualtrics, לאחד משלושת התנאים הניסוייים. בכל תנאי בוצעה משימת המניפולציה המתאימה (כתיבה או קריאה), אשר ארכה כשלוש עד חמש דקות. מיד לאחר המניפולציה מילאו המשתתפים את שאלון ה-NGSE, ולאחריו את שאלון הפרטים הדמוגרפיים. בסיום הוצג למשתתפים דף תודה ותדרוך קצר (debriefing) שהסביר את מטרת המחקר. משך ההשתתפות הכולל נע בין שבע לעשר דקות.</w:t>
      </w:r>
    </w:p>
    <w:p>
      <w:r>
        <w:br w:type="page"/>
      </w:r>
    </w:p>
    <w:p>
      <w:pPr>
        <w:pStyle w:val="Heading1"/>
        <w:bidi/>
        <w:spacing w:after="160" w:before="300"/>
        <w:jc w:val="right"/>
      </w:pPr>
      <w:r>
        <w:rPr>
          <w:rFonts w:ascii="David" w:cs="David" w:eastAsia="David" w:hAnsi="David"/>
          <w:b/>
          <w:bCs/>
          <w:i w:val="false"/>
          <w:iCs w:val="false"/>
          <w:color w:val="1F3A5F"/>
          <w:sz w:val="32"/>
          <w:szCs w:val="32"/>
          <w:rtl/>
        </w:rPr>
        <w:t xml:space="preserve">תוצאות</w:t>
      </w:r>
    </w:p>
    <w:p>
      <w:pPr>
        <w:bidi/>
        <w:spacing w:after="160" w:before="0" w:line="360"/>
        <w:jc w:val="both"/>
      </w:pPr>
      <w:r>
        <w:rPr>
          <w:rFonts w:ascii="David" w:cs="David" w:eastAsia="David" w:hAnsi="David"/>
          <w:b w:val="false"/>
          <w:bCs w:val="false"/>
          <w:i w:val="false"/>
          <w:iCs w:val="false"/>
          <w:color w:val="000000"/>
          <w:sz w:val="24"/>
          <w:szCs w:val="24"/>
          <w:rtl/>
        </w:rPr>
        <w:t xml:space="preserve">הנתונים נותחו באמצעות תוכנת SPSS. תחילה חושבו סטטיסטיקות תיאוריות (ממוצעים וסטיות תקן) של ציוני החוללות העצמית בשלושת התנאים (ראו טבלה 1). כפי שניתן לראות, ממוצע החוללות העצמית היה הגבוה ביותר בתנאי חוויית השליטה (M=4.05), נמוך יותר בתנאי החשיפה העקיפה (M=3.70), והנמוך ביותר בתנאי הביקורת (M=3.30).</w:t>
      </w:r>
    </w:p>
    <w:p>
      <w:pPr>
        <w:bidi/>
        <w:spacing w:after="80" w:before="80"/>
        <w:jc w:val="center"/>
      </w:pPr>
      <w:r>
        <w:rPr>
          <w:rFonts w:ascii="David" w:cs="David" w:eastAsia="David" w:hAnsi="David"/>
          <w:b/>
          <w:bCs/>
          <w:i w:val="false"/>
          <w:iCs w:val="false"/>
          <w:color w:val="000000"/>
          <w:sz w:val="24"/>
          <w:szCs w:val="24"/>
          <w:rtl/>
        </w:rPr>
        <w:t xml:space="preserve">טבלה 1</w:t>
      </w:r>
      <w:r>
        <w:rPr>
          <w:rFonts w:ascii="David" w:cs="David" w:eastAsia="David" w:hAnsi="David"/>
          <w:b w:val="false"/>
          <w:bCs w:val="false"/>
          <w:i w:val="false"/>
          <w:iCs w:val="false"/>
          <w:color w:val="000000"/>
          <w:sz w:val="24"/>
          <w:szCs w:val="24"/>
          <w:rtl/>
        </w:rPr>
        <w:t xml:space="preserve">: ממוצעים וסטיות תקן של ציוני החוללות העצמית לפי תנאי ניסויי</w:t>
      </w:r>
    </w:p>
    <w:tbl>
      <w:tblPr>
        <w:bidiVisual/>
        <w:tblW w:type="dxa" w:w="9000"/>
        <w:jc w:val="center"/>
        <w:tblBorders>
          <w:top w:val="single" w:color="9DB4C0" w:sz="4"/>
          <w:left w:val="single" w:color="9DB4C0" w:sz="4"/>
          <w:bottom w:val="single" w:color="9DB4C0" w:sz="4"/>
          <w:right w:val="single" w:color="9DB4C0" w:sz="4"/>
          <w:insideH w:val="single" w:color="9DB4C0" w:sz="4"/>
          <w:insideV w:val="single" w:color="9DB4C0" w:sz="4"/>
        </w:tblBorders>
      </w:tblPr>
      <w:tblGrid>
        <w:gridCol w:w="3000"/>
        <w:gridCol w:w="1400"/>
        <w:gridCol w:w="2300"/>
        <w:gridCol w:w="2300"/>
      </w:tblGrid>
      <w:tr>
        <w:trPr>
          <w:tblHeader/>
        </w:trPr>
        <w:tc>
          <w:tcPr>
            <w:tcW w:type="dxa" w:w="3000"/>
            <w:shd w:fill="2E5F7A" w:color="auto" w:val="clear"/>
            <w:tcMar>
              <w:top w:type="dxa" w:w="60"/>
              <w:left w:type="dxa" w:w="90"/>
              <w:bottom w:type="dxa" w:w="60"/>
              <w:right w:type="dxa" w:w="90"/>
            </w:tcMar>
          </w:tcPr>
          <w:p>
            <w:pPr>
              <w:bidi/>
              <w:spacing w:after="0" w:line="276"/>
              <w:jc w:val="center"/>
            </w:pPr>
            <w:r>
              <w:rPr>
                <w:rFonts w:ascii="David" w:cs="David" w:eastAsia="David" w:hAnsi="David"/>
                <w:b/>
                <w:bCs/>
                <w:i w:val="false"/>
                <w:iCs w:val="false"/>
                <w:color w:val="FFFFFF"/>
                <w:sz w:val="24"/>
                <w:szCs w:val="24"/>
                <w:rtl/>
              </w:rPr>
              <w:t xml:space="preserve">תנאי ניסויי</w:t>
            </w:r>
          </w:p>
        </w:tc>
        <w:tc>
          <w:tcPr>
            <w:tcW w:type="dxa" w:w="1400"/>
            <w:shd w:fill="2E5F7A" w:color="auto" w:val="clear"/>
            <w:tcMar>
              <w:top w:type="dxa" w:w="60"/>
              <w:left w:type="dxa" w:w="90"/>
              <w:bottom w:type="dxa" w:w="60"/>
              <w:right w:type="dxa" w:w="90"/>
            </w:tcMar>
          </w:tcPr>
          <w:p>
            <w:pPr>
              <w:bidi/>
              <w:spacing w:after="0" w:line="276"/>
              <w:jc w:val="center"/>
            </w:pPr>
            <w:r>
              <w:rPr>
                <w:rFonts w:ascii="David" w:cs="David" w:eastAsia="David" w:hAnsi="David"/>
                <w:b/>
                <w:bCs/>
                <w:i w:val="false"/>
                <w:iCs w:val="false"/>
                <w:color w:val="FFFFFF"/>
                <w:sz w:val="24"/>
                <w:szCs w:val="24"/>
                <w:rtl/>
              </w:rPr>
              <w:t xml:space="preserve">N</w:t>
            </w:r>
          </w:p>
        </w:tc>
        <w:tc>
          <w:tcPr>
            <w:tcW w:type="dxa" w:w="2300"/>
            <w:shd w:fill="2E5F7A" w:color="auto" w:val="clear"/>
            <w:tcMar>
              <w:top w:type="dxa" w:w="60"/>
              <w:left w:type="dxa" w:w="90"/>
              <w:bottom w:type="dxa" w:w="60"/>
              <w:right w:type="dxa" w:w="90"/>
            </w:tcMar>
          </w:tcPr>
          <w:p>
            <w:pPr>
              <w:bidi/>
              <w:spacing w:after="0" w:line="276"/>
              <w:jc w:val="center"/>
            </w:pPr>
            <w:r>
              <w:rPr>
                <w:rFonts w:ascii="David" w:cs="David" w:eastAsia="David" w:hAnsi="David"/>
                <w:b/>
                <w:bCs/>
                <w:i w:val="false"/>
                <w:iCs w:val="false"/>
                <w:color w:val="FFFFFF"/>
                <w:sz w:val="24"/>
                <w:szCs w:val="24"/>
                <w:rtl/>
              </w:rPr>
              <w:t xml:space="preserve">ממוצע (M)</w:t>
            </w:r>
          </w:p>
        </w:tc>
        <w:tc>
          <w:tcPr>
            <w:tcW w:type="dxa" w:w="2300"/>
            <w:shd w:fill="2E5F7A" w:color="auto" w:val="clear"/>
            <w:tcMar>
              <w:top w:type="dxa" w:w="60"/>
              <w:left w:type="dxa" w:w="90"/>
              <w:bottom w:type="dxa" w:w="60"/>
              <w:right w:type="dxa" w:w="90"/>
            </w:tcMar>
          </w:tcPr>
          <w:p>
            <w:pPr>
              <w:bidi/>
              <w:spacing w:after="0" w:line="276"/>
              <w:jc w:val="center"/>
            </w:pPr>
            <w:r>
              <w:rPr>
                <w:rFonts w:ascii="David" w:cs="David" w:eastAsia="David" w:hAnsi="David"/>
                <w:b/>
                <w:bCs/>
                <w:i w:val="false"/>
                <w:iCs w:val="false"/>
                <w:color w:val="FFFFFF"/>
                <w:sz w:val="24"/>
                <w:szCs w:val="24"/>
                <w:rtl/>
              </w:rPr>
              <w:t xml:space="preserve">סטיית תקן (SD)</w:t>
            </w:r>
          </w:p>
        </w:tc>
      </w:tr>
      <w:tr>
        <w:tc>
          <w:tcPr>
            <w:tcW w:type="dxa" w:w="3000"/>
            <w:shd w:fill="EAF1F5" w:color="auto" w:val="clear"/>
            <w:tcMar>
              <w:top w:type="dxa" w:w="60"/>
              <w:left w:type="dxa" w:w="90"/>
              <w:bottom w:type="dxa" w:w="60"/>
              <w:right w:type="dxa" w:w="90"/>
            </w:tcMar>
          </w:tcPr>
          <w:p>
            <w:pPr>
              <w:bidi/>
              <w:spacing w:after="0" w:line="276"/>
              <w:jc w:val="center"/>
            </w:pPr>
            <w:r>
              <w:rPr>
                <w:rFonts w:ascii="David" w:cs="David" w:eastAsia="David" w:hAnsi="David"/>
                <w:b w:val="false"/>
                <w:bCs w:val="false"/>
                <w:i w:val="false"/>
                <w:iCs w:val="false"/>
                <w:color w:val="000000"/>
                <w:sz w:val="24"/>
                <w:szCs w:val="24"/>
                <w:rtl/>
              </w:rPr>
              <w:t xml:space="preserve">חוויית שליטה (היזכרות בהצלחה)</w:t>
            </w:r>
          </w:p>
        </w:tc>
        <w:tc>
          <w:tcPr>
            <w:tcW w:type="dxa" w:w="1400"/>
            <w:shd w:fill="EAF1F5" w:color="auto" w:val="clear"/>
            <w:tcMar>
              <w:top w:type="dxa" w:w="60"/>
              <w:left w:type="dxa" w:w="90"/>
              <w:bottom w:type="dxa" w:w="60"/>
              <w:right w:type="dxa" w:w="90"/>
            </w:tcMar>
          </w:tcPr>
          <w:p>
            <w:pPr>
              <w:bidi/>
              <w:spacing w:after="0" w:line="276"/>
              <w:jc w:val="center"/>
            </w:pPr>
            <w:r>
              <w:rPr>
                <w:rFonts w:ascii="David" w:cs="David" w:eastAsia="David" w:hAnsi="David"/>
                <w:b w:val="false"/>
                <w:bCs w:val="false"/>
                <w:i w:val="false"/>
                <w:iCs w:val="false"/>
                <w:color w:val="000000"/>
                <w:sz w:val="24"/>
                <w:szCs w:val="24"/>
                <w:rtl/>
              </w:rPr>
              <w:t xml:space="preserve">11</w:t>
            </w:r>
          </w:p>
        </w:tc>
        <w:tc>
          <w:tcPr>
            <w:tcW w:type="dxa" w:w="2300"/>
            <w:shd w:fill="EAF1F5" w:color="auto" w:val="clear"/>
            <w:tcMar>
              <w:top w:type="dxa" w:w="60"/>
              <w:left w:type="dxa" w:w="90"/>
              <w:bottom w:type="dxa" w:w="60"/>
              <w:right w:type="dxa" w:w="90"/>
            </w:tcMar>
          </w:tcPr>
          <w:p>
            <w:pPr>
              <w:bidi/>
              <w:spacing w:after="0" w:line="276"/>
              <w:jc w:val="center"/>
            </w:pPr>
            <w:r>
              <w:rPr>
                <w:rFonts w:ascii="David" w:cs="David" w:eastAsia="David" w:hAnsi="David"/>
                <w:b w:val="false"/>
                <w:bCs w:val="false"/>
                <w:i w:val="false"/>
                <w:iCs w:val="false"/>
                <w:color w:val="000000"/>
                <w:sz w:val="24"/>
                <w:szCs w:val="24"/>
                <w:rtl/>
              </w:rPr>
              <w:t xml:space="preserve">4.05</w:t>
            </w:r>
          </w:p>
        </w:tc>
        <w:tc>
          <w:tcPr>
            <w:tcW w:type="dxa" w:w="2300"/>
            <w:shd w:fill="EAF1F5" w:color="auto" w:val="clear"/>
            <w:tcMar>
              <w:top w:type="dxa" w:w="60"/>
              <w:left w:type="dxa" w:w="90"/>
              <w:bottom w:type="dxa" w:w="60"/>
              <w:right w:type="dxa" w:w="90"/>
            </w:tcMar>
          </w:tcPr>
          <w:p>
            <w:pPr>
              <w:bidi/>
              <w:spacing w:after="0" w:line="276"/>
              <w:jc w:val="center"/>
            </w:pPr>
            <w:r>
              <w:rPr>
                <w:rFonts w:ascii="David" w:cs="David" w:eastAsia="David" w:hAnsi="David"/>
                <w:b w:val="false"/>
                <w:bCs w:val="false"/>
                <w:i w:val="false"/>
                <w:iCs w:val="false"/>
                <w:color w:val="000000"/>
                <w:sz w:val="24"/>
                <w:szCs w:val="24"/>
                <w:rtl/>
              </w:rPr>
              <w:t xml:space="preserve">0.57</w:t>
            </w:r>
          </w:p>
        </w:tc>
      </w:tr>
      <w:tr>
        <w:tc>
          <w:tcPr>
            <w:tcW w:type="dxa" w:w="3000"/>
            <w:shd w:fill="FFFFFF" w:color="auto" w:val="clear"/>
            <w:tcMar>
              <w:top w:type="dxa" w:w="60"/>
              <w:left w:type="dxa" w:w="90"/>
              <w:bottom w:type="dxa" w:w="60"/>
              <w:right w:type="dxa" w:w="90"/>
            </w:tcMar>
          </w:tcPr>
          <w:p>
            <w:pPr>
              <w:bidi/>
              <w:spacing w:after="0" w:line="276"/>
              <w:jc w:val="center"/>
            </w:pPr>
            <w:r>
              <w:rPr>
                <w:rFonts w:ascii="David" w:cs="David" w:eastAsia="David" w:hAnsi="David"/>
                <w:b w:val="false"/>
                <w:bCs w:val="false"/>
                <w:i w:val="false"/>
                <w:iCs w:val="false"/>
                <w:color w:val="000000"/>
                <w:sz w:val="24"/>
                <w:szCs w:val="24"/>
                <w:rtl/>
              </w:rPr>
              <w:t xml:space="preserve">חשיפה עקיפה (עדות עמית)</w:t>
            </w:r>
          </w:p>
        </w:tc>
        <w:tc>
          <w:tcPr>
            <w:tcW w:type="dxa" w:w="1400"/>
            <w:shd w:fill="FFFFFF" w:color="auto" w:val="clear"/>
            <w:tcMar>
              <w:top w:type="dxa" w:w="60"/>
              <w:left w:type="dxa" w:w="90"/>
              <w:bottom w:type="dxa" w:w="60"/>
              <w:right w:type="dxa" w:w="90"/>
            </w:tcMar>
          </w:tcPr>
          <w:p>
            <w:pPr>
              <w:bidi/>
              <w:spacing w:after="0" w:line="276"/>
              <w:jc w:val="center"/>
            </w:pPr>
            <w:r>
              <w:rPr>
                <w:rFonts w:ascii="David" w:cs="David" w:eastAsia="David" w:hAnsi="David"/>
                <w:b w:val="false"/>
                <w:bCs w:val="false"/>
                <w:i w:val="false"/>
                <w:iCs w:val="false"/>
                <w:color w:val="000000"/>
                <w:sz w:val="24"/>
                <w:szCs w:val="24"/>
                <w:rtl/>
              </w:rPr>
              <w:t xml:space="preserve">11</w:t>
            </w:r>
          </w:p>
        </w:tc>
        <w:tc>
          <w:tcPr>
            <w:tcW w:type="dxa" w:w="2300"/>
            <w:shd w:fill="FFFFFF" w:color="auto" w:val="clear"/>
            <w:tcMar>
              <w:top w:type="dxa" w:w="60"/>
              <w:left w:type="dxa" w:w="90"/>
              <w:bottom w:type="dxa" w:w="60"/>
              <w:right w:type="dxa" w:w="90"/>
            </w:tcMar>
          </w:tcPr>
          <w:p>
            <w:pPr>
              <w:bidi/>
              <w:spacing w:after="0" w:line="276"/>
              <w:jc w:val="center"/>
            </w:pPr>
            <w:r>
              <w:rPr>
                <w:rFonts w:ascii="David" w:cs="David" w:eastAsia="David" w:hAnsi="David"/>
                <w:b w:val="false"/>
                <w:bCs w:val="false"/>
                <w:i w:val="false"/>
                <w:iCs w:val="false"/>
                <w:color w:val="000000"/>
                <w:sz w:val="24"/>
                <w:szCs w:val="24"/>
                <w:rtl/>
              </w:rPr>
              <w:t xml:space="preserve">3.70</w:t>
            </w:r>
          </w:p>
        </w:tc>
        <w:tc>
          <w:tcPr>
            <w:tcW w:type="dxa" w:w="2300"/>
            <w:shd w:fill="FFFFFF" w:color="auto" w:val="clear"/>
            <w:tcMar>
              <w:top w:type="dxa" w:w="60"/>
              <w:left w:type="dxa" w:w="90"/>
              <w:bottom w:type="dxa" w:w="60"/>
              <w:right w:type="dxa" w:w="90"/>
            </w:tcMar>
          </w:tcPr>
          <w:p>
            <w:pPr>
              <w:bidi/>
              <w:spacing w:after="0" w:line="276"/>
              <w:jc w:val="center"/>
            </w:pPr>
            <w:r>
              <w:rPr>
                <w:rFonts w:ascii="David" w:cs="David" w:eastAsia="David" w:hAnsi="David"/>
                <w:b w:val="false"/>
                <w:bCs w:val="false"/>
                <w:i w:val="false"/>
                <w:iCs w:val="false"/>
                <w:color w:val="000000"/>
                <w:sz w:val="24"/>
                <w:szCs w:val="24"/>
                <w:rtl/>
              </w:rPr>
              <w:t xml:space="preserve">0.52</w:t>
            </w:r>
          </w:p>
        </w:tc>
      </w:tr>
      <w:tr>
        <w:tc>
          <w:tcPr>
            <w:tcW w:type="dxa" w:w="3000"/>
            <w:shd w:fill="EAF1F5" w:color="auto" w:val="clear"/>
            <w:tcMar>
              <w:top w:type="dxa" w:w="60"/>
              <w:left w:type="dxa" w:w="90"/>
              <w:bottom w:type="dxa" w:w="60"/>
              <w:right w:type="dxa" w:w="90"/>
            </w:tcMar>
          </w:tcPr>
          <w:p>
            <w:pPr>
              <w:bidi/>
              <w:spacing w:after="0" w:line="276"/>
              <w:jc w:val="center"/>
            </w:pPr>
            <w:r>
              <w:rPr>
                <w:rFonts w:ascii="David" w:cs="David" w:eastAsia="David" w:hAnsi="David"/>
                <w:b w:val="false"/>
                <w:bCs w:val="false"/>
                <w:i w:val="false"/>
                <w:iCs w:val="false"/>
                <w:color w:val="000000"/>
                <w:sz w:val="24"/>
                <w:szCs w:val="24"/>
                <w:rtl/>
              </w:rPr>
              <w:t xml:space="preserve">ביקורת (משימה ניטרלית)</w:t>
            </w:r>
          </w:p>
        </w:tc>
        <w:tc>
          <w:tcPr>
            <w:tcW w:type="dxa" w:w="1400"/>
            <w:shd w:fill="EAF1F5" w:color="auto" w:val="clear"/>
            <w:tcMar>
              <w:top w:type="dxa" w:w="60"/>
              <w:left w:type="dxa" w:w="90"/>
              <w:bottom w:type="dxa" w:w="60"/>
              <w:right w:type="dxa" w:w="90"/>
            </w:tcMar>
          </w:tcPr>
          <w:p>
            <w:pPr>
              <w:bidi/>
              <w:spacing w:after="0" w:line="276"/>
              <w:jc w:val="center"/>
            </w:pPr>
            <w:r>
              <w:rPr>
                <w:rFonts w:ascii="David" w:cs="David" w:eastAsia="David" w:hAnsi="David"/>
                <w:b w:val="false"/>
                <w:bCs w:val="false"/>
                <w:i w:val="false"/>
                <w:iCs w:val="false"/>
                <w:color w:val="000000"/>
                <w:sz w:val="24"/>
                <w:szCs w:val="24"/>
                <w:rtl/>
              </w:rPr>
              <w:t xml:space="preserve">11</w:t>
            </w:r>
          </w:p>
        </w:tc>
        <w:tc>
          <w:tcPr>
            <w:tcW w:type="dxa" w:w="2300"/>
            <w:shd w:fill="EAF1F5" w:color="auto" w:val="clear"/>
            <w:tcMar>
              <w:top w:type="dxa" w:w="60"/>
              <w:left w:type="dxa" w:w="90"/>
              <w:bottom w:type="dxa" w:w="60"/>
              <w:right w:type="dxa" w:w="90"/>
            </w:tcMar>
          </w:tcPr>
          <w:p>
            <w:pPr>
              <w:bidi/>
              <w:spacing w:after="0" w:line="276"/>
              <w:jc w:val="center"/>
            </w:pPr>
            <w:r>
              <w:rPr>
                <w:rFonts w:ascii="David" w:cs="David" w:eastAsia="David" w:hAnsi="David"/>
                <w:b w:val="false"/>
                <w:bCs w:val="false"/>
                <w:i w:val="false"/>
                <w:iCs w:val="false"/>
                <w:color w:val="000000"/>
                <w:sz w:val="24"/>
                <w:szCs w:val="24"/>
                <w:rtl/>
              </w:rPr>
              <w:t xml:space="preserve">3.30</w:t>
            </w:r>
          </w:p>
        </w:tc>
        <w:tc>
          <w:tcPr>
            <w:tcW w:type="dxa" w:w="2300"/>
            <w:shd w:fill="EAF1F5" w:color="auto" w:val="clear"/>
            <w:tcMar>
              <w:top w:type="dxa" w:w="60"/>
              <w:left w:type="dxa" w:w="90"/>
              <w:bottom w:type="dxa" w:w="60"/>
              <w:right w:type="dxa" w:w="90"/>
            </w:tcMar>
          </w:tcPr>
          <w:p>
            <w:pPr>
              <w:bidi/>
              <w:spacing w:after="0" w:line="276"/>
              <w:jc w:val="center"/>
            </w:pPr>
            <w:r>
              <w:rPr>
                <w:rFonts w:ascii="David" w:cs="David" w:eastAsia="David" w:hAnsi="David"/>
                <w:b w:val="false"/>
                <w:bCs w:val="false"/>
                <w:i w:val="false"/>
                <w:iCs w:val="false"/>
                <w:color w:val="000000"/>
                <w:sz w:val="24"/>
                <w:szCs w:val="24"/>
                <w:rtl/>
              </w:rPr>
              <w:t xml:space="preserve">0.55</w:t>
            </w:r>
          </w:p>
        </w:tc>
      </w:tr>
      <w:tr>
        <w:tc>
          <w:tcPr>
            <w:tcW w:type="dxa" w:w="3000"/>
            <w:shd w:fill="D9E4EC" w:color="auto" w:val="clear"/>
            <w:tcMar>
              <w:top w:type="dxa" w:w="60"/>
              <w:left w:type="dxa" w:w="90"/>
              <w:bottom w:type="dxa" w:w="60"/>
              <w:right w:type="dxa" w:w="90"/>
            </w:tcMar>
          </w:tcPr>
          <w:p>
            <w:pPr>
              <w:bidi/>
              <w:spacing w:after="0" w:line="276"/>
              <w:jc w:val="center"/>
            </w:pPr>
            <w:r>
              <w:rPr>
                <w:rFonts w:ascii="David" w:cs="David" w:eastAsia="David" w:hAnsi="David"/>
                <w:b/>
                <w:bCs/>
                <w:i w:val="false"/>
                <w:iCs w:val="false"/>
                <w:color w:val="000000"/>
                <w:sz w:val="24"/>
                <w:szCs w:val="24"/>
                <w:rtl/>
              </w:rPr>
              <w:t xml:space="preserve">סה״כ</w:t>
            </w:r>
          </w:p>
        </w:tc>
        <w:tc>
          <w:tcPr>
            <w:tcW w:type="dxa" w:w="1400"/>
            <w:shd w:fill="D9E4EC" w:color="auto" w:val="clear"/>
            <w:tcMar>
              <w:top w:type="dxa" w:w="60"/>
              <w:left w:type="dxa" w:w="90"/>
              <w:bottom w:type="dxa" w:w="60"/>
              <w:right w:type="dxa" w:w="90"/>
            </w:tcMar>
          </w:tcPr>
          <w:p>
            <w:pPr>
              <w:bidi/>
              <w:spacing w:after="0" w:line="276"/>
              <w:jc w:val="center"/>
            </w:pPr>
            <w:r>
              <w:rPr>
                <w:rFonts w:ascii="David" w:cs="David" w:eastAsia="David" w:hAnsi="David"/>
                <w:b/>
                <w:bCs/>
                <w:i w:val="false"/>
                <w:iCs w:val="false"/>
                <w:color w:val="000000"/>
                <w:sz w:val="24"/>
                <w:szCs w:val="24"/>
                <w:rtl/>
              </w:rPr>
              <w:t xml:space="preserve">33</w:t>
            </w:r>
          </w:p>
        </w:tc>
        <w:tc>
          <w:tcPr>
            <w:tcW w:type="dxa" w:w="2300"/>
            <w:shd w:fill="D9E4EC" w:color="auto" w:val="clear"/>
            <w:tcMar>
              <w:top w:type="dxa" w:w="60"/>
              <w:left w:type="dxa" w:w="90"/>
              <w:bottom w:type="dxa" w:w="60"/>
              <w:right w:type="dxa" w:w="90"/>
            </w:tcMar>
          </w:tcPr>
          <w:p>
            <w:pPr>
              <w:bidi/>
              <w:spacing w:after="0" w:line="276"/>
              <w:jc w:val="center"/>
            </w:pPr>
            <w:r>
              <w:rPr>
                <w:rFonts w:ascii="David" w:cs="David" w:eastAsia="David" w:hAnsi="David"/>
                <w:b/>
                <w:bCs/>
                <w:i w:val="false"/>
                <w:iCs w:val="false"/>
                <w:color w:val="000000"/>
                <w:sz w:val="24"/>
                <w:szCs w:val="24"/>
                <w:rtl/>
              </w:rPr>
              <w:t xml:space="preserve">3.68</w:t>
            </w:r>
          </w:p>
        </w:tc>
        <w:tc>
          <w:tcPr>
            <w:tcW w:type="dxa" w:w="2300"/>
            <w:shd w:fill="D9E4EC" w:color="auto" w:val="clear"/>
            <w:tcMar>
              <w:top w:type="dxa" w:w="60"/>
              <w:left w:type="dxa" w:w="90"/>
              <w:bottom w:type="dxa" w:w="60"/>
              <w:right w:type="dxa" w:w="90"/>
            </w:tcMar>
          </w:tcPr>
          <w:p>
            <w:pPr>
              <w:bidi/>
              <w:spacing w:after="0" w:line="276"/>
              <w:jc w:val="center"/>
            </w:pPr>
            <w:r>
              <w:rPr>
                <w:rFonts w:ascii="David" w:cs="David" w:eastAsia="David" w:hAnsi="David"/>
                <w:b/>
                <w:bCs/>
                <w:i w:val="false"/>
                <w:iCs w:val="false"/>
                <w:color w:val="000000"/>
                <w:sz w:val="24"/>
                <w:szCs w:val="24"/>
                <w:rtl/>
              </w:rPr>
              <w:t xml:space="preserve">0.61</w:t>
            </w:r>
          </w:p>
        </w:tc>
      </w:tr>
    </w:tbl>
    <w:p>
      <w:pPr>
        <w:bidi/>
        <w:spacing w:after="60" w:before="0" w:line="360"/>
        <w:jc w:val="both"/>
      </w:pPr>
      <w:r>
        <w:rPr>
          <w:rFonts w:ascii="David" w:cs="David" w:eastAsia="David" w:hAnsi="David"/>
          <w:b w:val="false"/>
          <w:bCs w:val="false"/>
          <w:i w:val="false"/>
          <w:iCs w:val="false"/>
          <w:color w:val="000000"/>
          <w:sz w:val="24"/>
          <w:szCs w:val="24"/>
          <w:rtl/>
        </w:rPr>
        <w:t xml:space="preserve"/>
      </w:r>
    </w:p>
    <w:p>
      <w:pPr>
        <w:bidi/>
        <w:spacing w:after="160" w:before="0" w:line="360"/>
        <w:jc w:val="both"/>
      </w:pPr>
      <w:r>
        <w:rPr>
          <w:rFonts w:ascii="David" w:cs="David" w:eastAsia="David" w:hAnsi="David"/>
          <w:b w:val="false"/>
          <w:bCs w:val="false"/>
          <w:i w:val="false"/>
          <w:iCs w:val="false"/>
          <w:color w:val="000000"/>
          <w:sz w:val="24"/>
          <w:szCs w:val="24"/>
          <w:rtl/>
        </w:rPr>
        <w:t xml:space="preserve">לפני ביצוע ניתוח השונות נבדקה הנחת שוויון השונויות באמצעות מבחן Levene, שלא נמצא מובהק (p=.71), ומכאן שההנחה לא הופרה. לבחינת ההשערות בוצע ניתוח שונות חד-כיווני (One-Way ANOVA) עם המשתנה הבלתי-תלוי (תנאי ניסויי, שלוש רמות) כגורם בין-נבדקי. הניתוח העלה אפקט ראשי מובהק של התנאי הניסויי על תחושת החוללות העצמית, F(2,30)=5.18, p=.012, η²=.26, מה שמעיד על גודל אפקט גדול.</w:t>
      </w:r>
    </w:p>
    <w:p>
      <w:pPr>
        <w:bidi/>
        <w:spacing w:after="160" w:before="0" w:line="360"/>
        <w:jc w:val="both"/>
      </w:pPr>
      <w:r>
        <w:rPr>
          <w:rFonts w:ascii="David" w:cs="David" w:eastAsia="David" w:hAnsi="David"/>
          <w:b w:val="false"/>
          <w:bCs w:val="false"/>
          <w:i w:val="false"/>
          <w:iCs w:val="false"/>
          <w:color w:val="000000"/>
          <w:sz w:val="24"/>
          <w:szCs w:val="24"/>
          <w:rtl/>
        </w:rPr>
        <w:t xml:space="preserve">לבחינת מקור ההבדלים בוצעו השוואות מרובות בשיטת Tukey HSD. נמצא כי משתתפי תנאי חוויית השליטה (M=4.05) דיווחו על תחושת חוללות עצמית גבוהה יותר באופן מובהק בהשוואה למשתתפי קבוצת הביקורת (M=3.30), עם הפרש ממוצעים של 0.75 (p=.008). לעומת זאת, ההפרש בין תנאי החשיפה העקיפה (M=3.70) לבין קבוצת הביקורת לא הגיע לרמת מובהקות (p=.21), וכך גם ההפרש בין תנאי חוויית השליטה לבין תנאי החשיפה העקיפה (p=.29), אף שכיוון ההבדל היה כמצופה. ממצאים אלו מוצגים באופן חזותי באיור 1.</w:t>
      </w:r>
    </w:p>
    <w:p>
      <w:pPr>
        <w:bidi/>
        <w:spacing w:after="60" w:before="120"/>
        <w:jc w:val="center"/>
      </w:pPr>
      <w:r>
        <w:drawing>
          <wp:inline distT="0" distB="0" distL="0" distR="0">
            <wp:extent cx="447675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2857500"/>
                    </a:xfrm>
                    <a:prstGeom prst="rect">
                      <a:avLst/>
                    </a:prstGeom>
                  </pic:spPr>
                </pic:pic>
              </a:graphicData>
            </a:graphic>
          </wp:inline>
        </w:drawing>
      </w:r>
    </w:p>
    <w:p>
      <w:pPr>
        <w:bidi/>
        <w:spacing w:after="200"/>
        <w:jc w:val="center"/>
      </w:pPr>
      <w:r>
        <w:rPr>
          <w:rFonts w:ascii="David" w:cs="David" w:eastAsia="David" w:hAnsi="David"/>
          <w:b/>
          <w:bCs/>
          <w:i w:val="false"/>
          <w:iCs w:val="false"/>
          <w:color w:val="000000"/>
          <w:sz w:val="24"/>
          <w:szCs w:val="24"/>
          <w:rtl/>
        </w:rPr>
        <w:t xml:space="preserve">איור 1</w:t>
      </w:r>
      <w:r>
        <w:rPr>
          <w:rFonts w:ascii="David" w:cs="David" w:eastAsia="David" w:hAnsi="David"/>
          <w:b w:val="false"/>
          <w:bCs w:val="false"/>
          <w:i w:val="false"/>
          <w:iCs w:val="false"/>
          <w:color w:val="000000"/>
          <w:sz w:val="24"/>
          <w:szCs w:val="24"/>
          <w:rtl/>
        </w:rPr>
        <w:t xml:space="preserve">: ממוצעי החוללות העצמית הכללית לפי תנאי ניסויי (קווי השגיאה מייצגים שגיאת תקן).</w:t>
      </w:r>
    </w:p>
    <w:p>
      <w:r>
        <w:br w:type="page"/>
      </w:r>
    </w:p>
    <w:p>
      <w:pPr>
        <w:pStyle w:val="Heading1"/>
        <w:bidi/>
        <w:spacing w:after="160" w:before="300"/>
        <w:jc w:val="right"/>
      </w:pPr>
      <w:r>
        <w:rPr>
          <w:rFonts w:ascii="David" w:cs="David" w:eastAsia="David" w:hAnsi="David"/>
          <w:b/>
          <w:bCs/>
          <w:i w:val="false"/>
          <w:iCs w:val="false"/>
          <w:color w:val="1F3A5F"/>
          <w:sz w:val="32"/>
          <w:szCs w:val="32"/>
          <w:rtl/>
        </w:rPr>
        <w:t xml:space="preserve">דיון</w:t>
      </w:r>
    </w:p>
    <w:p>
      <w:pPr>
        <w:bidi/>
        <w:spacing w:after="160" w:before="0" w:line="360"/>
        <w:jc w:val="both"/>
      </w:pPr>
      <w:r>
        <w:rPr>
          <w:rFonts w:ascii="David" w:cs="David" w:eastAsia="David" w:hAnsi="David"/>
          <w:b w:val="false"/>
          <w:bCs w:val="false"/>
          <w:i w:val="false"/>
          <w:iCs w:val="false"/>
          <w:color w:val="000000"/>
          <w:sz w:val="24"/>
          <w:szCs w:val="24"/>
          <w:rtl/>
        </w:rPr>
        <w:t xml:space="preserve">מטרת המחקר הנוכחי הייתה לבחון את השפעתם של שני מקורות החוללות המרכזיים — חוויית שליטה וחשיפה עקיפה — על תחושת החוללות העצמית הכללית. הממצאים תמכו באופן חלקי בהשערות המחקר. בהתאם להשערה הראשונה, משתתפים שנחשפו לאינדוקציה של חוויית שליטה (היזכרות בהצלחה אישית) דיווחו על תחושת חוללות עצמית גבוהה יותר באופן מובהק מקבוצת הביקורת. לעומת זאת, השערה שנייה לא אוששה: ההבדל בין תנאי החשיפה העקיפה לבין הביקורת לא הגיע לרמת מובהקות סטטיסטית, אף שהיה בכיוון הצפוי. השערה שלישית, שלפיה חוויית השליטה תעלה על החשיפה העקיפה, לא אוששה סטטיסטית — אף כי דפוס הממוצעים תואם את הכיוון שניבאה התיאוריה.</w:t>
      </w:r>
    </w:p>
    <w:p>
      <w:pPr>
        <w:bidi/>
        <w:spacing w:after="160" w:before="0" w:line="360"/>
        <w:jc w:val="both"/>
      </w:pPr>
      <w:r>
        <w:rPr>
          <w:rFonts w:ascii="David" w:cs="David" w:eastAsia="David" w:hAnsi="David"/>
          <w:b w:val="false"/>
          <w:bCs w:val="false"/>
          <w:i w:val="false"/>
          <w:iCs w:val="false"/>
          <w:color w:val="000000"/>
          <w:sz w:val="24"/>
          <w:szCs w:val="24"/>
          <w:rtl/>
        </w:rPr>
        <w:t xml:space="preserve">ממצאים אלה עולים בקנה אחד עם הטענה המרכזית של בנדורה (Bandura, 1997), שלפיה חוויות שליטה הן המקור העוצמתי ביותר לגיבוש תחושת החוללות העצמית. העובדה שאף התערבות קצרה ופשוטה — היזכרות מודרכת בהצלחה מן העבר — הספיקה כדי להעלות את תחושת המסוגלות, ממחישה את הפלסטיות של המשתנה (Gist &amp; Mitchell, 1992) ואת הפוטנציאל היישומי של התערבויות מסוג זה בהקשרים חינוכיים וטיפוליים.</w:t>
      </w:r>
    </w:p>
    <w:p>
      <w:pPr>
        <w:bidi/>
        <w:spacing w:after="160" w:before="0" w:line="360"/>
        <w:jc w:val="both"/>
      </w:pPr>
      <w:r>
        <w:rPr>
          <w:rFonts w:ascii="David" w:cs="David" w:eastAsia="David" w:hAnsi="David"/>
          <w:b w:val="false"/>
          <w:bCs w:val="false"/>
          <w:i w:val="false"/>
          <w:iCs w:val="false"/>
          <w:color w:val="000000"/>
          <w:sz w:val="24"/>
          <w:szCs w:val="24"/>
          <w:rtl/>
        </w:rPr>
        <w:t xml:space="preserve">ההיעדר של אפקט מובהק בתנאי החשיפה העקיפה ניתן להסבר בכמה אופנים. ראשית, על-פי בנדורה, עוצמת ההשפעה של מודל עקיף תלויה במידת הדמיון הנתפס בין הצופה למודל; ייתכן שהעדות הכתובה של “עמית” אנונימי לא יצרה תחושת דמיון מספקת. שנית, חשיפה עקיפה באמצעות טקסט כתוב וקצר עשויה להיות פחות משכנעת מהתבוננות במודל חי המבצע משימה בפועל. שלישית, ייתכן שחשיפה חד-פעמית ובודדת אינה מספיקה, וכי נדרשת חשיפה חוזרת או אינטנסיבית יותר כדי להשפיע על תחושת החוללות.</w:t>
      </w:r>
    </w:p>
    <w:p>
      <w:pPr>
        <w:pStyle w:val="Heading2"/>
        <w:bidi/>
        <w:spacing w:after="120" w:before="220"/>
        <w:jc w:val="right"/>
      </w:pPr>
      <w:r>
        <w:rPr>
          <w:rFonts w:ascii="David" w:cs="David" w:eastAsia="David" w:hAnsi="David"/>
          <w:b/>
          <w:bCs/>
          <w:i w:val="false"/>
          <w:iCs w:val="false"/>
          <w:color w:val="2E5F7A"/>
          <w:sz w:val="27"/>
          <w:szCs w:val="27"/>
          <w:rtl/>
        </w:rPr>
        <w:t xml:space="preserve">מגבלות המחקר</w:t>
      </w:r>
    </w:p>
    <w:p>
      <w:pPr>
        <w:bidi/>
        <w:spacing w:after="160" w:before="0" w:line="360"/>
        <w:jc w:val="both"/>
      </w:pPr>
      <w:r>
        <w:rPr>
          <w:rFonts w:ascii="David" w:cs="David" w:eastAsia="David" w:hAnsi="David"/>
          <w:b w:val="false"/>
          <w:bCs w:val="false"/>
          <w:i w:val="false"/>
          <w:iCs w:val="false"/>
          <w:color w:val="000000"/>
          <w:sz w:val="24"/>
          <w:szCs w:val="24"/>
          <w:rtl/>
        </w:rPr>
        <w:t xml:space="preserve">למחקר הנוכחי מספר מגבלות שיש לקחת בחשבון בפרשנות הממצאים. ראשית, המדגם היה מדגם נוחות קטן יחסית (N=33) המורכב מסטודנטים בלבד, דבר המגביל את יכולת ההכללה של הממצאים לאוכלוסיות אחרות ואף מקטין את העוצמה הסטטיסטית לזיהוי אפקטים בגודל בינוני. שנית, המחקר התבסס על דיווח עצמי, החשוף להטיות של רצייה חברתית ושל מודעות המשתתף למטרת המחקר. שלישית, לא נכללה מדידת בסיס (baseline) של החוללות טרם המניפולציה, ולכן ההשוואה היא בין-נבדקית בלבד; ייתכן שהבדלים אישיים קודמים בחוללות תרמו לשונות. רביעית, לא נכלל מבחן מניפולציה (manipulation check) שיוודא כי המשימות אכן הפעילו את התהליכים הפסיכולוגיים המיועדים. לבסוף, המחקר בחן השפעה מיָדית ומצבית (state) בלבד, ואין בו כדי ללמד על השפעה יציבה או ארוכת-טווח.</w:t>
      </w:r>
    </w:p>
    <w:p>
      <w:pPr>
        <w:pStyle w:val="Heading2"/>
        <w:bidi/>
        <w:spacing w:after="120" w:before="220"/>
        <w:jc w:val="right"/>
      </w:pPr>
      <w:r>
        <w:rPr>
          <w:rFonts w:ascii="David" w:cs="David" w:eastAsia="David" w:hAnsi="David"/>
          <w:b/>
          <w:bCs/>
          <w:i w:val="false"/>
          <w:iCs w:val="false"/>
          <w:color w:val="2E5F7A"/>
          <w:sz w:val="27"/>
          <w:szCs w:val="27"/>
          <w:rtl/>
        </w:rPr>
        <w:t xml:space="preserve">הצעות למחקר עתידי</w:t>
      </w:r>
    </w:p>
    <w:p>
      <w:pPr>
        <w:bidi/>
        <w:spacing w:after="160" w:before="0" w:line="360"/>
        <w:jc w:val="both"/>
      </w:pPr>
      <w:r>
        <w:rPr>
          <w:rFonts w:ascii="David" w:cs="David" w:eastAsia="David" w:hAnsi="David"/>
          <w:b w:val="false"/>
          <w:bCs w:val="false"/>
          <w:i w:val="false"/>
          <w:iCs w:val="false"/>
          <w:color w:val="000000"/>
          <w:sz w:val="24"/>
          <w:szCs w:val="24"/>
          <w:rtl/>
        </w:rPr>
        <w:t xml:space="preserve">מחקרי המשך יוכלו להתמודד עם מגבלות אלה במספר דרכים. ראשית, מומלץ להגדיל את המדגם ולגוונו כדי לשפר את העוצמה הסטטיסטית ואת תוקף ההכללה. שנית, כדאי לשלב מדידת בסיס לפני המניפולציה ולעבור לתכנון עם מדידות חוזרות, שיאפשר לאמוד את השינוי ברמת הפרט. שלישית, מומלץ לחזק את מניפולציית החשיפה העקיפה — למשל באמצעות מודל וידאו חי, בחירת מודל דומה למשתתף מבחינת גיל ורקע, או חשיפה חוזרת — ולהוסיף מבחן מניפולציה. רביעית, ניתן להרחיב את המדידה גם למדדים התנהגותיים (כגון התמדה במשימה או הצבת מטרות בפועל) ולא רק לדיווח עצמי. לבסוף, בחינת עמידוּת האפקט לאורך זמן תתרום להבנת הפוטנציאל היישומי של התערבויות מסוג זה.</w:t>
      </w:r>
    </w:p>
    <w:p>
      <w:pPr>
        <w:pStyle w:val="Heading2"/>
        <w:bidi/>
        <w:spacing w:after="120" w:before="220"/>
        <w:jc w:val="right"/>
      </w:pPr>
      <w:r>
        <w:rPr>
          <w:rFonts w:ascii="David" w:cs="David" w:eastAsia="David" w:hAnsi="David"/>
          <w:b/>
          <w:bCs/>
          <w:i w:val="false"/>
          <w:iCs w:val="false"/>
          <w:color w:val="2E5F7A"/>
          <w:sz w:val="27"/>
          <w:szCs w:val="27"/>
          <w:rtl/>
        </w:rPr>
        <w:t xml:space="preserve">סיכום</w:t>
      </w:r>
    </w:p>
    <w:p>
      <w:pPr>
        <w:bidi/>
        <w:spacing w:after="160" w:before="0" w:line="360"/>
        <w:jc w:val="both"/>
      </w:pPr>
      <w:r>
        <w:rPr>
          <w:rFonts w:ascii="David" w:cs="David" w:eastAsia="David" w:hAnsi="David"/>
          <w:b w:val="false"/>
          <w:bCs w:val="false"/>
          <w:i w:val="false"/>
          <w:iCs w:val="false"/>
          <w:color w:val="000000"/>
          <w:sz w:val="24"/>
          <w:szCs w:val="24"/>
          <w:rtl/>
        </w:rPr>
        <w:t xml:space="preserve">המחקר הנוכחי מדגים כי אינדוקציה קצרה של חוויית שליטה, בדמות היזכרות מודרכת בהצלחה אישית, מעלה את תחושת החוללות העצמית הכללית, בעוד שחשיפה עקיפה קצרה בדמות עדות כתובה לא הניבה אפקט מובהק. ממצאים אלה תומכים בבכורתן של חוויות השליטה כמקור לחוללות עצמית, ומדגישים את הפוטנציאל הטמון בהתערבויות פשוטות לחיזוק תחושת המסוגלות, לצד הצורך במחקר נוסף ומבוקר יותר.</w:t>
      </w:r>
    </w:p>
    <w:p>
      <w:r>
        <w:br w:type="page"/>
      </w:r>
    </w:p>
    <w:p>
      <w:pPr>
        <w:pStyle w:val="Heading1"/>
        <w:bidi/>
        <w:spacing w:after="160" w:before="300"/>
        <w:jc w:val="right"/>
      </w:pPr>
      <w:r>
        <w:rPr>
          <w:rFonts w:ascii="David" w:cs="David" w:eastAsia="David" w:hAnsi="David"/>
          <w:b/>
          <w:bCs/>
          <w:i w:val="false"/>
          <w:iCs w:val="false"/>
          <w:color w:val="1F3A5F"/>
          <w:sz w:val="32"/>
          <w:szCs w:val="32"/>
          <w:rtl/>
        </w:rPr>
        <w:t xml:space="preserve">רשימת מקורות</w:t>
      </w:r>
    </w:p>
    <w:p>
      <w:pPr>
        <w:bidi/>
        <w:spacing w:after="140" w:line="360"/>
        <w:ind w:left="720" w:hanging="720"/>
        <w:jc w:val="left"/>
      </w:pPr>
      <w:r>
        <w:rPr>
          <w:rFonts w:ascii="David" w:cs="David" w:eastAsia="David" w:hAnsi="David"/>
          <w:b w:val="false"/>
          <w:bCs w:val="false"/>
          <w:i w:val="false"/>
          <w:iCs w:val="false"/>
          <w:sz w:val="24"/>
          <w:szCs w:val="24"/>
        </w:rPr>
        <w:t xml:space="preserve">Bandura, A. (1977). Self-efficacy: Toward a unifying theory of behavioral change. </w:t>
      </w:r>
      <w:r>
        <w:rPr>
          <w:rFonts w:ascii="David" w:cs="David" w:eastAsia="David" w:hAnsi="David"/>
          <w:b w:val="false"/>
          <w:bCs w:val="false"/>
          <w:i/>
          <w:iCs/>
          <w:sz w:val="24"/>
          <w:szCs w:val="24"/>
        </w:rPr>
        <w:t xml:space="preserve">Psychological Review, 84</w:t>
      </w:r>
      <w:r>
        <w:rPr>
          <w:rFonts w:ascii="David" w:cs="David" w:eastAsia="David" w:hAnsi="David"/>
          <w:b w:val="false"/>
          <w:bCs w:val="false"/>
          <w:i w:val="false"/>
          <w:iCs w:val="false"/>
          <w:sz w:val="24"/>
          <w:szCs w:val="24"/>
        </w:rPr>
        <w:t xml:space="preserve">(2), 191–215.</w:t>
      </w:r>
    </w:p>
    <w:p>
      <w:pPr>
        <w:bidi/>
        <w:spacing w:after="140" w:line="360"/>
        <w:ind w:left="720" w:hanging="720"/>
        <w:jc w:val="left"/>
      </w:pPr>
      <w:r>
        <w:rPr>
          <w:rFonts w:ascii="David" w:cs="David" w:eastAsia="David" w:hAnsi="David"/>
          <w:b w:val="false"/>
          <w:bCs w:val="false"/>
          <w:i w:val="false"/>
          <w:iCs w:val="false"/>
          <w:sz w:val="24"/>
          <w:szCs w:val="24"/>
        </w:rPr>
        <w:t xml:space="preserve">Bandura, A. (1997). </w:t>
      </w:r>
      <w:r>
        <w:rPr>
          <w:rFonts w:ascii="David" w:cs="David" w:eastAsia="David" w:hAnsi="David"/>
          <w:b w:val="false"/>
          <w:bCs w:val="false"/>
          <w:i/>
          <w:iCs/>
          <w:sz w:val="24"/>
          <w:szCs w:val="24"/>
        </w:rPr>
        <w:t xml:space="preserve">Self-efficacy: The exercise of control</w:t>
      </w:r>
      <w:r>
        <w:rPr>
          <w:rFonts w:ascii="David" w:cs="David" w:eastAsia="David" w:hAnsi="David"/>
          <w:b w:val="false"/>
          <w:bCs w:val="false"/>
          <w:i w:val="false"/>
          <w:iCs w:val="false"/>
          <w:sz w:val="24"/>
          <w:szCs w:val="24"/>
        </w:rPr>
        <w:t xml:space="preserve">. W. H. Freeman.</w:t>
      </w:r>
    </w:p>
    <w:p>
      <w:pPr>
        <w:bidi/>
        <w:spacing w:after="140" w:line="360"/>
        <w:ind w:left="720" w:hanging="720"/>
        <w:jc w:val="left"/>
      </w:pPr>
      <w:r>
        <w:rPr>
          <w:rFonts w:ascii="David" w:cs="David" w:eastAsia="David" w:hAnsi="David"/>
          <w:b w:val="false"/>
          <w:bCs w:val="false"/>
          <w:i w:val="false"/>
          <w:iCs w:val="false"/>
          <w:sz w:val="24"/>
          <w:szCs w:val="24"/>
        </w:rPr>
        <w:t xml:space="preserve">Chen, G., Gully, S. M., &amp; Eden, D. (2001). Validation of a new general self-efficacy scale. </w:t>
      </w:r>
      <w:r>
        <w:rPr>
          <w:rFonts w:ascii="David" w:cs="David" w:eastAsia="David" w:hAnsi="David"/>
          <w:b w:val="false"/>
          <w:bCs w:val="false"/>
          <w:i/>
          <w:iCs/>
          <w:sz w:val="24"/>
          <w:szCs w:val="24"/>
        </w:rPr>
        <w:t xml:space="preserve">Organizational Research Methods, 4</w:t>
      </w:r>
      <w:r>
        <w:rPr>
          <w:rFonts w:ascii="David" w:cs="David" w:eastAsia="David" w:hAnsi="David"/>
          <w:b w:val="false"/>
          <w:bCs w:val="false"/>
          <w:i w:val="false"/>
          <w:iCs w:val="false"/>
          <w:sz w:val="24"/>
          <w:szCs w:val="24"/>
        </w:rPr>
        <w:t xml:space="preserve">(1), 62–83.</w:t>
      </w:r>
    </w:p>
    <w:p>
      <w:pPr>
        <w:bidi/>
        <w:spacing w:after="140" w:line="360"/>
        <w:ind w:left="720" w:hanging="720"/>
        <w:jc w:val="left"/>
      </w:pPr>
      <w:r>
        <w:rPr>
          <w:rFonts w:ascii="David" w:cs="David" w:eastAsia="David" w:hAnsi="David"/>
          <w:b w:val="false"/>
          <w:bCs w:val="false"/>
          <w:i w:val="false"/>
          <w:iCs w:val="false"/>
          <w:sz w:val="24"/>
          <w:szCs w:val="24"/>
        </w:rPr>
        <w:t xml:space="preserve">Gist, M. E., &amp; Mitchell, T. R. (1992). Self-efficacy: A theoretical analysis of its determinants and malleability. </w:t>
      </w:r>
      <w:r>
        <w:rPr>
          <w:rFonts w:ascii="David" w:cs="David" w:eastAsia="David" w:hAnsi="David"/>
          <w:b w:val="false"/>
          <w:bCs w:val="false"/>
          <w:i/>
          <w:iCs/>
          <w:sz w:val="24"/>
          <w:szCs w:val="24"/>
        </w:rPr>
        <w:t xml:space="preserve">Academy of Management Review, 17</w:t>
      </w:r>
      <w:r>
        <w:rPr>
          <w:rFonts w:ascii="David" w:cs="David" w:eastAsia="David" w:hAnsi="David"/>
          <w:b w:val="false"/>
          <w:bCs w:val="false"/>
          <w:i w:val="false"/>
          <w:iCs w:val="false"/>
          <w:sz w:val="24"/>
          <w:szCs w:val="24"/>
        </w:rPr>
        <w:t xml:space="preserve">(2), 183–211.</w:t>
      </w:r>
    </w:p>
    <w:p>
      <w:pPr>
        <w:bidi/>
        <w:spacing w:after="140" w:line="360"/>
        <w:ind w:left="720" w:hanging="720"/>
        <w:jc w:val="left"/>
      </w:pPr>
      <w:r>
        <w:rPr>
          <w:rFonts w:ascii="David" w:cs="David" w:eastAsia="David" w:hAnsi="David"/>
          <w:b w:val="false"/>
          <w:bCs w:val="false"/>
          <w:i w:val="false"/>
          <w:iCs w:val="false"/>
          <w:sz w:val="24"/>
          <w:szCs w:val="24"/>
        </w:rPr>
        <w:t xml:space="preserve">Luszczynska, A., Scholz, U., &amp; Schwarzer, R. (2005). The general self-efficacy scale: Multicultural validation studies. </w:t>
      </w:r>
      <w:r>
        <w:rPr>
          <w:rFonts w:ascii="David" w:cs="David" w:eastAsia="David" w:hAnsi="David"/>
          <w:b w:val="false"/>
          <w:bCs w:val="false"/>
          <w:i/>
          <w:iCs/>
          <w:sz w:val="24"/>
          <w:szCs w:val="24"/>
        </w:rPr>
        <w:t xml:space="preserve">The Journal of Psychology, 139</w:t>
      </w:r>
      <w:r>
        <w:rPr>
          <w:rFonts w:ascii="David" w:cs="David" w:eastAsia="David" w:hAnsi="David"/>
          <w:b w:val="false"/>
          <w:bCs w:val="false"/>
          <w:i w:val="false"/>
          <w:iCs w:val="false"/>
          <w:sz w:val="24"/>
          <w:szCs w:val="24"/>
        </w:rPr>
        <w:t xml:space="preserve">(5), 439–457.</w:t>
      </w:r>
    </w:p>
    <w:p>
      <w:pPr>
        <w:bidi/>
        <w:spacing w:after="140" w:line="360"/>
        <w:ind w:left="720" w:hanging="720"/>
        <w:jc w:val="left"/>
      </w:pPr>
      <w:r>
        <w:rPr>
          <w:rFonts w:ascii="David" w:cs="David" w:eastAsia="David" w:hAnsi="David"/>
          <w:b w:val="false"/>
          <w:bCs w:val="false"/>
          <w:i w:val="false"/>
          <w:iCs w:val="false"/>
          <w:sz w:val="24"/>
          <w:szCs w:val="24"/>
        </w:rPr>
        <w:t xml:space="preserve">Zimmerman, B. J. (2000). Self-efficacy: An essential motive to learn. </w:t>
      </w:r>
      <w:r>
        <w:rPr>
          <w:rFonts w:ascii="David" w:cs="David" w:eastAsia="David" w:hAnsi="David"/>
          <w:b w:val="false"/>
          <w:bCs w:val="false"/>
          <w:i/>
          <w:iCs/>
          <w:sz w:val="24"/>
          <w:szCs w:val="24"/>
        </w:rPr>
        <w:t xml:space="preserve">Contemporary Educational Psychology, 25</w:t>
      </w:r>
      <w:r>
        <w:rPr>
          <w:rFonts w:ascii="David" w:cs="David" w:eastAsia="David" w:hAnsi="David"/>
          <w:b w:val="false"/>
          <w:bCs w:val="false"/>
          <w:i w:val="false"/>
          <w:iCs w:val="false"/>
          <w:sz w:val="24"/>
          <w:szCs w:val="24"/>
        </w:rPr>
        <w:t xml:space="preserve">(1), 82–91.</w:t>
      </w:r>
    </w:p>
    <w:p>
      <w:r>
        <w:br w:type="page"/>
      </w:r>
    </w:p>
    <w:p>
      <w:pPr>
        <w:pStyle w:val="Heading1"/>
        <w:bidi/>
        <w:spacing w:after="160" w:before="300"/>
        <w:jc w:val="right"/>
      </w:pPr>
      <w:r>
        <w:rPr>
          <w:rFonts w:ascii="David" w:cs="David" w:eastAsia="David" w:hAnsi="David"/>
          <w:b/>
          <w:bCs/>
          <w:i w:val="false"/>
          <w:iCs w:val="false"/>
          <w:color w:val="1F3A5F"/>
          <w:sz w:val="32"/>
          <w:szCs w:val="32"/>
          <w:rtl/>
        </w:rPr>
        <w:t xml:space="preserve">נספחים</w:t>
      </w:r>
    </w:p>
    <w:p>
      <w:pPr>
        <w:pStyle w:val="Heading2"/>
        <w:bidi/>
        <w:spacing w:after="120" w:before="220"/>
        <w:jc w:val="right"/>
      </w:pPr>
      <w:r>
        <w:rPr>
          <w:rFonts w:ascii="David" w:cs="David" w:eastAsia="David" w:hAnsi="David"/>
          <w:b/>
          <w:bCs/>
          <w:i w:val="false"/>
          <w:iCs w:val="false"/>
          <w:color w:val="2E5F7A"/>
          <w:sz w:val="27"/>
          <w:szCs w:val="27"/>
          <w:rtl/>
        </w:rPr>
        <w:t xml:space="preserve">נספח א': שאלון החוללות העצמית הכללית (NGSE)</w:t>
      </w:r>
    </w:p>
    <w:p>
      <w:pPr>
        <w:bidi/>
        <w:spacing w:after="160" w:before="0" w:line="360"/>
        <w:jc w:val="both"/>
      </w:pPr>
      <w:r>
        <w:rPr>
          <w:rFonts w:ascii="David" w:cs="David" w:eastAsia="David" w:hAnsi="David"/>
          <w:b w:val="false"/>
          <w:bCs w:val="false"/>
          <w:i w:val="false"/>
          <w:iCs w:val="false"/>
          <w:color w:val="000000"/>
          <w:sz w:val="24"/>
          <w:szCs w:val="24"/>
          <w:rtl/>
        </w:rPr>
        <w:t xml:space="preserve">להלן, סדרה של היגדים. לכל היגד, סמן/י עד כמה את/ה מסכים/ה עמו, בסולם שבין 1 (מתנגד מאוד) ל-5 (מסכים מאוד).</w:t>
      </w:r>
    </w:p>
    <w:p>
      <w:pPr>
        <w:pStyle w:val="ListParagraph"/>
        <w:numPr>
          <w:ilvl w:val="0"/>
          <w:numId w:val="2"/>
        </w:numPr>
        <w:bidi/>
        <w:spacing w:after="80" w:line="360"/>
        <w:jc w:val="right"/>
      </w:pPr>
      <w:r>
        <w:rPr>
          <w:rFonts w:ascii="David" w:cs="David" w:eastAsia="David" w:hAnsi="David"/>
          <w:b w:val="false"/>
          <w:bCs w:val="false"/>
          <w:i w:val="false"/>
          <w:iCs w:val="false"/>
          <w:color w:val="000000"/>
          <w:sz w:val="24"/>
          <w:szCs w:val="24"/>
          <w:rtl/>
        </w:rPr>
        <w:t xml:space="preserve">אני יכול להשיג את מרבית המטרות שהצבתי לעצמי.</w:t>
      </w:r>
    </w:p>
    <w:p>
      <w:pPr>
        <w:pStyle w:val="ListParagraph"/>
        <w:numPr>
          <w:ilvl w:val="0"/>
          <w:numId w:val="2"/>
        </w:numPr>
        <w:bidi/>
        <w:spacing w:after="80" w:line="360"/>
        <w:jc w:val="right"/>
      </w:pPr>
      <w:r>
        <w:rPr>
          <w:rFonts w:ascii="David" w:cs="David" w:eastAsia="David" w:hAnsi="David"/>
          <w:b w:val="false"/>
          <w:bCs w:val="false"/>
          <w:i w:val="false"/>
          <w:iCs w:val="false"/>
          <w:color w:val="000000"/>
          <w:sz w:val="24"/>
          <w:szCs w:val="24"/>
          <w:rtl/>
        </w:rPr>
        <w:t xml:space="preserve">באופן כללי, אני חושב שאני יכול להשיג את מה שחשוב לי.</w:t>
      </w:r>
    </w:p>
    <w:p>
      <w:pPr>
        <w:pStyle w:val="ListParagraph"/>
        <w:numPr>
          <w:ilvl w:val="0"/>
          <w:numId w:val="2"/>
        </w:numPr>
        <w:bidi/>
        <w:spacing w:after="80" w:line="360"/>
        <w:jc w:val="right"/>
      </w:pPr>
      <w:r>
        <w:rPr>
          <w:rFonts w:ascii="David" w:cs="David" w:eastAsia="David" w:hAnsi="David"/>
          <w:b w:val="false"/>
          <w:bCs w:val="false"/>
          <w:i w:val="false"/>
          <w:iCs w:val="false"/>
          <w:color w:val="000000"/>
          <w:sz w:val="24"/>
          <w:szCs w:val="24"/>
          <w:rtl/>
        </w:rPr>
        <w:t xml:space="preserve">אף כאשר המצב קשה, אני יכול לבצע טוב למדי.</w:t>
      </w:r>
    </w:p>
    <w:p>
      <w:pPr>
        <w:pStyle w:val="ListParagraph"/>
        <w:numPr>
          <w:ilvl w:val="0"/>
          <w:numId w:val="2"/>
        </w:numPr>
        <w:bidi/>
        <w:spacing w:after="80" w:line="360"/>
        <w:jc w:val="right"/>
      </w:pPr>
      <w:r>
        <w:rPr>
          <w:rFonts w:ascii="David" w:cs="David" w:eastAsia="David" w:hAnsi="David"/>
          <w:b w:val="false"/>
          <w:bCs w:val="false"/>
          <w:i w:val="false"/>
          <w:iCs w:val="false"/>
          <w:color w:val="000000"/>
          <w:sz w:val="24"/>
          <w:szCs w:val="24"/>
          <w:rtl/>
        </w:rPr>
        <w:t xml:space="preserve">כאשר אני ניצב מול משימות קשות, אני בטוח שאוכל לבצען.</w:t>
      </w:r>
    </w:p>
    <w:p>
      <w:pPr>
        <w:pStyle w:val="ListParagraph"/>
        <w:numPr>
          <w:ilvl w:val="0"/>
          <w:numId w:val="2"/>
        </w:numPr>
        <w:bidi/>
        <w:spacing w:after="80" w:line="360"/>
        <w:jc w:val="right"/>
      </w:pPr>
      <w:r>
        <w:rPr>
          <w:rFonts w:ascii="David" w:cs="David" w:eastAsia="David" w:hAnsi="David"/>
          <w:b w:val="false"/>
          <w:bCs w:val="false"/>
          <w:i w:val="false"/>
          <w:iCs w:val="false"/>
          <w:color w:val="000000"/>
          <w:sz w:val="24"/>
          <w:szCs w:val="24"/>
          <w:rtl/>
        </w:rPr>
        <w:t xml:space="preserve">אני בטוח שאני יכול לבצע מטלות רבות בהצלחה.</w:t>
      </w:r>
    </w:p>
    <w:p>
      <w:pPr>
        <w:pStyle w:val="ListParagraph"/>
        <w:numPr>
          <w:ilvl w:val="0"/>
          <w:numId w:val="2"/>
        </w:numPr>
        <w:bidi/>
        <w:spacing w:after="80" w:line="360"/>
        <w:jc w:val="right"/>
      </w:pPr>
      <w:r>
        <w:rPr>
          <w:rFonts w:ascii="David" w:cs="David" w:eastAsia="David" w:hAnsi="David"/>
          <w:b w:val="false"/>
          <w:bCs w:val="false"/>
          <w:i w:val="false"/>
          <w:iCs w:val="false"/>
          <w:color w:val="000000"/>
          <w:sz w:val="24"/>
          <w:szCs w:val="24"/>
          <w:rtl/>
        </w:rPr>
        <w:t xml:space="preserve">אוכל לעמוד באתגרים רבים בהצלחה.</w:t>
      </w:r>
    </w:p>
    <w:p>
      <w:pPr>
        <w:pStyle w:val="ListParagraph"/>
        <w:numPr>
          <w:ilvl w:val="0"/>
          <w:numId w:val="2"/>
        </w:numPr>
        <w:bidi/>
        <w:spacing w:after="80" w:line="360"/>
        <w:jc w:val="right"/>
      </w:pPr>
      <w:r>
        <w:rPr>
          <w:rFonts w:ascii="David" w:cs="David" w:eastAsia="David" w:hAnsi="David"/>
          <w:b w:val="false"/>
          <w:bCs w:val="false"/>
          <w:i w:val="false"/>
          <w:iCs w:val="false"/>
          <w:color w:val="000000"/>
          <w:sz w:val="24"/>
          <w:szCs w:val="24"/>
          <w:rtl/>
        </w:rPr>
        <w:t xml:space="preserve">אני יכול להצליח בכל משימה כאשר אני נחוש בדעתי.</w:t>
      </w:r>
    </w:p>
    <w:p>
      <w:pPr>
        <w:pStyle w:val="ListParagraph"/>
        <w:numPr>
          <w:ilvl w:val="0"/>
          <w:numId w:val="2"/>
        </w:numPr>
        <w:bidi/>
        <w:spacing w:after="80" w:line="360"/>
        <w:jc w:val="right"/>
      </w:pPr>
      <w:r>
        <w:rPr>
          <w:rFonts w:ascii="David" w:cs="David" w:eastAsia="David" w:hAnsi="David"/>
          <w:b w:val="false"/>
          <w:bCs w:val="false"/>
          <w:i w:val="false"/>
          <w:iCs w:val="false"/>
          <w:color w:val="000000"/>
          <w:sz w:val="24"/>
          <w:szCs w:val="24"/>
          <w:rtl/>
        </w:rPr>
        <w:t xml:space="preserve">בהשוואה לאנשים אחרים, אני יכול לבצע את רוב המטלות היטב.</w:t>
      </w:r>
    </w:p>
    <w:p>
      <w:pPr>
        <w:bidi/>
        <w:spacing w:after="60" w:before="0" w:line="360"/>
        <w:jc w:val="both"/>
      </w:pPr>
      <w:r>
        <w:rPr>
          <w:rFonts w:ascii="David" w:cs="David" w:eastAsia="David" w:hAnsi="David"/>
          <w:b w:val="false"/>
          <w:bCs w:val="false"/>
          <w:i w:val="false"/>
          <w:iCs w:val="false"/>
          <w:color w:val="000000"/>
          <w:sz w:val="24"/>
          <w:szCs w:val="24"/>
          <w:rtl/>
        </w:rPr>
        <w:t xml:space="preserve"/>
      </w:r>
    </w:p>
    <w:p>
      <w:pPr>
        <w:pStyle w:val="Heading2"/>
        <w:bidi/>
        <w:spacing w:after="120" w:before="220"/>
        <w:jc w:val="right"/>
      </w:pPr>
      <w:r>
        <w:rPr>
          <w:rFonts w:ascii="David" w:cs="David" w:eastAsia="David" w:hAnsi="David"/>
          <w:b/>
          <w:bCs/>
          <w:i w:val="false"/>
          <w:iCs w:val="false"/>
          <w:color w:val="2E5F7A"/>
          <w:sz w:val="27"/>
          <w:szCs w:val="27"/>
          <w:rtl/>
        </w:rPr>
        <w:t xml:space="preserve">נספח ב': הוראות המניפולציה</w:t>
      </w:r>
    </w:p>
    <w:p>
      <w:pPr>
        <w:bidi/>
        <w:spacing w:after="160" w:before="0" w:line="360"/>
        <w:jc w:val="both"/>
      </w:pPr>
      <w:r>
        <w:rPr>
          <w:rFonts w:ascii="David" w:cs="David" w:eastAsia="David" w:hAnsi="David"/>
          <w:b/>
          <w:bCs/>
          <w:i w:val="false"/>
          <w:iCs w:val="false"/>
          <w:color w:val="000000"/>
          <w:sz w:val="24"/>
          <w:szCs w:val="24"/>
          <w:rtl/>
        </w:rPr>
        <w:t xml:space="preserve">תנאי 1 — חוויית שליטה: </w:t>
      </w:r>
      <w:r>
        <w:rPr>
          <w:rFonts w:ascii="David" w:cs="David" w:eastAsia="David" w:hAnsi="David"/>
          <w:b w:val="false"/>
          <w:bCs w:val="false"/>
          <w:i w:val="false"/>
          <w:iCs w:val="false"/>
          <w:color w:val="000000"/>
          <w:sz w:val="24"/>
          <w:szCs w:val="24"/>
          <w:rtl/>
        </w:rPr>
        <w:t xml:space="preserve">“אנא היזכר/י באירוע מן העבר שבו התמודדת עם משימה מאתגרת והצלחת בה בזכות מאמץ והתמדה. תאר/י בכתב, בארבעה עד חמישה משפטים, מה עשית וכיצד הרגשת בעקבות ההצלחה.”</w:t>
      </w:r>
    </w:p>
    <w:p>
      <w:pPr>
        <w:bidi/>
        <w:spacing w:after="160" w:before="0" w:line="360"/>
        <w:jc w:val="both"/>
      </w:pPr>
      <w:r>
        <w:rPr>
          <w:rFonts w:ascii="David" w:cs="David" w:eastAsia="David" w:hAnsi="David"/>
          <w:b/>
          <w:bCs/>
          <w:i w:val="false"/>
          <w:iCs w:val="false"/>
          <w:color w:val="000000"/>
          <w:sz w:val="24"/>
          <w:szCs w:val="24"/>
          <w:rtl/>
        </w:rPr>
        <w:t xml:space="preserve">תנאי 2 — חשיפה עקיפה: </w:t>
      </w:r>
      <w:r>
        <w:rPr>
          <w:rFonts w:ascii="David" w:cs="David" w:eastAsia="David" w:hAnsi="David"/>
          <w:b w:val="false"/>
          <w:bCs w:val="false"/>
          <w:i w:val="false"/>
          <w:iCs w:val="false"/>
          <w:color w:val="000000"/>
          <w:sz w:val="24"/>
          <w:szCs w:val="24"/>
          <w:rtl/>
        </w:rPr>
        <w:t xml:space="preserve">“לפניך עדות קצרה של סטודנט/ית: ‘בתחילת הסמסטר התקשיתי מאוד בקורס הסטטיסטיקה וחשבתי שלא אצליח. חילקתי את החומר לחלקים קטנים, תרגלתי מדי יום ונעזרתי בקבוצת למידה. בהדרגה הרגשתי שאני שולט/ת בחומר, ובסופו של דבר עברתי את המבחן בהצלחה.’ אנא קרא/י את העדות והרהר/י בה במשך דקה.”</w:t>
      </w:r>
    </w:p>
    <w:p>
      <w:pPr>
        <w:bidi/>
        <w:spacing w:after="160" w:before="0" w:line="360"/>
        <w:jc w:val="both"/>
      </w:pPr>
      <w:r>
        <w:rPr>
          <w:rFonts w:ascii="David" w:cs="David" w:eastAsia="David" w:hAnsi="David"/>
          <w:b/>
          <w:bCs/>
          <w:i w:val="false"/>
          <w:iCs w:val="false"/>
          <w:color w:val="000000"/>
          <w:sz w:val="24"/>
          <w:szCs w:val="24"/>
          <w:rtl/>
        </w:rPr>
        <w:t xml:space="preserve">תנאי 3 — ביקורת: </w:t>
      </w:r>
      <w:r>
        <w:rPr>
          <w:rFonts w:ascii="David" w:cs="David" w:eastAsia="David" w:hAnsi="David"/>
          <w:b w:val="false"/>
          <w:bCs w:val="false"/>
          <w:i w:val="false"/>
          <w:iCs w:val="false"/>
          <w:color w:val="000000"/>
          <w:sz w:val="24"/>
          <w:szCs w:val="24"/>
          <w:rtl/>
        </w:rPr>
        <w:t xml:space="preserve">“תאר/י בכתב, בארבעה עד חמישה משפטים, את מסלול ההגעה היומי שלך מהבית אל מקום הלימודים.”</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David" w:cs="David" w:eastAsia="David" w:hAnsi="David"/>
        <w:sz w:val="20"/>
        <w:szCs w:val="20"/>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start="720" w:hanging="360"/>
      </w:pPr>
      <w:rPr>
        <w:rFonts w:ascii="David" w:cs="David" w:eastAsia="David" w:hAnsi="David"/>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David" w:cs="David" w:eastAsia="David" w:hAnsi="David"/>
      <w:b/>
      <w:bCs/>
      <w:color w:val="1F3A5F"/>
      <w:sz w:val="32"/>
      <w:szCs w:val="32"/>
    </w:rPr>
  </w:style>
  <w:style w:type="paragraph" w:styleId="Heading2">
    <w:name w:val="Heading 2"/>
    <w:basedOn w:val="Normal"/>
    <w:next w:val="Normal"/>
    <w:qFormat/>
    <w:rPr>
      <w:rFonts w:ascii="David" w:cs="David" w:eastAsia="David" w:hAnsi="David"/>
      <w:b/>
      <w:bCs/>
      <w:color w:val="2E5F7A"/>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7b04bee86707e272622759253f19a99feecaa82.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סמינריון — חוללות עצמית</dc:title>
  <dc:creator>ClickWriting</dc:creator>
  <cp:lastModifiedBy>Un-named</cp:lastModifiedBy>
  <cp:revision>1</cp:revision>
  <dcterms:created xsi:type="dcterms:W3CDTF">2026-07-27T00:44:23.258Z</dcterms:created>
  <dcterms:modified xsi:type="dcterms:W3CDTF">2026-07-27T00:44:23.260Z</dcterms:modified>
</cp:coreProperties>
</file>

<file path=docProps/custom.xml><?xml version="1.0" encoding="utf-8"?>
<Properties xmlns="http://schemas.openxmlformats.org/officeDocument/2006/custom-properties" xmlns:vt="http://schemas.openxmlformats.org/officeDocument/2006/docPropsVTypes"/>
</file>