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28575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133475"/>
                    </a:xfrm>
                    <a:prstGeom prst="rect">
                      <a:avLst/>
                    </a:prstGeom>
                  </pic:spPr>
                </pic:pic>
              </a:graphicData>
            </a:graphic>
          </wp:inline>
        </w:drawing>
      </w:r>
    </w:p>
    <w:p>
      <w:r>
        <w:t xml:space="preserve"/>
      </w:r>
    </w:p>
    <w:p>
      <w:r>
        <w:t xml:space="preserve"/>
      </w:r>
    </w:p>
    <w:p>
      <w:pPr>
        <w:bidi/>
        <w:spacing w:line="480"/>
        <w:jc w:val="center"/>
      </w:pPr>
      <w:r>
        <w:rPr>
          <w:rFonts w:ascii="David" w:cs="David" w:eastAsia="David" w:hAnsi="David"/>
          <w:b/>
          <w:bCs/>
          <w:sz w:val="36"/>
          <w:szCs w:val="36"/>
          <w:rtl/>
          <w:lang w:val="en-US" w:bidi="he-IL"/>
        </w:rPr>
        <w:t xml:space="preserve">רווחה נפשית ותפיסת הלגיטימיות של סגל הכליאה בקרב אסירים שפוטים בישראל</w:t>
      </w:r>
    </w:p>
    <w:p>
      <w:r>
        <w:t xml:space="preserve"/>
      </w:r>
    </w:p>
    <w:p>
      <w:r>
        <w:t xml:space="preserve"/>
      </w:r>
    </w:p>
    <w:p>
      <w:pPr>
        <w:bidi/>
        <w:spacing w:after="120" w:line="360"/>
        <w:jc w:val="center"/>
      </w:pPr>
      <w:r>
        <w:rPr>
          <w:rFonts w:ascii="David" w:cs="David" w:eastAsia="David" w:hAnsi="David"/>
          <w:sz w:val="24"/>
          <w:szCs w:val="24"/>
          <w:rtl/>
          <w:lang w:val="en-US" w:bidi="he-IL"/>
        </w:rPr>
        <w:t xml:space="preserve">עבודה מוגשת במסגרת סמינריון תנאי כליאה של אסירים פליליים בישראל ובעולם</w:t>
      </w:r>
    </w:p>
    <w:p>
      <w:r>
        <w:t xml:space="preserve"/>
      </w:r>
    </w:p>
    <w:p>
      <w:pPr>
        <w:bidi/>
        <w:spacing w:after="120" w:line="360"/>
        <w:jc w:val="center"/>
      </w:pPr>
      <w:r>
        <w:rPr>
          <w:rFonts w:ascii="David" w:cs="David" w:eastAsia="David" w:hAnsi="David"/>
          <w:sz w:val="24"/>
          <w:szCs w:val="24"/>
          <w:rtl/>
          <w:lang w:val="en-US" w:bidi="he-IL"/>
        </w:rPr>
        <w:t xml:space="preserve">מאת</w:t>
      </w:r>
    </w:p>
    <w:p>
      <w:pPr>
        <w:bidi/>
        <w:spacing w:after="120" w:line="360"/>
        <w:jc w:val="center"/>
      </w:pPr>
      <w:r>
        <w:rPr>
          <w:rFonts w:ascii="David" w:cs="David" w:eastAsia="David" w:hAnsi="David"/>
          <w:sz w:val="24"/>
          <w:szCs w:val="24"/>
          <w:highlight w:val="yellow"/>
          <w:rtl/>
          <w:lang w:val="en-US" w:bidi="he-IL"/>
        </w:rPr>
        <w:t xml:space="preserve">שם, מספר זהות</w:t>
      </w:r>
    </w:p>
    <w:p>
      <w:pPr>
        <w:bidi/>
        <w:spacing w:after="120" w:line="360"/>
        <w:jc w:val="center"/>
      </w:pPr>
      <w:r>
        <w:rPr>
          <w:rFonts w:ascii="David" w:cs="David" w:eastAsia="David" w:hAnsi="David"/>
          <w:sz w:val="24"/>
          <w:szCs w:val="24"/>
          <w:highlight w:val="yellow"/>
          <w:rtl/>
          <w:lang w:val="en-US" w:bidi="he-IL"/>
        </w:rPr>
        <w:t xml:space="preserve">שם, מספר זהות</w:t>
      </w:r>
    </w:p>
    <w:p>
      <w:r>
        <w:t xml:space="preserve"/>
      </w:r>
    </w:p>
    <w:p>
      <w:r>
        <w:t xml:space="preserve"/>
      </w:r>
    </w:p>
    <w:p>
      <w:pPr>
        <w:bidi/>
        <w:spacing w:after="120" w:line="360"/>
        <w:jc w:val="center"/>
      </w:pPr>
      <w:r>
        <w:rPr>
          <w:rFonts w:ascii="David" w:cs="David" w:eastAsia="David" w:hAnsi="David"/>
          <w:sz w:val="24"/>
          <w:szCs w:val="24"/>
          <w:rtl/>
          <w:lang w:val="en-US" w:bidi="he-IL"/>
        </w:rPr>
        <w:t xml:space="preserve">החוג לקרימינולוגיה</w:t>
      </w:r>
    </w:p>
    <w:p>
      <w:pPr>
        <w:bidi/>
        <w:spacing w:after="120" w:line="360"/>
        <w:jc w:val="center"/>
      </w:pPr>
      <w:r>
        <w:rPr>
          <w:rFonts w:ascii="David" w:cs="David" w:eastAsia="David" w:hAnsi="David"/>
          <w:sz w:val="24"/>
          <w:szCs w:val="24"/>
          <w:rtl/>
          <w:lang w:val="en-US" w:bidi="he-IL"/>
        </w:rPr>
        <w:t xml:space="preserve">המכללה האקדמית אשקלון</w:t>
      </w:r>
    </w:p>
    <w:p>
      <w:r>
        <w:t xml:space="preserve"/>
      </w:r>
    </w:p>
    <w:p>
      <w:r>
        <w:t xml:space="preserve"/>
      </w:r>
    </w:p>
    <w:p>
      <w:r>
        <w:t xml:space="preserve"/>
      </w:r>
    </w:p>
    <w:p>
      <w:r>
        <w:t xml:space="preserve"/>
      </w:r>
    </w:p>
    <w:p>
      <w:pPr>
        <w:bidi/>
        <w:spacing w:after="120" w:line="360"/>
        <w:jc w:val="center"/>
      </w:pPr>
      <w:r>
        <w:rPr>
          <w:rFonts w:ascii="David" w:cs="David" w:eastAsia="David" w:hAnsi="David"/>
          <w:sz w:val="24"/>
          <w:szCs w:val="24"/>
          <w:rtl/>
          <w:lang w:val="en-US" w:bidi="he-IL"/>
        </w:rPr>
        <w:t xml:space="preserve">אשקלון, </w:t>
      </w:r>
      <w:r>
        <w:rPr>
          <w:rFonts w:ascii="David" w:cs="David" w:eastAsia="David" w:hAnsi="David"/>
          <w:sz w:val="24"/>
          <w:szCs w:val="24"/>
          <w:highlight w:val="yellow"/>
          <w:rtl/>
          <w:lang w:val="en-US" w:bidi="he-IL"/>
        </w:rPr>
        <w:t xml:space="preserve">אלול תשפ"ו, ספטמבר </w:t>
      </w:r>
      <w:r>
        <w:rPr>
          <w:rFonts w:ascii="Times New Roman" w:cs="Times New Roman" w:eastAsia="Times New Roman" w:hAnsi="Times New Roman"/>
          <w:noProof/>
          <w:sz w:val="24"/>
          <w:szCs w:val="24"/>
          <w:highlight w:val="yellow"/>
          <w:lang w:val="en-US" w:bidi="he-IL"/>
        </w:rPr>
        <w:t xml:space="preserve">2026</w:t>
      </w:r>
    </w:p>
    <w:p>
      <w:pPr>
        <w:pStyle w:val="Heading1"/>
        <w:pageBreakBefore/>
        <w:bidi/>
        <w:spacing w:after="240" w:before="0" w:line="360"/>
        <w:jc w:val="right"/>
      </w:pPr>
      <w:r>
        <w:rPr>
          <w:rFonts w:ascii="David" w:cs="David" w:eastAsia="David" w:hAnsi="David"/>
          <w:b/>
          <w:bCs/>
          <w:sz w:val="32"/>
          <w:szCs w:val="32"/>
          <w:rtl/>
          <w:lang w:val="en-US" w:bidi="he-I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pPr>
        <w:pStyle w:val="Heading1"/>
        <w:pageBreakBefore/>
        <w:bidi/>
        <w:spacing w:after="240" w:before="0" w:line="360"/>
        <w:jc w:val="right"/>
      </w:pPr>
      <w:r>
        <w:rPr>
          <w:rFonts w:ascii="David" w:cs="David" w:eastAsia="David" w:hAnsi="David"/>
          <w:b/>
          <w:bCs/>
          <w:sz w:val="32"/>
          <w:szCs w:val="32"/>
          <w:rtl/>
          <w:lang w:val="en-US" w:bidi="he-IL"/>
        </w:rPr>
        <w:t xml:space="preserve">תקציר בעברית</w:t>
      </w:r>
    </w:p>
    <w:p>
      <w:pPr>
        <w:bidi/>
        <w:spacing w:after="120" w:line="360"/>
        <w:jc w:val="both"/>
      </w:pPr>
      <w:r>
        <w:rPr>
          <w:rFonts w:ascii="David" w:cs="David" w:eastAsia="David" w:hAnsi="David"/>
          <w:sz w:val="24"/>
          <w:szCs w:val="24"/>
          <w:rtl/>
          <w:lang w:val="en-US" w:bidi="he-IL"/>
        </w:rPr>
        <w:t xml:space="preserve">המחקר בחן באיזו מידה קיים קשר בין רווחה נפשית לבין תפיסת הלגיטימיות של סגל הכליאה בקרב אסירים שפוטים בישראל. המסגרת התאורטית נשענת על גישת הצדק הפרוצדורלי ועל ספרות ההסתגלות למאסר. הנתונים הם נתונים סינתטיים המבוססים על סקר תנאי המחיה שנערך בשירות בתי הסוהר בסתיו </w:t>
      </w:r>
      <w:r>
        <w:rPr>
          <w:rFonts w:ascii="Times New Roman" w:cs="Times New Roman" w:eastAsia="Times New Roman" w:hAnsi="Times New Roman"/>
          <w:noProof/>
          <w:sz w:val="24"/>
          <w:szCs w:val="24"/>
          <w:lang w:val="en-US" w:bidi="he-IL"/>
        </w:rPr>
        <w:t xml:space="preserve">2021,</w:t>
      </w:r>
      <w:r>
        <w:rPr>
          <w:rFonts w:ascii="David" w:cs="David" w:eastAsia="David" w:hAnsi="David"/>
          <w:sz w:val="24"/>
          <w:szCs w:val="24"/>
          <w:rtl/>
          <w:lang w:val="en-US" w:bidi="he-IL"/>
        </w:rPr>
        <w:t xml:space="preserve"> והניתוח צומצם ל</w:t>
      </w:r>
      <w:r>
        <w:rPr>
          <w:rFonts w:ascii="Times New Roman" w:cs="Times New Roman" w:eastAsia="Times New Roman" w:hAnsi="Times New Roman"/>
          <w:noProof/>
          <w:sz w:val="24"/>
          <w:szCs w:val="24"/>
          <w:lang w:val="en-US" w:bidi="he-IL"/>
        </w:rPr>
        <w:t xml:space="preserve">-2,379</w:t>
      </w:r>
      <w:r>
        <w:rPr>
          <w:rFonts w:ascii="David" w:cs="David" w:eastAsia="David" w:hAnsi="David"/>
          <w:sz w:val="24"/>
          <w:szCs w:val="24"/>
          <w:rtl/>
          <w:lang w:val="en-US" w:bidi="he-IL"/>
        </w:rPr>
        <w:t xml:space="preserve"> שפוטים. הלגיטימיות נמדדה בשלושה פריטים והרווחה הנפשית בחמישה, בסולם של </w:t>
      </w:r>
      <w:r>
        <w:rPr>
          <w:rFonts w:ascii="Times New Roman" w:cs="Times New Roman" w:eastAsia="Times New Roman" w:hAnsi="Times New Roman"/>
          <w:noProof/>
          <w:sz w:val="24"/>
          <w:szCs w:val="24"/>
          <w:lang w:val="en-US" w:bidi="he-IL"/>
        </w:rPr>
        <w:t xml:space="preserve">1</w:t>
      </w:r>
      <w:r>
        <w:rPr>
          <w:rFonts w:ascii="David" w:cs="David" w:eastAsia="David" w:hAnsi="David"/>
          <w:sz w:val="24"/>
          <w:szCs w:val="24"/>
          <w:rtl/>
          <w:lang w:val="en-US" w:bidi="he-IL"/>
        </w:rPr>
        <w:t xml:space="preserve"> עד </w:t>
      </w:r>
      <w:r>
        <w:rPr>
          <w:rFonts w:ascii="Times New Roman" w:cs="Times New Roman" w:eastAsia="Times New Roman" w:hAnsi="Times New Roman"/>
          <w:noProof/>
          <w:sz w:val="24"/>
          <w:szCs w:val="24"/>
          <w:lang w:val="en-US" w:bidi="he-IL"/>
        </w:rPr>
        <w:t xml:space="preserve">5.</w:t>
      </w:r>
      <w:r>
        <w:rPr>
          <w:rFonts w:ascii="David" w:cs="David" w:eastAsia="David" w:hAnsi="David"/>
          <w:sz w:val="24"/>
          <w:szCs w:val="24"/>
          <w:rtl/>
          <w:lang w:val="en-US" w:bidi="he-IL"/>
        </w:rPr>
        <w:t xml:space="preserve"> נמצא קשר חיובי מובהק ברמה בינונית בין רווחה נפשית ללגיטימיות </w:t>
      </w:r>
      <w:r>
        <w:rPr>
          <w:rFonts w:ascii="Times New Roman" w:cs="Times New Roman" w:eastAsia="Times New Roman" w:hAnsi="Times New Roman"/>
          <w:noProof/>
          <w:sz w:val="24"/>
          <w:szCs w:val="24"/>
          <w:lang w:val="en-US" w:bidi="he-IL"/>
        </w:rPr>
        <w:t xml:space="preserve">(r = 0.32, p &lt; 0.001)</w:t>
      </w:r>
      <w:r>
        <w:rPr>
          <w:rFonts w:ascii="David" w:cs="David" w:eastAsia="David" w:hAnsi="David"/>
          <w:sz w:val="24"/>
          <w:szCs w:val="24"/>
          <w:rtl/>
          <w:lang w:val="en-US" w:bidi="he-IL"/>
        </w:rPr>
        <w:t xml:space="preserve">: שפוטים ברמת הלגיטימיות הגבוהה דיווחו על רווחה נפשית גבוהה בכ</w:t>
      </w:r>
      <w:r>
        <w:rPr>
          <w:rFonts w:ascii="Times New Roman" w:cs="Times New Roman" w:eastAsia="Times New Roman" w:hAnsi="Times New Roman"/>
          <w:noProof/>
          <w:sz w:val="24"/>
          <w:szCs w:val="24"/>
          <w:lang w:val="en-US" w:bidi="he-IL"/>
        </w:rPr>
        <w:t xml:space="preserve">-0.7</w:t>
      </w:r>
      <w:r>
        <w:rPr>
          <w:rFonts w:ascii="David" w:cs="David" w:eastAsia="David" w:hAnsi="David"/>
          <w:sz w:val="24"/>
          <w:szCs w:val="24"/>
          <w:rtl/>
          <w:lang w:val="en-US" w:bidi="he-IL"/>
        </w:rPr>
        <w:t xml:space="preserve"> נקודות מאלו ברמה הנמוכה. הממצאים תואמים מחקרים מהולנד, מאנגליה, מאוסטרליה ומארצות הברית, ומלמדים שרווחת האסיר ותפיסת הסגל כרוכות זו בזו. בסיום מוצעות המלצות יישומיות לניהול אגפים.</w:t>
      </w:r>
    </w:p>
    <w:p>
      <w:pPr>
        <w:bidi/>
        <w:spacing w:after="120" w:line="360"/>
        <w:jc w:val="both"/>
      </w:pPr>
      <w:r>
        <w:rPr>
          <w:rFonts w:ascii="David" w:cs="David" w:eastAsia="David" w:hAnsi="David"/>
          <w:sz w:val="24"/>
          <w:szCs w:val="24"/>
          <w:rtl/>
          <w:lang w:val="en-US" w:bidi="he-IL"/>
        </w:rPr>
        <w:t xml:space="preserve">מילות מפתח: לגיטימיות, רווחה נפשית, צדק פרוצדורלי, אסירים שפוטים, שירות בתי הסוהר.</w:t>
      </w:r>
    </w:p>
    <w:p>
      <w:pPr>
        <w:pStyle w:val="Heading1"/>
        <w:pageBreakBefore/>
        <w:bidi/>
        <w:spacing w:after="240" w:before="0" w:line="360"/>
        <w:jc w:val="right"/>
      </w:pPr>
      <w:r>
        <w:rPr>
          <w:rFonts w:ascii="David" w:cs="David" w:eastAsia="David" w:hAnsi="David"/>
          <w:b/>
          <w:bCs/>
          <w:sz w:val="32"/>
          <w:szCs w:val="32"/>
          <w:rtl/>
          <w:lang w:val="en-US" w:bidi="he-IL"/>
        </w:rPr>
        <w:t xml:space="preserve">תקציר באנגלית</w:t>
      </w:r>
    </w:p>
    <w:p>
      <w:pPr>
        <w:spacing w:after="120" w:line="360"/>
        <w:jc w:val="both"/>
      </w:pPr>
      <w:r>
        <w:rPr>
          <w:rFonts w:ascii="Times New Roman" w:cs="Times New Roman" w:eastAsia="Times New Roman" w:hAnsi="Times New Roman"/>
          <w:sz w:val="24"/>
          <w:szCs w:val="24"/>
          <w:lang w:val="en-US" w:bidi="he-IL"/>
        </w:rPr>
        <w:t xml:space="preserve">This study examined to what extent mental well-being is associated with the perceived legitimacy of prison staff among sentenced prisoners in Israel. The theoretical framework draws on procedural justice theory and on the literature on adaptation to imprisonment. The data are synthetic and modeled on the Israel Prison Service living conditions survey conducted in autumn 2021; the analysis was restricted to 2,379 sentenced prisoners. Legitimacy was measured with three items and well-being with five, on a 1 to 5 scale. A significant, moderate positive correlation was found between well-being and legitimacy (r = .32, p &lt; .001): prisoners in the high-legitimacy group reported well-being about 0.7 points higher than those in the low-legitimacy group. The findings are consistent with studies from the Netherlands, England, Australia and the United States, and suggest that prisoners' well-being and their view of staff are intertwined. Practical recommendations for wing management are offered.</w:t>
      </w:r>
    </w:p>
    <w:p>
      <w:pPr>
        <w:spacing w:after="120" w:line="360"/>
        <w:jc w:val="both"/>
      </w:pPr>
      <w:r>
        <w:rPr>
          <w:rFonts w:ascii="Times New Roman" w:cs="Times New Roman" w:eastAsia="Times New Roman" w:hAnsi="Times New Roman"/>
          <w:sz w:val="24"/>
          <w:szCs w:val="24"/>
          <w:lang w:val="en-US" w:bidi="he-IL"/>
        </w:rPr>
        <w:t xml:space="preserve">Keywords: legitimacy, mental well-being, procedural justice, sentenced prisoners, Israel Prison Service.</w:t>
      </w:r>
    </w:p>
    <w:p>
      <w:pPr>
        <w:pStyle w:val="Heading1"/>
        <w:pageBreakBefore/>
        <w:bidi/>
        <w:spacing w:after="240" w:before="0" w:line="360"/>
        <w:jc w:val="right"/>
      </w:pPr>
      <w:r>
        <w:rPr>
          <w:rFonts w:ascii="David" w:cs="David" w:eastAsia="David" w:hAnsi="David"/>
          <w:b/>
          <w:bCs/>
          <w:sz w:val="32"/>
          <w:szCs w:val="32"/>
          <w:rtl/>
          <w:lang w:val="en-US" w:bidi="he-IL"/>
        </w:rPr>
        <w:t xml:space="preserve">מבוא</w:t>
      </w:r>
    </w:p>
    <w:p>
      <w:pPr>
        <w:bidi/>
        <w:spacing w:after="120" w:line="360"/>
        <w:jc w:val="both"/>
      </w:pPr>
      <w:r>
        <w:rPr>
          <w:rFonts w:ascii="David" w:cs="David" w:eastAsia="David" w:hAnsi="David"/>
          <w:sz w:val="24"/>
          <w:szCs w:val="24"/>
          <w:rtl/>
          <w:lang w:val="en-US" w:bidi="he-IL"/>
        </w:rPr>
        <w:t xml:space="preserve">בית הסוהר הוא מוסד שבו סמכות הסגל כמעט מוחלטת, ובכל זאת הסדר היומיומי באגף תלוי בשיתוף פעולה של האסירים. </w:t>
      </w:r>
      <w:r>
        <w:rPr>
          <w:rFonts w:ascii="David" w:cs="David" w:eastAsia="David" w:hAnsi="David"/>
          <w:noProof/>
          <w:sz w:val="24"/>
          <w:szCs w:val="24"/>
          <w:rtl/>
          <w:lang w:val="en-US" w:bidi="he-IL"/>
        </w:rPr>
        <w:t xml:space="preserve">ספרקס</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ובוטומס</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1995</w:t>
      </w:r>
      <w:r>
        <w:rPr>
          <w:rFonts w:ascii="David" w:cs="David" w:eastAsia="David" w:hAnsi="David"/>
          <w:sz w:val="24"/>
          <w:szCs w:val="24"/>
          <w:rtl/>
          <w:lang w:val="en-US" w:bidi="he-IL"/>
        </w:rPr>
        <w:t xml:space="preserve">), על בסיס עבודת שדה בשני בתי סוהר בביטחון מרבי באנגליה, טענו שסדר בבתי סוהר אינו מתקיים בכוח בלבד אלא נשען על תחושת האסירים שהמשטר שבו הם חיים הוגן, ושמי שמפעיל אותו ראוי לציות. תחושה זו היא מה שהספרות מכנה לגיטימיות: המידה שבה הכפופים לסמכות רואים בה סמכות שראוי לציית לה, ולא רק סמכות שאפשר להיענש על ידה (</w:t>
      </w:r>
      <w:r>
        <w:rPr>
          <w:rFonts w:ascii="Times New Roman" w:cs="Times New Roman" w:eastAsia="Times New Roman" w:hAnsi="Times New Roman"/>
          <w:noProof/>
          <w:sz w:val="24"/>
          <w:szCs w:val="24"/>
          <w:lang w:val="en-US" w:bidi="he-IL"/>
        </w:rPr>
        <w:t xml:space="preserve">Tyler, 1990</w:t>
      </w:r>
      <w:r>
        <w:rPr>
          <w:rFonts w:ascii="David" w:cs="David" w:eastAsia="David" w:hAnsi="David"/>
          <w:sz w:val="24"/>
          <w:szCs w:val="24"/>
          <w:rtl/>
          <w:lang w:val="en-US" w:bidi="he-IL"/>
        </w:rPr>
        <w:t xml:space="preserve">, מצוטט אצל </w:t>
      </w:r>
      <w:r>
        <w:rPr>
          <w:rFonts w:ascii="Times New Roman" w:cs="Times New Roman" w:eastAsia="Times New Roman" w:hAnsi="Times New Roman"/>
          <w:noProof/>
          <w:sz w:val="24"/>
          <w:szCs w:val="24"/>
          <w:lang w:val="en-US" w:bidi="he-IL"/>
        </w:rPr>
        <w:t xml:space="preserve">Sparks &amp; Bottoms, 1995</w:t>
      </w:r>
      <w:r>
        <w:rPr>
          <w:rFonts w:ascii="David" w:cs="David" w:eastAsia="David" w:hAnsi="David"/>
          <w:sz w:val="24"/>
          <w:szCs w:val="24"/>
          <w:rtl/>
          <w:lang w:val="en-US" w:bidi="he-IL"/>
        </w:rPr>
        <w:t xml:space="preserve">). בהקשר הכליאה, הלגיטימיות היא האופן שבו האסיר שופט את הסוהרים ואת אנשי הסגל: האם הם מכבדים אותו, האם אפשר לפנות אליהם, האם בקשותיו מטופלות.</w:t>
      </w:r>
    </w:p>
    <w:p>
      <w:pPr>
        <w:bidi/>
        <w:spacing w:after="120" w:line="360"/>
        <w:jc w:val="both"/>
      </w:pPr>
      <w:r>
        <w:rPr>
          <w:rFonts w:ascii="David" w:cs="David" w:eastAsia="David" w:hAnsi="David"/>
          <w:sz w:val="24"/>
          <w:szCs w:val="24"/>
          <w:rtl/>
          <w:lang w:val="en-US" w:bidi="he-IL"/>
        </w:rPr>
        <w:t xml:space="preserve">ההקשר הישראלי מוסיף לשאלה משקל. תקנות בתי הסוהר קובעות שטח מחיה של </w:t>
      </w:r>
      <w:r>
        <w:rPr>
          <w:rFonts w:ascii="Times New Roman" w:cs="Times New Roman" w:eastAsia="Times New Roman" w:hAnsi="Times New Roman"/>
          <w:noProof/>
          <w:sz w:val="24"/>
          <w:szCs w:val="24"/>
          <w:lang w:val="en-US" w:bidi="he-IL"/>
        </w:rPr>
        <w:t xml:space="preserve">4.5</w:t>
      </w:r>
      <w:r>
        <w:rPr>
          <w:rFonts w:ascii="David" w:cs="David" w:eastAsia="David" w:hAnsi="David"/>
          <w:sz w:val="24"/>
          <w:szCs w:val="24"/>
          <w:rtl/>
          <w:lang w:val="en-US" w:bidi="he-IL"/>
        </w:rPr>
        <w:t xml:space="preserve"> מטרים רבועים לאסיר, אך במאי </w:t>
      </w:r>
      <w:r>
        <w:rPr>
          <w:rFonts w:ascii="Times New Roman" w:cs="Times New Roman" w:eastAsia="Times New Roman" w:hAnsi="Times New Roman"/>
          <w:noProof/>
          <w:sz w:val="24"/>
          <w:szCs w:val="24"/>
          <w:lang w:val="en-US" w:bidi="he-IL"/>
        </w:rPr>
        <w:t xml:space="preserve">2019,</w:t>
      </w:r>
      <w:r>
        <w:rPr>
          <w:rFonts w:ascii="David" w:cs="David" w:eastAsia="David" w:hAnsi="David"/>
          <w:sz w:val="24"/>
          <w:szCs w:val="24"/>
          <w:rtl/>
          <w:lang w:val="en-US" w:bidi="he-IL"/>
        </w:rPr>
        <w:t xml:space="preserve"> מועד הפעימה הראשונה שקבע בג"ץ בעתירה </w:t>
      </w:r>
      <w:r>
        <w:rPr>
          <w:rFonts w:ascii="Times New Roman" w:cs="Times New Roman" w:eastAsia="Times New Roman" w:hAnsi="Times New Roman"/>
          <w:noProof/>
          <w:sz w:val="24"/>
          <w:szCs w:val="24"/>
          <w:lang w:val="en-US" w:bidi="he-IL"/>
        </w:rPr>
        <w:t xml:space="preserve">1892</w:t>
      </w:r>
      <w:r>
        <w:rPr>
          <w:rFonts w:ascii="Times New Roman" w:cs="Times New Roman" w:eastAsia="Times New Roman" w:hAnsi="Times New Roman"/>
          <w:noProof/>
          <w:sz w:val="24"/>
          <w:szCs w:val="24"/>
          <w:lang w:val="en-US" w:bidi="he-IL"/>
        </w:rPr>
        <w:t xml:space="preserve">/</w:t>
      </w:r>
      <w:r>
        <w:rPr>
          <w:rFonts w:ascii="Times New Roman" w:cs="Times New Roman" w:eastAsia="Times New Roman" w:hAnsi="Times New Roman"/>
          <w:noProof/>
          <w:sz w:val="24"/>
          <w:szCs w:val="24"/>
          <w:lang w:val="en-US" w:bidi="he-IL"/>
        </w:rPr>
        <w:t xml:space="preserve">14,</w:t>
      </w:r>
      <w:r>
        <w:rPr>
          <w:rFonts w:ascii="David" w:cs="David" w:eastAsia="David" w:hAnsi="David"/>
          <w:sz w:val="24"/>
          <w:szCs w:val="24"/>
          <w:rtl/>
          <w:lang w:val="en-US" w:bidi="he-IL"/>
        </w:rPr>
        <w:t xml:space="preserve"> כ</w:t>
      </w:r>
      <w:r>
        <w:rPr>
          <w:rFonts w:ascii="Times New Roman" w:cs="Times New Roman" w:eastAsia="Times New Roman" w:hAnsi="Times New Roman"/>
          <w:noProof/>
          <w:sz w:val="24"/>
          <w:szCs w:val="24"/>
          <w:lang w:val="en-US" w:bidi="he-IL"/>
        </w:rPr>
        <w:t xml:space="preserve">-80</w:t>
      </w:r>
      <w:r>
        <w:rPr>
          <w:rFonts w:ascii="David" w:cs="David" w:eastAsia="David" w:hAnsi="David"/>
          <w:sz w:val="24"/>
          <w:szCs w:val="24"/>
          <w:rtl/>
          <w:lang w:val="en-US" w:bidi="he-IL"/>
        </w:rPr>
        <w:t xml:space="preserve"> אחוזים ממקומות הכליאה עדיין היו קטנים מתקן זה (</w:t>
      </w:r>
      <w:r>
        <w:rPr>
          <w:rFonts w:ascii="David" w:cs="David" w:eastAsia="David" w:hAnsi="David"/>
          <w:noProof/>
          <w:sz w:val="24"/>
          <w:szCs w:val="24"/>
          <w:rtl/>
          <w:lang w:val="en-US" w:bidi="he-IL"/>
        </w:rPr>
        <w:t xml:space="preserve">יכימוביץ-כהן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2020</w:t>
      </w:r>
      <w:r>
        <w:rPr>
          <w:rFonts w:ascii="David" w:cs="David" w:eastAsia="David" w:hAnsi="David"/>
          <w:sz w:val="24"/>
          <w:szCs w:val="24"/>
          <w:rtl/>
          <w:lang w:val="en-US" w:bidi="he-IL"/>
        </w:rPr>
        <w:t xml:space="preserve">). מחקר שנערך בשירות בתי הסוהר מצא שככל שהשטח האפקטיבי לאסיר קטן, כך עולה מספר אירועי האלימות באגף (בן צבי וכרמל, </w:t>
      </w:r>
      <w:r>
        <w:rPr>
          <w:rFonts w:ascii="Times New Roman" w:cs="Times New Roman" w:eastAsia="Times New Roman" w:hAnsi="Times New Roman"/>
          <w:noProof/>
          <w:sz w:val="24"/>
          <w:szCs w:val="24"/>
          <w:lang w:val="en-US" w:bidi="he-IL"/>
        </w:rPr>
        <w:t xml:space="preserve">2013,</w:t>
      </w:r>
      <w:r>
        <w:rPr>
          <w:rFonts w:ascii="David" w:cs="David" w:eastAsia="David" w:hAnsi="David"/>
          <w:sz w:val="24"/>
          <w:szCs w:val="24"/>
          <w:rtl/>
          <w:lang w:val="en-US" w:bidi="he-IL"/>
        </w:rPr>
        <w:t xml:space="preserve"> מצוטט אצל </w:t>
      </w:r>
      <w:r>
        <w:rPr>
          <w:rFonts w:ascii="David" w:cs="David" w:eastAsia="David" w:hAnsi="David"/>
          <w:noProof/>
          <w:sz w:val="24"/>
          <w:szCs w:val="24"/>
          <w:rtl/>
          <w:lang w:val="en-US" w:bidi="he-IL"/>
        </w:rPr>
        <w:t xml:space="preserve">יכימוביץ-כהן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2020</w:t>
      </w:r>
      <w:r>
        <w:rPr>
          <w:rFonts w:ascii="David" w:cs="David" w:eastAsia="David" w:hAnsi="David"/>
          <w:sz w:val="24"/>
          <w:szCs w:val="24"/>
          <w:rtl/>
          <w:lang w:val="en-US" w:bidi="he-IL"/>
        </w:rPr>
        <w:t xml:space="preserve">). בעקבות פסיקת בג"ץ הפך השחרור המנהלי לכלי המרכזי לצמצום הצפיפות, וכיום משתחררים מדי שנה אלפי אסירים חודשים רבים לפני תום עונשם בלי שמסוכנותם נבחנת, ולפעמים בלי שידעו את מועד שחרורם עד ליום השחרור עצמו (</w:t>
      </w:r>
      <w:r>
        <w:rPr>
          <w:rFonts w:ascii="David" w:cs="David" w:eastAsia="David" w:hAnsi="David"/>
          <w:noProof/>
          <w:sz w:val="24"/>
          <w:szCs w:val="24"/>
          <w:rtl/>
          <w:lang w:val="en-US" w:bidi="he-IL"/>
        </w:rPr>
        <w:t xml:space="preserve">גזל-אייל</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ומרזוק-מקלדה</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2023</w:t>
      </w:r>
      <w:r>
        <w:rPr>
          <w:rFonts w:ascii="David" w:cs="David" w:eastAsia="David" w:hAnsi="David"/>
          <w:sz w:val="24"/>
          <w:szCs w:val="24"/>
          <w:rtl/>
          <w:lang w:val="en-US" w:bidi="he-IL"/>
        </w:rPr>
        <w:t xml:space="preserve">). המשפט הישראלי גם אינו קובע בחקיקה ראשית את תכליות הכליאה, והוא משלב תפיסה שלפיה העונש מתמצה בשלילת החירות עם רטוריקה שמכירה בסבל נוסף כחלק מהמאסר (</w:t>
      </w:r>
      <w:r>
        <w:rPr>
          <w:rFonts w:ascii="David" w:cs="David" w:eastAsia="David" w:hAnsi="David"/>
          <w:noProof/>
          <w:sz w:val="24"/>
          <w:szCs w:val="24"/>
          <w:rtl/>
          <w:lang w:val="en-US" w:bidi="he-IL"/>
        </w:rPr>
        <w:t xml:space="preserve">דגן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2021</w:t>
      </w:r>
      <w:r>
        <w:rPr>
          <w:rFonts w:ascii="David" w:cs="David" w:eastAsia="David" w:hAnsi="David"/>
          <w:sz w:val="24"/>
          <w:szCs w:val="24"/>
          <w:rtl/>
          <w:lang w:val="en-US" w:bidi="he-IL"/>
        </w:rPr>
        <w:t xml:space="preserve">). ענף המחקר של שירות בתי הסוהר מקדם בשנים האחרונות מדיניות מבוססת נתונים, ובכלל זה הערכה שיטתית של תוכניות </w:t>
      </w:r>
      <w:r>
        <w:rPr>
          <w:rFonts w:ascii="David" w:cs="David" w:eastAsia="David" w:hAnsi="David"/>
          <w:noProof/>
          <w:sz w:val="24"/>
          <w:szCs w:val="24"/>
          <w:rtl/>
          <w:lang w:val="en-US" w:bidi="he-IL"/>
        </w:rPr>
        <w:t xml:space="preserve">התקון</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2025</w:t>
      </w:r>
      <w:r>
        <w:rPr>
          <w:rFonts w:ascii="David" w:cs="David" w:eastAsia="David" w:hAnsi="David"/>
          <w:sz w:val="24"/>
          <w:szCs w:val="24"/>
          <w:rtl/>
          <w:lang w:val="en-US" w:bidi="he-IL"/>
        </w:rPr>
        <w:t xml:space="preserve">). על רקע זה נערך בסתיו </w:t>
      </w:r>
      <w:r>
        <w:rPr>
          <w:rFonts w:ascii="Times New Roman" w:cs="Times New Roman" w:eastAsia="Times New Roman" w:hAnsi="Times New Roman"/>
          <w:noProof/>
          <w:sz w:val="24"/>
          <w:szCs w:val="24"/>
          <w:lang w:val="en-US" w:bidi="he-IL"/>
        </w:rPr>
        <w:t xml:space="preserve">2021</w:t>
      </w:r>
      <w:r>
        <w:rPr>
          <w:rFonts w:ascii="David" w:cs="David" w:eastAsia="David" w:hAnsi="David"/>
          <w:sz w:val="24"/>
          <w:szCs w:val="24"/>
          <w:rtl/>
          <w:lang w:val="en-US" w:bidi="he-IL"/>
        </w:rPr>
        <w:t xml:space="preserve"> סקר תנאי המחיה הראשון בהיקפו בשירות בתי הסוהר, בקרב </w:t>
      </w:r>
      <w:r>
        <w:rPr>
          <w:rFonts w:ascii="Times New Roman" w:cs="Times New Roman" w:eastAsia="Times New Roman" w:hAnsi="Times New Roman"/>
          <w:noProof/>
          <w:sz w:val="24"/>
          <w:szCs w:val="24"/>
          <w:lang w:val="en-US" w:bidi="he-IL"/>
        </w:rPr>
        <w:t xml:space="preserve">2,363</w:t>
      </w:r>
      <w:r>
        <w:rPr>
          <w:rFonts w:ascii="David" w:cs="David" w:eastAsia="David" w:hAnsi="David"/>
          <w:sz w:val="24"/>
          <w:szCs w:val="24"/>
          <w:rtl/>
          <w:lang w:val="en-US" w:bidi="he-IL"/>
        </w:rPr>
        <w:t xml:space="preserve"> שפוטים ו</w:t>
      </w:r>
      <w:r>
        <w:rPr>
          <w:rFonts w:ascii="Times New Roman" w:cs="Times New Roman" w:eastAsia="Times New Roman" w:hAnsi="Times New Roman"/>
          <w:noProof/>
          <w:sz w:val="24"/>
          <w:szCs w:val="24"/>
          <w:lang w:val="en-US" w:bidi="he-IL"/>
        </w:rPr>
        <w:t xml:space="preserve">-1,427</w:t>
      </w:r>
      <w:r>
        <w:rPr>
          <w:rFonts w:ascii="David" w:cs="David" w:eastAsia="David" w:hAnsi="David"/>
          <w:sz w:val="24"/>
          <w:szCs w:val="24"/>
          <w:rtl/>
          <w:lang w:val="en-US" w:bidi="he-IL"/>
        </w:rPr>
        <w:t xml:space="preserve"> עצורים פליליים. הסקר בחן תשעה תחומים של תנאי מחיה ומצא שהלגיטימיות ממתנת את הקשר בין שביעות הרצון מתנאי המחיה לבין שביעות הרצון מפעילויות חינוך, טיפול ושיקום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w:t>
      </w:r>
    </w:p>
    <w:p>
      <w:pPr>
        <w:bidi/>
        <w:spacing w:after="120" w:line="360"/>
        <w:jc w:val="both"/>
      </w:pPr>
      <w:r>
        <w:rPr>
          <w:rFonts w:ascii="David" w:cs="David" w:eastAsia="David" w:hAnsi="David"/>
          <w:sz w:val="24"/>
          <w:szCs w:val="24"/>
          <w:rtl/>
          <w:lang w:val="en-US" w:bidi="he-IL"/>
        </w:rPr>
        <w:t xml:space="preserve">המחקר הנוכחי לוקח מאותו מערך נתונים חוט אחד ובוחן אותו לעומק: הקשר בין רווחתו הנפשית של האסיר לבין האופן שבו הוא תופס את לגיטימיות הסגל. הבחירה להתמקד בשפוטים בלבד אינה מקרית. עצור נמצא במצב זמני ולא ודאי, ואילו לשפוט יש אופק ידוע, שהות ממושכת יותר באגף וחשיפה ארוכה יותר לאותו סגל. ואכן, בסקר המקורי דיווחו השפוטים על לגיטימיות גבוהה יותר מהעצורים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תהליכי ההסתגלות למאסר, שהם חלק ממוקד המחקר, רלוונטיים לשפוטים יותר מלעצורים, ומחקר ישראלי עדכני הראה שהסתגלות זו עשויה להסתיר מצוקה נפשית שאינה מזוהה (</w:t>
      </w:r>
      <w:r>
        <w:rPr>
          <w:rFonts w:ascii="David" w:cs="David" w:eastAsia="David" w:hAnsi="David"/>
          <w:noProof/>
          <w:sz w:val="24"/>
          <w:szCs w:val="24"/>
          <w:rtl/>
          <w:lang w:val="en-US" w:bidi="he-IL"/>
        </w:rPr>
        <w:t xml:space="preserve">יפתח-שרצקי</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והראל</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w:t>
      </w:r>
    </w:p>
    <w:p>
      <w:pPr>
        <w:pStyle w:val="Heading1"/>
        <w:pageBreakBefore/>
        <w:bidi/>
        <w:spacing w:after="240" w:before="0" w:line="360"/>
        <w:jc w:val="right"/>
      </w:pPr>
      <w:r>
        <w:rPr>
          <w:rFonts w:ascii="David" w:cs="David" w:eastAsia="David" w:hAnsi="David"/>
          <w:b/>
          <w:bCs/>
          <w:sz w:val="32"/>
          <w:szCs w:val="32"/>
          <w:rtl/>
          <w:lang w:val="en-US" w:bidi="he-IL"/>
        </w:rPr>
        <w:t xml:space="preserve">סקירת ספרות</w:t>
      </w:r>
    </w:p>
    <w:p>
      <w:pPr>
        <w:pStyle w:val="Heading2"/>
        <w:keepNext/>
        <w:bidi/>
        <w:spacing w:after="120" w:before="240" w:line="360"/>
        <w:jc w:val="right"/>
      </w:pPr>
      <w:r>
        <w:rPr>
          <w:rFonts w:ascii="David" w:cs="David" w:eastAsia="David" w:hAnsi="David"/>
          <w:b/>
          <w:bCs/>
          <w:sz w:val="28"/>
          <w:szCs w:val="28"/>
          <w:rtl/>
          <w:lang w:val="en-US" w:bidi="he-IL"/>
        </w:rPr>
        <w:t xml:space="preserve">הסתגלות למאסר ורווחה נפשית</w:t>
      </w:r>
    </w:p>
    <w:p>
      <w:pPr>
        <w:bidi/>
        <w:spacing w:after="120" w:line="360"/>
        <w:jc w:val="both"/>
      </w:pPr>
      <w:r>
        <w:rPr>
          <w:rFonts w:ascii="David" w:cs="David" w:eastAsia="David" w:hAnsi="David"/>
          <w:sz w:val="24"/>
          <w:szCs w:val="24"/>
          <w:rtl/>
          <w:lang w:val="en-US" w:bidi="he-IL"/>
        </w:rPr>
        <w:t xml:space="preserve">נקודת המוצא לכל דיון בהסתגלות למאסר היא מודל המחסור, שנוסח בעקבות עבודתו של </w:t>
      </w:r>
      <w:r>
        <w:rPr>
          <w:rFonts w:ascii="David" w:cs="David" w:eastAsia="David" w:hAnsi="David"/>
          <w:noProof/>
          <w:sz w:val="24"/>
          <w:szCs w:val="24"/>
          <w:rtl/>
          <w:lang w:val="en-US" w:bidi="he-IL"/>
        </w:rPr>
        <w:t xml:space="preserve">סייקס</w:t>
      </w:r>
      <w:r>
        <w:rPr>
          <w:rFonts w:ascii="David" w:cs="David" w:eastAsia="David" w:hAnsi="David"/>
          <w:sz w:val="24"/>
          <w:szCs w:val="24"/>
          <w:rtl/>
          <w:lang w:val="en-US" w:bidi="he-IL"/>
        </w:rPr>
        <w:t xml:space="preserve"> על "כאבי המאסר": אבדן החירות, אבדן טובין ושירותים, אבדן קשרים אינטימיים, אבדן האוטונומיה ואבדן תחושת הביטחון. המודל מניח שהתנהגות האסיר היא תוצאה ישירה של סביבת בית הסוהר, ולכן תנאי כליאה נוקשים צפויים להוליד התנהגות שלילית יותר, ובכלל זה הפרות משמעת ואלימות (</w:t>
      </w:r>
      <w:r>
        <w:rPr>
          <w:rFonts w:ascii="Times New Roman" w:cs="Times New Roman" w:eastAsia="Times New Roman" w:hAnsi="Times New Roman"/>
          <w:noProof/>
          <w:sz w:val="24"/>
          <w:szCs w:val="24"/>
          <w:lang w:val="en-US" w:bidi="he-IL"/>
        </w:rPr>
        <w:t xml:space="preserve">Sykes, 1958</w:t>
      </w:r>
      <w:r>
        <w:rPr>
          <w:rFonts w:ascii="David" w:cs="David" w:eastAsia="David" w:hAnsi="David"/>
          <w:sz w:val="24"/>
          <w:szCs w:val="24"/>
          <w:rtl/>
          <w:lang w:val="en-US" w:bidi="he-IL"/>
        </w:rPr>
        <w:t xml:space="preserve">, מצוטט אצל </w:t>
      </w:r>
      <w:r>
        <w:rPr>
          <w:rFonts w:ascii="David" w:cs="David" w:eastAsia="David" w:hAnsi="David"/>
          <w:noProof/>
          <w:sz w:val="24"/>
          <w:szCs w:val="24"/>
          <w:rtl/>
          <w:lang w:val="en-US" w:bidi="he-IL"/>
        </w:rPr>
        <w:t xml:space="preserve">דוידסקו</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וולק</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2015</w:t>
      </w:r>
      <w:r>
        <w:rPr>
          <w:rFonts w:ascii="David" w:cs="David" w:eastAsia="David" w:hAnsi="David"/>
          <w:sz w:val="24"/>
          <w:szCs w:val="24"/>
          <w:rtl/>
          <w:lang w:val="en-US" w:bidi="he-IL"/>
        </w:rPr>
        <w:t xml:space="preserve">). סקירת הספרות של שירות בתי הסוהר, שבחנה את הקשר בין תנאי הכליאה הפיזיים לבין התנהגות אסירים, התאבדויות ולמועדות חוזרת, מצאה שתנאי כליאה קשים מקושרים לאלימות ולהתאבדויות, ושקבוצות מסוימות, ובהן אסירים בסיכון אבדני, רגישות להם במיוחד (</w:t>
      </w:r>
      <w:r>
        <w:rPr>
          <w:rFonts w:ascii="David" w:cs="David" w:eastAsia="David" w:hAnsi="David"/>
          <w:noProof/>
          <w:sz w:val="24"/>
          <w:szCs w:val="24"/>
          <w:rtl/>
          <w:lang w:val="en-US" w:bidi="he-IL"/>
        </w:rPr>
        <w:t xml:space="preserve">דוידסקו</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וולק</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2015</w:t>
      </w:r>
      <w:r>
        <w:rPr>
          <w:rFonts w:ascii="David" w:cs="David" w:eastAsia="David" w:hAnsi="David"/>
          <w:sz w:val="24"/>
          <w:szCs w:val="24"/>
          <w:rtl/>
          <w:lang w:val="en-US" w:bidi="he-IL"/>
        </w:rPr>
        <w:t xml:space="preserve">). מכאן צומחת השאלה כיצד אדם מסתגל למקום שנועד לשלול ממנו כמעט הכול.</w:t>
      </w:r>
    </w:p>
    <w:p>
      <w:pPr>
        <w:bidi/>
        <w:spacing w:after="120" w:line="360"/>
        <w:jc w:val="both"/>
      </w:pPr>
      <w:r>
        <w:rPr>
          <w:rFonts w:ascii="David" w:cs="David" w:eastAsia="David" w:hAnsi="David"/>
          <w:sz w:val="24"/>
          <w:szCs w:val="24"/>
          <w:rtl/>
          <w:lang w:val="en-US" w:bidi="he-IL"/>
        </w:rPr>
        <w:t xml:space="preserve">הספרות המאוחרת עברה מתיאור כללי של המאסר לבחינה של הבדלים בין בתי סוהר ובין אסירים. במרכזה עומדת מסגרת "איכות החיים המוסרית" של בית הסוהר, שפותחה </w:t>
      </w:r>
      <w:r>
        <w:rPr>
          <w:rFonts w:ascii="David" w:cs="David" w:eastAsia="David" w:hAnsi="David"/>
          <w:noProof/>
          <w:sz w:val="24"/>
          <w:szCs w:val="24"/>
          <w:rtl/>
          <w:lang w:val="en-US" w:bidi="he-IL"/>
        </w:rPr>
        <w:t xml:space="preserve">בקיימברידג'</w:t>
      </w:r>
      <w:r>
        <w:rPr>
          <w:rFonts w:ascii="David" w:cs="David" w:eastAsia="David" w:hAnsi="David"/>
          <w:sz w:val="24"/>
          <w:szCs w:val="24"/>
          <w:rtl/>
          <w:lang w:val="en-US" w:bidi="he-IL"/>
        </w:rPr>
        <w:t xml:space="preserve"> וזיהתה שמה שחשוב ביותר לאסירים אינו התנאים החומריים אלא היחסים עם הסגל, ההוגנות, הביטחון, האנושיות והאמון (</w:t>
      </w:r>
      <w:r>
        <w:rPr>
          <w:rFonts w:ascii="Times New Roman" w:cs="Times New Roman" w:eastAsia="Times New Roman" w:hAnsi="Times New Roman"/>
          <w:noProof/>
          <w:sz w:val="24"/>
          <w:szCs w:val="24"/>
          <w:lang w:val="en-US" w:bidi="he-IL"/>
        </w:rPr>
        <w:t xml:space="preserve">Liebling, 2004</w:t>
      </w:r>
      <w:r>
        <w:rPr>
          <w:rFonts w:ascii="David" w:cs="David" w:eastAsia="David" w:hAnsi="David"/>
          <w:sz w:val="24"/>
          <w:szCs w:val="24"/>
          <w:rtl/>
          <w:lang w:val="en-US" w:bidi="he-IL"/>
        </w:rPr>
        <w:t xml:space="preserve">, מצוטט אצל </w:t>
      </w:r>
      <w:r>
        <w:rPr>
          <w:rFonts w:ascii="Times New Roman" w:cs="Times New Roman" w:eastAsia="Times New Roman" w:hAnsi="Times New Roman"/>
          <w:noProof/>
          <w:sz w:val="24"/>
          <w:szCs w:val="24"/>
          <w:lang w:val="en-US" w:bidi="he-IL"/>
        </w:rPr>
        <w:t xml:space="preserve">Auty &amp; Liebling, 2024</w:t>
      </w:r>
      <w:r>
        <w:rPr>
          <w:rFonts w:ascii="David" w:cs="David" w:eastAsia="David" w:hAnsi="David"/>
          <w:sz w:val="24"/>
          <w:szCs w:val="24"/>
          <w:rtl/>
          <w:lang w:val="en-US" w:bidi="he-IL"/>
        </w:rPr>
        <w:t xml:space="preserve">). בהמשך לכך זיהו </w:t>
      </w:r>
      <w:r>
        <w:rPr>
          <w:rFonts w:ascii="David" w:cs="David" w:eastAsia="David" w:hAnsi="David"/>
          <w:noProof/>
          <w:sz w:val="24"/>
          <w:szCs w:val="24"/>
          <w:rtl/>
          <w:lang w:val="en-US" w:bidi="he-IL"/>
        </w:rPr>
        <w:t xml:space="preserve">אוטי</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וליבלינג</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על בסיס </w:t>
      </w:r>
      <w:r>
        <w:rPr>
          <w:rFonts w:ascii="Times New Roman" w:cs="Times New Roman" w:eastAsia="Times New Roman" w:hAnsi="Times New Roman"/>
          <w:noProof/>
          <w:sz w:val="24"/>
          <w:szCs w:val="24"/>
          <w:lang w:val="en-US" w:bidi="he-IL"/>
        </w:rPr>
        <w:t xml:space="preserve">518</w:t>
      </w:r>
      <w:r>
        <w:rPr>
          <w:rFonts w:ascii="David" w:cs="David" w:eastAsia="David" w:hAnsi="David"/>
          <w:sz w:val="24"/>
          <w:szCs w:val="24"/>
          <w:rtl/>
          <w:lang w:val="en-US" w:bidi="he-IL"/>
        </w:rPr>
        <w:t xml:space="preserve"> סקרי איכות חיים באנגליה </w:t>
      </w:r>
      <w:r>
        <w:rPr>
          <w:rFonts w:ascii="David" w:cs="David" w:eastAsia="David" w:hAnsi="David"/>
          <w:noProof/>
          <w:sz w:val="24"/>
          <w:szCs w:val="24"/>
          <w:rtl/>
          <w:lang w:val="en-US" w:bidi="he-IL"/>
        </w:rPr>
        <w:t xml:space="preserve">ובוויילס</w:t>
      </w:r>
      <w:r>
        <w:rPr>
          <w:rFonts w:ascii="David" w:cs="David" w:eastAsia="David" w:hAnsi="David"/>
          <w:sz w:val="24"/>
          <w:szCs w:val="24"/>
          <w:rtl/>
          <w:lang w:val="en-US" w:bidi="he-IL"/>
        </w:rPr>
        <w:t xml:space="preserve"> בין </w:t>
      </w:r>
      <w:r>
        <w:rPr>
          <w:rFonts w:ascii="Times New Roman" w:cs="Times New Roman" w:eastAsia="Times New Roman" w:hAnsi="Times New Roman"/>
          <w:noProof/>
          <w:sz w:val="24"/>
          <w:szCs w:val="24"/>
          <w:lang w:val="en-US" w:bidi="he-IL"/>
        </w:rPr>
        <w:t xml:space="preserve">2009</w:t>
      </w:r>
      <w:r>
        <w:rPr>
          <w:rFonts w:ascii="David" w:cs="David" w:eastAsia="David" w:hAnsi="David"/>
          <w:sz w:val="24"/>
          <w:szCs w:val="24"/>
          <w:rtl/>
          <w:lang w:val="en-US" w:bidi="he-IL"/>
        </w:rPr>
        <w:t xml:space="preserve"> ל</w:t>
      </w:r>
      <w:r>
        <w:rPr>
          <w:rFonts w:ascii="Times New Roman" w:cs="Times New Roman" w:eastAsia="Times New Roman" w:hAnsi="Times New Roman"/>
          <w:noProof/>
          <w:sz w:val="24"/>
          <w:szCs w:val="24"/>
          <w:lang w:val="en-US" w:bidi="he-IL"/>
        </w:rPr>
        <w:t xml:space="preserve">-2020,</w:t>
      </w:r>
      <w:r>
        <w:rPr>
          <w:rFonts w:ascii="David" w:cs="David" w:eastAsia="David" w:hAnsi="David"/>
          <w:sz w:val="24"/>
          <w:szCs w:val="24"/>
          <w:rtl/>
          <w:lang w:val="en-US" w:bidi="he-IL"/>
        </w:rPr>
        <w:t xml:space="preserve"> שני ספים אמפיריים לכל ממד: סף "לא בטוח" וסף "בטוח מינימלית". בממד היחסים בין סגל לאסירים עמדו הספים על </w:t>
      </w:r>
      <w:r>
        <w:rPr>
          <w:rFonts w:ascii="Times New Roman" w:cs="Times New Roman" w:eastAsia="Times New Roman" w:hAnsi="Times New Roman"/>
          <w:noProof/>
          <w:sz w:val="24"/>
          <w:szCs w:val="24"/>
          <w:lang w:val="en-US" w:bidi="he-IL"/>
        </w:rPr>
        <w:t xml:space="preserve">3.05</w:t>
      </w:r>
      <w:r>
        <w:rPr>
          <w:rFonts w:ascii="David" w:cs="David" w:eastAsia="David" w:hAnsi="David"/>
          <w:sz w:val="24"/>
          <w:szCs w:val="24"/>
          <w:rtl/>
          <w:lang w:val="en-US" w:bidi="he-IL"/>
        </w:rPr>
        <w:t xml:space="preserve"> ו</w:t>
      </w:r>
      <w:r>
        <w:rPr>
          <w:rFonts w:ascii="Times New Roman" w:cs="Times New Roman" w:eastAsia="Times New Roman" w:hAnsi="Times New Roman"/>
          <w:noProof/>
          <w:sz w:val="24"/>
          <w:szCs w:val="24"/>
          <w:lang w:val="en-US" w:bidi="he-IL"/>
        </w:rPr>
        <w:t xml:space="preserve">-3.55</w:t>
      </w:r>
      <w:r>
        <w:rPr>
          <w:rFonts w:ascii="David" w:cs="David" w:eastAsia="David" w:hAnsi="David"/>
          <w:sz w:val="24"/>
          <w:szCs w:val="24"/>
          <w:rtl/>
          <w:lang w:val="en-US" w:bidi="he-IL"/>
        </w:rPr>
        <w:t xml:space="preserve"> בסולם של </w:t>
      </w:r>
      <w:r>
        <w:rPr>
          <w:rFonts w:ascii="Times New Roman" w:cs="Times New Roman" w:eastAsia="Times New Roman" w:hAnsi="Times New Roman"/>
          <w:noProof/>
          <w:sz w:val="24"/>
          <w:szCs w:val="24"/>
          <w:lang w:val="en-US" w:bidi="he-IL"/>
        </w:rPr>
        <w:t xml:space="preserve">1</w:t>
      </w:r>
      <w:r>
        <w:rPr>
          <w:rFonts w:ascii="David" w:cs="David" w:eastAsia="David" w:hAnsi="David"/>
          <w:sz w:val="24"/>
          <w:szCs w:val="24"/>
          <w:rtl/>
          <w:lang w:val="en-US" w:bidi="he-IL"/>
        </w:rPr>
        <w:t xml:space="preserve"> עד </w:t>
      </w:r>
      <w:r>
        <w:rPr>
          <w:rFonts w:ascii="Times New Roman" w:cs="Times New Roman" w:eastAsia="Times New Roman" w:hAnsi="Times New Roman"/>
          <w:noProof/>
          <w:sz w:val="24"/>
          <w:szCs w:val="24"/>
          <w:lang w:val="en-US" w:bidi="he-IL"/>
        </w:rPr>
        <w:t xml:space="preserve">5,</w:t>
      </w:r>
      <w:r>
        <w:rPr>
          <w:rFonts w:ascii="David" w:cs="David" w:eastAsia="David" w:hAnsi="David"/>
          <w:sz w:val="24"/>
          <w:szCs w:val="24"/>
          <w:rtl/>
          <w:lang w:val="en-US" w:bidi="he-IL"/>
        </w:rPr>
        <w:t xml:space="preserve"> ובבתי סוהר שמתחת לסף התחתון נמצאו שיעורים גבוהים באופן מובהק של תקיפות, פגיעה עצמית ומקרי מוות. בהולנד בחנו </w:t>
      </w:r>
      <w:r>
        <w:rPr>
          <w:rFonts w:ascii="David" w:cs="David" w:eastAsia="David" w:hAnsi="David"/>
          <w:noProof/>
          <w:sz w:val="24"/>
          <w:szCs w:val="24"/>
          <w:rtl/>
          <w:lang w:val="en-US" w:bidi="he-IL"/>
        </w:rPr>
        <w:t xml:space="preserve">ון גינקן</w:t>
      </w:r>
      <w:r>
        <w:rPr>
          <w:rFonts w:ascii="David" w:cs="David" w:eastAsia="David" w:hAnsi="David"/>
          <w:sz w:val="24"/>
          <w:szCs w:val="24"/>
          <w:rtl/>
          <w:lang w:val="en-US" w:bidi="he-IL"/>
        </w:rPr>
        <w:t xml:space="preserve"> ואחרים (</w:t>
      </w:r>
      <w:r>
        <w:rPr>
          <w:rFonts w:ascii="Times New Roman" w:cs="Times New Roman" w:eastAsia="Times New Roman" w:hAnsi="Times New Roman"/>
          <w:noProof/>
          <w:sz w:val="24"/>
          <w:szCs w:val="24"/>
          <w:lang w:val="en-US" w:bidi="he-IL"/>
        </w:rPr>
        <w:t xml:space="preserve">2019</w:t>
      </w:r>
      <w:r>
        <w:rPr>
          <w:rFonts w:ascii="David" w:cs="David" w:eastAsia="David" w:hAnsi="David"/>
          <w:sz w:val="24"/>
          <w:szCs w:val="24"/>
          <w:rtl/>
          <w:lang w:val="en-US" w:bidi="he-IL"/>
        </w:rPr>
        <w:t xml:space="preserve">) את הקשר בין אקלים בית הסוהר לרווחה בקרב </w:t>
      </w:r>
      <w:r>
        <w:rPr>
          <w:rFonts w:ascii="Times New Roman" w:cs="Times New Roman" w:eastAsia="Times New Roman" w:hAnsi="Times New Roman"/>
          <w:noProof/>
          <w:sz w:val="24"/>
          <w:szCs w:val="24"/>
          <w:lang w:val="en-US" w:bidi="he-IL"/>
        </w:rPr>
        <w:t xml:space="preserve">4,538</w:t>
      </w:r>
      <w:r>
        <w:rPr>
          <w:rFonts w:ascii="David" w:cs="David" w:eastAsia="David" w:hAnsi="David"/>
          <w:sz w:val="24"/>
          <w:szCs w:val="24"/>
          <w:rtl/>
          <w:lang w:val="en-US" w:bidi="he-IL"/>
        </w:rPr>
        <w:t xml:space="preserve"> אסירים, באמצעות סקר "החיים במשמורת" שממנו נגזר גם השאלון הישראלי. הם מצאו שרוב השונות ברווחה נמצאת ברמת האסיר ולא ברמת האגף, ושתפיסות אישיות של אוטונומיה, ביטחון ויחסים עם אסירים אחרים קשורות לרווחה גבוהה יותר. היחסים עם הסגל, בניגוד לצפוי, לא נמצאו קשורים לרווחה באופן ישיר, והחוקרים הסבירו זאת במתאם בין יחסי הסגל לתחושת האוטונומיה: יחס הוגן של הסוהרים מגדיל את תחושת השליטה של האסיר, וזו שקשורה לרווחה. ממצא ישראלי מקביל עלה במרכזי החינוך של שירות בתי הסוהר, שם תמיכה של הסגל בצרכים הפסיכולוגיים של האסירים, ובראשם אוטונומיה וקשר, ניבאה מוטיבציה אוטונומית והתמדה בלמידה בקרב </w:t>
      </w:r>
      <w:r>
        <w:rPr>
          <w:rFonts w:ascii="Times New Roman" w:cs="Times New Roman" w:eastAsia="Times New Roman" w:hAnsi="Times New Roman"/>
          <w:noProof/>
          <w:sz w:val="24"/>
          <w:szCs w:val="24"/>
          <w:lang w:val="en-US" w:bidi="he-IL"/>
        </w:rPr>
        <w:t xml:space="preserve">271</w:t>
      </w:r>
      <w:r>
        <w:rPr>
          <w:rFonts w:ascii="David" w:cs="David" w:eastAsia="David" w:hAnsi="David"/>
          <w:sz w:val="24"/>
          <w:szCs w:val="24"/>
          <w:rtl/>
          <w:lang w:val="en-US" w:bidi="he-IL"/>
        </w:rPr>
        <w:t xml:space="preserve"> אסירים (</w:t>
      </w:r>
      <w:r>
        <w:rPr>
          <w:rFonts w:ascii="David" w:cs="David" w:eastAsia="David" w:hAnsi="David"/>
          <w:noProof/>
          <w:sz w:val="24"/>
          <w:szCs w:val="24"/>
          <w:rtl/>
          <w:lang w:val="en-US" w:bidi="he-IL"/>
        </w:rPr>
        <w:t xml:space="preserve">נחשון דהן</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וכץ</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w:t>
      </w:r>
    </w:p>
    <w:p>
      <w:pPr>
        <w:bidi/>
        <w:spacing w:after="120" w:line="360"/>
        <w:jc w:val="both"/>
      </w:pPr>
      <w:r>
        <w:rPr>
          <w:rFonts w:ascii="David" w:cs="David" w:eastAsia="David" w:hAnsi="David"/>
          <w:sz w:val="24"/>
          <w:szCs w:val="24"/>
          <w:rtl/>
          <w:lang w:val="en-US" w:bidi="he-IL"/>
        </w:rPr>
        <w:t xml:space="preserve">הקשר בין יחס הסגל לרווחה נחקר גם במערכי אורך. באוסטרליה עקבו </w:t>
      </w:r>
      <w:r>
        <w:rPr>
          <w:rFonts w:ascii="David" w:cs="David" w:eastAsia="David" w:hAnsi="David"/>
          <w:noProof/>
          <w:sz w:val="24"/>
          <w:szCs w:val="24"/>
          <w:rtl/>
          <w:lang w:val="en-US" w:bidi="he-IL"/>
        </w:rPr>
        <w:t xml:space="preserve">סרג'נט</w:t>
      </w:r>
      <w:r>
        <w:rPr>
          <w:rFonts w:ascii="David" w:cs="David" w:eastAsia="David" w:hAnsi="David"/>
          <w:sz w:val="24"/>
          <w:szCs w:val="24"/>
          <w:rtl/>
          <w:lang w:val="en-US" w:bidi="he-IL"/>
        </w:rPr>
        <w:t xml:space="preserve"> ואחרים (</w:t>
      </w:r>
      <w:r>
        <w:rPr>
          <w:rFonts w:ascii="Times New Roman" w:cs="Times New Roman" w:eastAsia="Times New Roman" w:hAnsi="Times New Roman"/>
          <w:noProof/>
          <w:sz w:val="24"/>
          <w:szCs w:val="24"/>
          <w:lang w:val="en-US" w:bidi="he-IL"/>
        </w:rPr>
        <w:t xml:space="preserve">2026</w:t>
      </w:r>
      <w:r>
        <w:rPr>
          <w:rFonts w:ascii="David" w:cs="David" w:eastAsia="David" w:hAnsi="David"/>
          <w:sz w:val="24"/>
          <w:szCs w:val="24"/>
          <w:rtl/>
          <w:lang w:val="en-US" w:bidi="he-IL"/>
        </w:rPr>
        <w:t xml:space="preserve">) אחר אסירים בניו </w:t>
      </w:r>
      <w:r>
        <w:rPr>
          <w:rFonts w:ascii="David" w:cs="David" w:eastAsia="David" w:hAnsi="David"/>
          <w:noProof/>
          <w:sz w:val="24"/>
          <w:szCs w:val="24"/>
          <w:rtl/>
          <w:lang w:val="en-US" w:bidi="he-IL"/>
        </w:rPr>
        <w:t xml:space="preserve">סאות'</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ויילס</w:t>
      </w:r>
      <w:r>
        <w:rPr>
          <w:rFonts w:ascii="David" w:cs="David" w:eastAsia="David" w:hAnsi="David"/>
          <w:sz w:val="24"/>
          <w:szCs w:val="24"/>
          <w:rtl/>
          <w:lang w:val="en-US" w:bidi="he-IL"/>
        </w:rPr>
        <w:t xml:space="preserve"> בשלוש נקודות זמן ומצאו שצדק פרוצדורלי קשור לרווחה נפשית גבוהה יותר. בנתוני החתך תיווכו את הקשר גם היחסים עם הסגל וגם תחושת הביטחון, אך בניתוח האורך רק היחסים עם הסגל תיווכו אותו, והחוקרים הסיקו שהכשרת סוהרים בצדק פרוצדורלי היא הדרך המעשית לשפר את רווחת האסירים. הם נשענו על מחקר הולנדי קודם, שבו תפיסת יחס הוגן מצד הסוהרים שלושה שבועות אחרי הקליטה ניבאה פחות בעיות נפשיות שלושה חודשים אחריה (</w:t>
      </w:r>
      <w:r>
        <w:rPr>
          <w:rFonts w:ascii="Times New Roman" w:cs="Times New Roman" w:eastAsia="Times New Roman" w:hAnsi="Times New Roman"/>
          <w:noProof/>
          <w:sz w:val="24"/>
          <w:szCs w:val="24"/>
          <w:lang w:val="en-US" w:bidi="he-IL"/>
        </w:rPr>
        <w:t xml:space="preserve">Beijersbergen et al., 2014</w:t>
      </w:r>
      <w:r>
        <w:rPr>
          <w:rFonts w:ascii="David" w:cs="David" w:eastAsia="David" w:hAnsi="David"/>
          <w:sz w:val="24"/>
          <w:szCs w:val="24"/>
          <w:rtl/>
          <w:lang w:val="en-US" w:bidi="he-IL"/>
        </w:rPr>
        <w:t xml:space="preserve">, מצוטט אצל </w:t>
      </w:r>
      <w:r>
        <w:rPr>
          <w:rFonts w:ascii="Times New Roman" w:cs="Times New Roman" w:eastAsia="Times New Roman" w:hAnsi="Times New Roman"/>
          <w:noProof/>
          <w:sz w:val="24"/>
          <w:szCs w:val="24"/>
          <w:lang w:val="en-US" w:bidi="he-IL"/>
        </w:rPr>
        <w:t xml:space="preserve">Sargeant et al., 2026</w:t>
      </w:r>
      <w:r>
        <w:rPr>
          <w:rFonts w:ascii="David" w:cs="David" w:eastAsia="David" w:hAnsi="David"/>
          <w:sz w:val="24"/>
          <w:szCs w:val="24"/>
          <w:rtl/>
          <w:lang w:val="en-US" w:bidi="he-IL"/>
        </w:rPr>
        <w:t xml:space="preserve">). בישראל, מחקר בקרב </w:t>
      </w:r>
      <w:r>
        <w:rPr>
          <w:rFonts w:ascii="Times New Roman" w:cs="Times New Roman" w:eastAsia="Times New Roman" w:hAnsi="Times New Roman"/>
          <w:noProof/>
          <w:sz w:val="24"/>
          <w:szCs w:val="24"/>
          <w:lang w:val="en-US" w:bidi="he-IL"/>
        </w:rPr>
        <w:t xml:space="preserve">76</w:t>
      </w:r>
      <w:r>
        <w:rPr>
          <w:rFonts w:ascii="David" w:cs="David" w:eastAsia="David" w:hAnsi="David"/>
          <w:sz w:val="24"/>
          <w:szCs w:val="24"/>
          <w:rtl/>
          <w:lang w:val="en-US" w:bidi="he-IL"/>
        </w:rPr>
        <w:t xml:space="preserve"> אסירים בכלא </w:t>
      </w:r>
      <w:r>
        <w:rPr>
          <w:rFonts w:ascii="David" w:cs="David" w:eastAsia="David" w:hAnsi="David"/>
          <w:noProof/>
          <w:sz w:val="24"/>
          <w:szCs w:val="24"/>
          <w:rtl/>
          <w:lang w:val="en-US" w:bidi="he-IL"/>
        </w:rPr>
        <w:t xml:space="preserve">צלמון</w:t>
      </w:r>
      <w:r>
        <w:rPr>
          <w:rFonts w:ascii="David" w:cs="David" w:eastAsia="David" w:hAnsi="David"/>
          <w:sz w:val="24"/>
          <w:szCs w:val="24"/>
          <w:rtl/>
          <w:lang w:val="en-US" w:bidi="he-IL"/>
        </w:rPr>
        <w:t xml:space="preserve"> ובכלא </w:t>
      </w:r>
      <w:r>
        <w:rPr>
          <w:rFonts w:ascii="David" w:cs="David" w:eastAsia="David" w:hAnsi="David"/>
          <w:noProof/>
          <w:sz w:val="24"/>
          <w:szCs w:val="24"/>
          <w:rtl/>
          <w:lang w:val="en-US" w:bidi="he-IL"/>
        </w:rPr>
        <w:t xml:space="preserve">מעשיהו</w:t>
      </w:r>
      <w:r>
        <w:rPr>
          <w:rFonts w:ascii="David" w:cs="David" w:eastAsia="David" w:hAnsi="David"/>
          <w:sz w:val="24"/>
          <w:szCs w:val="24"/>
          <w:rtl/>
          <w:lang w:val="en-US" w:bidi="he-IL"/>
        </w:rPr>
        <w:t xml:space="preserve"> מצא ש</w:t>
      </w:r>
      <w:r>
        <w:rPr>
          <w:rFonts w:ascii="Times New Roman" w:cs="Times New Roman" w:eastAsia="Times New Roman" w:hAnsi="Times New Roman"/>
          <w:noProof/>
          <w:sz w:val="24"/>
          <w:szCs w:val="24"/>
          <w:lang w:val="en-US" w:bidi="he-IL"/>
        </w:rPr>
        <w:t xml:space="preserve">-63.5</w:t>
      </w:r>
      <w:r>
        <w:rPr>
          <w:rFonts w:ascii="David" w:cs="David" w:eastAsia="David" w:hAnsi="David"/>
          <w:sz w:val="24"/>
          <w:szCs w:val="24"/>
          <w:rtl/>
          <w:lang w:val="en-US" w:bidi="he-IL"/>
        </w:rPr>
        <w:t xml:space="preserve"> אחוזים מהם סובלים מתסמינים פוסט-טראומטיים ברמות חומרה שונות, אך תסמינים אלו לא נמצאו קשורים לתפקודם בכלא. החוקרות הציעו שאסירים אלו עוטים "מסכת כלא" רגשית והתנהגותית כדי להסתגל, כך שדווקא האוכלוסייה שנחשבת שקטה ומסתגלת גוררת מצוקה שאינה מזוהה (</w:t>
      </w:r>
      <w:r>
        <w:rPr>
          <w:rFonts w:ascii="David" w:cs="David" w:eastAsia="David" w:hAnsi="David"/>
          <w:noProof/>
          <w:sz w:val="24"/>
          <w:szCs w:val="24"/>
          <w:rtl/>
          <w:lang w:val="en-US" w:bidi="he-IL"/>
        </w:rPr>
        <w:t xml:space="preserve">יפתח-שרצקי</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והראל</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לעומת זאת, מחקר ישראלי אחר הראה שהרווחה הנפשית הסובייקטיבית של אסירים אינה קבועה: בקרב </w:t>
      </w:r>
      <w:r>
        <w:rPr>
          <w:rFonts w:ascii="Times New Roman" w:cs="Times New Roman" w:eastAsia="Times New Roman" w:hAnsi="Times New Roman"/>
          <w:noProof/>
          <w:sz w:val="24"/>
          <w:szCs w:val="24"/>
          <w:lang w:val="en-US" w:bidi="he-IL"/>
        </w:rPr>
        <w:t xml:space="preserve">93</w:t>
      </w:r>
      <w:r>
        <w:rPr>
          <w:rFonts w:ascii="David" w:cs="David" w:eastAsia="David" w:hAnsi="David"/>
          <w:sz w:val="24"/>
          <w:szCs w:val="24"/>
          <w:rtl/>
          <w:lang w:val="en-US" w:bidi="he-IL"/>
        </w:rPr>
        <w:t xml:space="preserve"> גברים שהשתתפו בקבוצה </w:t>
      </w:r>
      <w:r>
        <w:rPr>
          <w:rFonts w:ascii="David" w:cs="David" w:eastAsia="David" w:hAnsi="David"/>
          <w:noProof/>
          <w:sz w:val="24"/>
          <w:szCs w:val="24"/>
          <w:rtl/>
          <w:lang w:val="en-US" w:bidi="he-IL"/>
        </w:rPr>
        <w:t xml:space="preserve">פסיכו-חינוכית</w:t>
      </w:r>
      <w:r>
        <w:rPr>
          <w:rFonts w:ascii="David" w:cs="David" w:eastAsia="David" w:hAnsi="David"/>
          <w:sz w:val="24"/>
          <w:szCs w:val="24"/>
          <w:rtl/>
          <w:lang w:val="en-US" w:bidi="he-IL"/>
        </w:rPr>
        <w:t xml:space="preserve"> מכינה לטיפול, ירדו מדדי המצוקה, הדיכאון והחרדה ועלתה הרווחה הנפשית הסובייקטיבית בתום ההשתתפות (שני ואחרים,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גם בקרב </w:t>
      </w:r>
      <w:r>
        <w:rPr>
          <w:rFonts w:ascii="Times New Roman" w:cs="Times New Roman" w:eastAsia="Times New Roman" w:hAnsi="Times New Roman"/>
          <w:noProof/>
          <w:sz w:val="24"/>
          <w:szCs w:val="24"/>
          <w:lang w:val="en-US" w:bidi="he-IL"/>
        </w:rPr>
        <w:t xml:space="preserve">102</w:t>
      </w:r>
      <w:r>
        <w:rPr>
          <w:rFonts w:ascii="David" w:cs="David" w:eastAsia="David" w:hAnsi="David"/>
          <w:sz w:val="24"/>
          <w:szCs w:val="24"/>
          <w:rtl/>
          <w:lang w:val="en-US" w:bidi="he-IL"/>
        </w:rPr>
        <w:t xml:space="preserve"> אסירים משוחררים שטופלו ברשות לשיקום האסיר נמצא שהרווחה הנפשית הסובייקטיבית, שנמדדה בשביעות רצון מהחיים וברגשות חיוביים ושליליים, קשורה חיובית לתמיכה חברתית ולהתמודדות דתית חיובית (</w:t>
      </w:r>
      <w:r>
        <w:rPr>
          <w:rFonts w:ascii="David" w:cs="David" w:eastAsia="David" w:hAnsi="David"/>
          <w:noProof/>
          <w:sz w:val="24"/>
          <w:szCs w:val="24"/>
          <w:rtl/>
          <w:lang w:val="en-US" w:bidi="he-IL"/>
        </w:rPr>
        <w:t xml:space="preserve">מורלי</w:t>
      </w:r>
      <w:r>
        <w:rPr>
          <w:rFonts w:ascii="David" w:cs="David" w:eastAsia="David" w:hAnsi="David"/>
          <w:sz w:val="24"/>
          <w:szCs w:val="24"/>
          <w:rtl/>
          <w:lang w:val="en-US" w:bidi="he-IL"/>
        </w:rPr>
        <w:t xml:space="preserve"> ואחרים, </w:t>
      </w:r>
      <w:r>
        <w:rPr>
          <w:rFonts w:ascii="Times New Roman" w:cs="Times New Roman" w:eastAsia="Times New Roman" w:hAnsi="Times New Roman"/>
          <w:noProof/>
          <w:sz w:val="24"/>
          <w:szCs w:val="24"/>
          <w:lang w:val="en-US" w:bidi="he-IL"/>
        </w:rPr>
        <w:t xml:space="preserve">2019</w:t>
      </w:r>
      <w:r>
        <w:rPr>
          <w:rFonts w:ascii="David" w:cs="David" w:eastAsia="David" w:hAnsi="David"/>
          <w:sz w:val="24"/>
          <w:szCs w:val="24"/>
          <w:rtl/>
          <w:lang w:val="en-US" w:bidi="he-IL"/>
        </w:rPr>
        <w:t xml:space="preserve">). כיוון ההשפעה במחקרים אלו הוא מיחס הסגל ומההתערבות אל הרווחה. המחקר הנוכחי בוחן את הכיוון ההפוך, הרווחה הנפשית כמנבאת של תפיסת הסגל, ומכיוון שהוא מתאמי, אין בו כדי להכריע בין השניים אלא לבחון אם הקשר קיים בישראל ומה חוזקו.</w:t>
      </w:r>
    </w:p>
    <w:p>
      <w:pPr>
        <w:pStyle w:val="Heading2"/>
        <w:keepNext/>
        <w:bidi/>
        <w:spacing w:after="120" w:before="240" w:line="360"/>
        <w:jc w:val="right"/>
      </w:pPr>
      <w:r>
        <w:rPr>
          <w:rFonts w:ascii="David" w:cs="David" w:eastAsia="David" w:hAnsi="David"/>
          <w:b/>
          <w:bCs/>
          <w:sz w:val="28"/>
          <w:szCs w:val="28"/>
          <w:rtl/>
          <w:lang w:val="en-US" w:bidi="he-IL"/>
        </w:rPr>
        <w:t xml:space="preserve">לגיטימיות של סגל הכליאה</w:t>
      </w:r>
    </w:p>
    <w:p>
      <w:pPr>
        <w:bidi/>
        <w:spacing w:after="120" w:line="360"/>
        <w:jc w:val="both"/>
      </w:pPr>
      <w:r>
        <w:rPr>
          <w:rFonts w:ascii="David" w:cs="David" w:eastAsia="David" w:hAnsi="David"/>
          <w:sz w:val="24"/>
          <w:szCs w:val="24"/>
          <w:rtl/>
          <w:lang w:val="en-US" w:bidi="he-IL"/>
        </w:rPr>
        <w:t xml:space="preserve">הבסיס התאורטי של מחקרי הלגיטימיות בכליאה הונח על ידי </w:t>
      </w:r>
      <w:r>
        <w:rPr>
          <w:rFonts w:ascii="David" w:cs="David" w:eastAsia="David" w:hAnsi="David"/>
          <w:noProof/>
          <w:sz w:val="24"/>
          <w:szCs w:val="24"/>
          <w:rtl/>
          <w:lang w:val="en-US" w:bidi="he-IL"/>
        </w:rPr>
        <w:t xml:space="preserve">ספרקס</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ובוטומס</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1995</w:t>
      </w:r>
      <w:r>
        <w:rPr>
          <w:rFonts w:ascii="David" w:cs="David" w:eastAsia="David" w:hAnsi="David"/>
          <w:sz w:val="24"/>
          <w:szCs w:val="24"/>
          <w:rtl/>
          <w:lang w:val="en-US" w:bidi="he-IL"/>
        </w:rPr>
        <w:t xml:space="preserve">), שהעבירו אל בית הסוהר את תאוריות הלגיטימיות של </w:t>
      </w:r>
      <w:r>
        <w:rPr>
          <w:rFonts w:ascii="David" w:cs="David" w:eastAsia="David" w:hAnsi="David"/>
          <w:noProof/>
          <w:sz w:val="24"/>
          <w:szCs w:val="24"/>
          <w:rtl/>
          <w:lang w:val="en-US" w:bidi="he-IL"/>
        </w:rPr>
        <w:t xml:space="preserve">ביתהם</w:t>
      </w:r>
      <w:r>
        <w:rPr>
          <w:rFonts w:ascii="David" w:cs="David" w:eastAsia="David" w:hAnsi="David"/>
          <w:sz w:val="24"/>
          <w:szCs w:val="24"/>
          <w:rtl/>
          <w:lang w:val="en-US" w:bidi="he-IL"/>
        </w:rPr>
        <w:t xml:space="preserve"> ושל </w:t>
      </w:r>
      <w:r>
        <w:rPr>
          <w:rFonts w:ascii="David" w:cs="David" w:eastAsia="David" w:hAnsi="David"/>
          <w:noProof/>
          <w:sz w:val="24"/>
          <w:szCs w:val="24"/>
          <w:rtl/>
          <w:lang w:val="en-US" w:bidi="he-IL"/>
        </w:rPr>
        <w:t xml:space="preserve">טיילר</w:t>
      </w:r>
      <w:r>
        <w:rPr>
          <w:rFonts w:ascii="David" w:cs="David" w:eastAsia="David" w:hAnsi="David"/>
          <w:sz w:val="24"/>
          <w:szCs w:val="24"/>
          <w:rtl/>
          <w:lang w:val="en-US" w:bidi="he-IL"/>
        </w:rPr>
        <w:t xml:space="preserve">. לפי </w:t>
      </w:r>
      <w:r>
        <w:rPr>
          <w:rFonts w:ascii="David" w:cs="David" w:eastAsia="David" w:hAnsi="David"/>
          <w:noProof/>
          <w:sz w:val="24"/>
          <w:szCs w:val="24"/>
          <w:rtl/>
          <w:lang w:val="en-US" w:bidi="he-IL"/>
        </w:rPr>
        <w:t xml:space="preserve">טיילר</w:t>
      </w:r>
      <w:r>
        <w:rPr>
          <w:rFonts w:ascii="David" w:cs="David" w:eastAsia="David" w:hAnsi="David"/>
          <w:sz w:val="24"/>
          <w:szCs w:val="24"/>
          <w:rtl/>
          <w:lang w:val="en-US" w:bidi="he-IL"/>
        </w:rPr>
        <w:t xml:space="preserve">, אנשים מצייתים לרשות בעיקר משום שהם תופסים אותה כלגיטימית, והלגיטימיות נבנית דרך צדק פרוצדורלי, כלומר דרך האופן שבו ההחלטות מתקבלות ולא רק דרך תוצאותיהן (</w:t>
      </w:r>
      <w:r>
        <w:rPr>
          <w:rFonts w:ascii="Times New Roman" w:cs="Times New Roman" w:eastAsia="Times New Roman" w:hAnsi="Times New Roman"/>
          <w:noProof/>
          <w:sz w:val="24"/>
          <w:szCs w:val="24"/>
          <w:lang w:val="en-US" w:bidi="he-IL"/>
        </w:rPr>
        <w:t xml:space="preserve">Tyler, 1990</w:t>
      </w:r>
      <w:r>
        <w:rPr>
          <w:rFonts w:ascii="David" w:cs="David" w:eastAsia="David" w:hAnsi="David"/>
          <w:sz w:val="24"/>
          <w:szCs w:val="24"/>
          <w:rtl/>
          <w:lang w:val="en-US" w:bidi="he-IL"/>
        </w:rPr>
        <w:t xml:space="preserve">, מצוטט אצל </w:t>
      </w:r>
      <w:r>
        <w:rPr>
          <w:rFonts w:ascii="Times New Roman" w:cs="Times New Roman" w:eastAsia="Times New Roman" w:hAnsi="Times New Roman"/>
          <w:noProof/>
          <w:sz w:val="24"/>
          <w:szCs w:val="24"/>
          <w:lang w:val="en-US" w:bidi="he-IL"/>
        </w:rPr>
        <w:t xml:space="preserve">Sparks &amp; Bottoms, 1995</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ספרקס</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ובוטומס</w:t>
      </w:r>
      <w:r>
        <w:rPr>
          <w:rFonts w:ascii="David" w:cs="David" w:eastAsia="David" w:hAnsi="David"/>
          <w:sz w:val="24"/>
          <w:szCs w:val="24"/>
          <w:rtl/>
          <w:lang w:val="en-US" w:bidi="he-IL"/>
        </w:rPr>
        <w:t xml:space="preserve"> טענו שבתי סוהר סובלים מבעיית לגיטימציה כרונית, אך שאפשר לזהות את התנאים שבהם אסירים מעניקים לסגל ולמשטר מידה של הכרה: סדירות ויעילות במתן השירותים, הוגנות חלוקתית ופרוצדורלית ביחס, ואיכויות אנושיות בשגרת היום. דווקא במקום שבו פערי הכוח קיצוניים, האופן שבו הסמכות מופעלת קובע אם היא תזכה לציות נורמטיבי או רק לציות אינסטרומנטלי מפחד.</w:t>
      </w:r>
    </w:p>
    <w:p>
      <w:pPr>
        <w:bidi/>
        <w:spacing w:after="120" w:line="360"/>
        <w:jc w:val="both"/>
      </w:pPr>
      <w:r>
        <w:rPr>
          <w:rFonts w:ascii="David" w:cs="David" w:eastAsia="David" w:hAnsi="David"/>
          <w:sz w:val="24"/>
          <w:szCs w:val="24"/>
          <w:rtl/>
          <w:lang w:val="en-US" w:bidi="he-IL"/>
        </w:rPr>
        <w:t xml:space="preserve">הממצא האמפירי הרחב ביותר בתחום מגיע מאנגליה </w:t>
      </w:r>
      <w:r>
        <w:rPr>
          <w:rFonts w:ascii="David" w:cs="David" w:eastAsia="David" w:hAnsi="David"/>
          <w:noProof/>
          <w:sz w:val="24"/>
          <w:szCs w:val="24"/>
          <w:rtl/>
          <w:lang w:val="en-US" w:bidi="he-IL"/>
        </w:rPr>
        <w:t xml:space="preserve">ומוויילס</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ברנטון-סמית</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ומקארתי</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2016</w:t>
      </w:r>
      <w:r>
        <w:rPr>
          <w:rFonts w:ascii="David" w:cs="David" w:eastAsia="David" w:hAnsi="David"/>
          <w:sz w:val="24"/>
          <w:szCs w:val="24"/>
          <w:rtl/>
          <w:lang w:val="en-US" w:bidi="he-IL"/>
        </w:rPr>
        <w:t xml:space="preserve">) ניתחו סקר של יותר מ</w:t>
      </w:r>
      <w:r>
        <w:rPr>
          <w:rFonts w:ascii="Times New Roman" w:cs="Times New Roman" w:eastAsia="Times New Roman" w:hAnsi="Times New Roman"/>
          <w:noProof/>
          <w:sz w:val="24"/>
          <w:szCs w:val="24"/>
          <w:lang w:val="en-US" w:bidi="he-IL"/>
        </w:rPr>
        <w:t xml:space="preserve">-3,000</w:t>
      </w:r>
      <w:r>
        <w:rPr>
          <w:rFonts w:ascii="David" w:cs="David" w:eastAsia="David" w:hAnsi="David"/>
          <w:sz w:val="24"/>
          <w:szCs w:val="24"/>
          <w:rtl/>
          <w:lang w:val="en-US" w:bidi="he-IL"/>
        </w:rPr>
        <w:t xml:space="preserve"> אסירים בניתוח רב-רמות ומצאו שההוגנות הפרוצדורלית היא המנבא החזק ביותר של לגיטימיות, ושקיימת שונות בלגיטימיות לפי מאפייני האסיר, לפי תנאי המחיה ובין בתי סוהר. בהולנד חיברו </w:t>
      </w:r>
      <w:r>
        <w:rPr>
          <w:rFonts w:ascii="David" w:cs="David" w:eastAsia="David" w:hAnsi="David"/>
          <w:noProof/>
          <w:sz w:val="24"/>
          <w:szCs w:val="24"/>
          <w:rtl/>
          <w:lang w:val="en-US" w:bidi="he-IL"/>
        </w:rPr>
        <w:t xml:space="preserve">בייארסברגן</w:t>
      </w:r>
      <w:r>
        <w:rPr>
          <w:rFonts w:ascii="David" w:cs="David" w:eastAsia="David" w:hAnsi="David"/>
          <w:sz w:val="24"/>
          <w:szCs w:val="24"/>
          <w:rtl/>
          <w:lang w:val="en-US" w:bidi="he-IL"/>
        </w:rPr>
        <w:t xml:space="preserve"> ואחרים (</w:t>
      </w:r>
      <w:r>
        <w:rPr>
          <w:rFonts w:ascii="Times New Roman" w:cs="Times New Roman" w:eastAsia="Times New Roman" w:hAnsi="Times New Roman"/>
          <w:noProof/>
          <w:sz w:val="24"/>
          <w:szCs w:val="24"/>
          <w:lang w:val="en-US" w:bidi="he-IL"/>
        </w:rPr>
        <w:t xml:space="preserve">2015</w:t>
      </w:r>
      <w:r>
        <w:rPr>
          <w:rFonts w:ascii="David" w:cs="David" w:eastAsia="David" w:hAnsi="David"/>
          <w:sz w:val="24"/>
          <w:szCs w:val="24"/>
          <w:rtl/>
          <w:lang w:val="en-US" w:bidi="he-IL"/>
        </w:rPr>
        <w:t xml:space="preserve">) נתוני </w:t>
      </w:r>
      <w:r>
        <w:rPr>
          <w:rFonts w:ascii="Times New Roman" w:cs="Times New Roman" w:eastAsia="Times New Roman" w:hAnsi="Times New Roman"/>
          <w:noProof/>
          <w:sz w:val="24"/>
          <w:szCs w:val="24"/>
          <w:lang w:val="en-US" w:bidi="he-IL"/>
        </w:rPr>
        <w:t xml:space="preserve">1,610</w:t>
      </w:r>
      <w:r>
        <w:rPr>
          <w:rFonts w:ascii="David" w:cs="David" w:eastAsia="David" w:hAnsi="David"/>
          <w:sz w:val="24"/>
          <w:szCs w:val="24"/>
          <w:rtl/>
          <w:lang w:val="en-US" w:bidi="he-IL"/>
        </w:rPr>
        <w:t xml:space="preserve"> אסירים לנתוני </w:t>
      </w:r>
      <w:r>
        <w:rPr>
          <w:rFonts w:ascii="Times New Roman" w:cs="Times New Roman" w:eastAsia="Times New Roman" w:hAnsi="Times New Roman"/>
          <w:noProof/>
          <w:sz w:val="24"/>
          <w:szCs w:val="24"/>
          <w:lang w:val="en-US" w:bidi="he-IL"/>
        </w:rPr>
        <w:t xml:space="preserve">690</w:t>
      </w:r>
      <w:r>
        <w:rPr>
          <w:rFonts w:ascii="David" w:cs="David" w:eastAsia="David" w:hAnsi="David"/>
          <w:sz w:val="24"/>
          <w:szCs w:val="24"/>
          <w:rtl/>
          <w:lang w:val="en-US" w:bidi="he-IL"/>
        </w:rPr>
        <w:t xml:space="preserve"> אנשי סגל, והראו שמאפייני הסגל ביחידה קשורים לתפיסת הצדק הפרוצדורלי של האסירים מעבר למאפייני האסירים עצמם. בסלובניה, </w:t>
      </w:r>
      <w:r>
        <w:rPr>
          <w:rFonts w:ascii="David" w:cs="David" w:eastAsia="David" w:hAnsi="David"/>
          <w:noProof/>
          <w:sz w:val="24"/>
          <w:szCs w:val="24"/>
          <w:rtl/>
          <w:lang w:val="en-US" w:bidi="he-IL"/>
        </w:rPr>
        <w:t xml:space="preserve">האצין</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ומשקו</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2018</w:t>
      </w:r>
      <w:r>
        <w:rPr>
          <w:rFonts w:ascii="David" w:cs="David" w:eastAsia="David" w:hAnsi="David"/>
          <w:sz w:val="24"/>
          <w:szCs w:val="24"/>
          <w:rtl/>
          <w:lang w:val="en-US" w:bidi="he-IL"/>
        </w:rPr>
        <w:t xml:space="preserve">) ערכו ראיונות מובנים עם </w:t>
      </w:r>
      <w:r>
        <w:rPr>
          <w:rFonts w:ascii="Times New Roman" w:cs="Times New Roman" w:eastAsia="Times New Roman" w:hAnsi="Times New Roman"/>
          <w:noProof/>
          <w:sz w:val="24"/>
          <w:szCs w:val="24"/>
          <w:lang w:val="en-US" w:bidi="he-IL"/>
        </w:rPr>
        <w:t xml:space="preserve">193</w:t>
      </w:r>
      <w:r>
        <w:rPr>
          <w:rFonts w:ascii="David" w:cs="David" w:eastAsia="David" w:hAnsi="David"/>
          <w:sz w:val="24"/>
          <w:szCs w:val="24"/>
          <w:rtl/>
          <w:lang w:val="en-US" w:bidi="he-IL"/>
        </w:rPr>
        <w:t xml:space="preserve"> אסירים ומצאו שיותר ממחצית המרואיינים לא נתנו אמון בסגל, ושחלק ניכר מהציות שתיארו נבע מפחד מסנקציות ולא מהכרה בלגיטימיות.</w:t>
      </w:r>
    </w:p>
    <w:p>
      <w:pPr>
        <w:bidi/>
        <w:spacing w:after="120" w:line="360"/>
        <w:jc w:val="both"/>
      </w:pPr>
      <w:r>
        <w:rPr>
          <w:rFonts w:ascii="David" w:cs="David" w:eastAsia="David" w:hAnsi="David"/>
          <w:sz w:val="24"/>
          <w:szCs w:val="24"/>
          <w:rtl/>
          <w:lang w:val="en-US" w:bidi="he-IL"/>
        </w:rPr>
        <w:t xml:space="preserve">ממצא נוסף חשוב למחקר הנוכחי. </w:t>
      </w:r>
      <w:r>
        <w:rPr>
          <w:rFonts w:ascii="David" w:cs="David" w:eastAsia="David" w:hAnsi="David"/>
          <w:noProof/>
          <w:sz w:val="24"/>
          <w:szCs w:val="24"/>
          <w:rtl/>
          <w:lang w:val="en-US" w:bidi="he-IL"/>
        </w:rPr>
        <w:t xml:space="preserve">פרנקה</w:t>
      </w:r>
      <w:r>
        <w:rPr>
          <w:rFonts w:ascii="David" w:cs="David" w:eastAsia="David" w:hAnsi="David"/>
          <w:sz w:val="24"/>
          <w:szCs w:val="24"/>
          <w:rtl/>
          <w:lang w:val="en-US" w:bidi="he-IL"/>
        </w:rPr>
        <w:t xml:space="preserve"> ואחרים (</w:t>
      </w:r>
      <w:r>
        <w:rPr>
          <w:rFonts w:ascii="Times New Roman" w:cs="Times New Roman" w:eastAsia="Times New Roman" w:hAnsi="Times New Roman"/>
          <w:noProof/>
          <w:sz w:val="24"/>
          <w:szCs w:val="24"/>
          <w:lang w:val="en-US" w:bidi="he-IL"/>
        </w:rPr>
        <w:t xml:space="preserve">2010</w:t>
      </w:r>
      <w:r>
        <w:rPr>
          <w:rFonts w:ascii="David" w:cs="David" w:eastAsia="David" w:hAnsi="David"/>
          <w:sz w:val="24"/>
          <w:szCs w:val="24"/>
          <w:rtl/>
          <w:lang w:val="en-US" w:bidi="he-IL"/>
        </w:rPr>
        <w:t xml:space="preserve">) הראו בניסוי אקראי שתפיסת הלגיטימיות משתנה במהלך המאסר: בית הסוהר הרגיל פגע בה, ומה שהסביר את הפגיעה היה ריבוי חוויות שליליות ודלות סביבתית. מכאן שהזמן שאדם שוהה במוסד אינו ניטרלי, ושהמרכיבים המעצבים את הרווחה הנפשית הם גם המרכיבים המעצבים את הלגיטימיות. סקירת היקף עדכנית סיכמה את הספרות סביב שני צירים, מה מעצב את הלגיטימיות וכיצד היא קשורה לציות, והצביעה על כך שרוב המחקרים נערכו במדינות מערביות מעטות </w:t>
      </w:r>
      <w:r>
        <w:rPr>
          <w:rFonts w:ascii="Times New Roman" w:cs="Times New Roman" w:eastAsia="Times New Roman" w:hAnsi="Times New Roman"/>
          <w:noProof/>
          <w:sz w:val="24"/>
          <w:szCs w:val="24"/>
          <w:lang w:val="en-US" w:bidi="he-IL"/>
        </w:rPr>
        <w:t xml:space="preserve">(Ryan &amp; Bergin, 2022)</w:t>
      </w:r>
      <w:r>
        <w:rPr>
          <w:rFonts w:ascii="David" w:cs="David" w:eastAsia="David" w:hAnsi="David"/>
          <w:sz w:val="24"/>
          <w:szCs w:val="24"/>
          <w:rtl/>
          <w:lang w:val="en-US" w:bidi="he-IL"/>
        </w:rPr>
        <w:t xml:space="preserve">. ביקורת עדכנית על הגישה הפרוצדורלית טוענת שהיא נשענת יותר מדי על יחס הוגן של הסוהרים ופחות מדי על מנגנוני השתתפות של אסירים בקבלת החלטות, שיכולים לקרב את ערכי המוסד לערכי האסירים וליצור ציות נורמטיבי יציב יותר </w:t>
      </w:r>
      <w:r>
        <w:rPr>
          <w:rFonts w:ascii="Times New Roman" w:cs="Times New Roman" w:eastAsia="Times New Roman" w:hAnsi="Times New Roman"/>
          <w:noProof/>
          <w:sz w:val="24"/>
          <w:szCs w:val="24"/>
          <w:lang w:val="en-US" w:bidi="he-IL"/>
        </w:rPr>
        <w:t xml:space="preserve">(Deambrogio, 2025)</w:t>
      </w:r>
      <w:r>
        <w:rPr>
          <w:rFonts w:ascii="David" w:cs="David" w:eastAsia="David" w:hAnsi="David"/>
          <w:sz w:val="24"/>
          <w:szCs w:val="24"/>
          <w:rtl/>
          <w:lang w:val="en-US" w:bidi="he-IL"/>
        </w:rPr>
        <w:t xml:space="preserve">.</w:t>
      </w:r>
    </w:p>
    <w:p>
      <w:pPr>
        <w:bidi/>
        <w:spacing w:after="120" w:line="360"/>
        <w:jc w:val="both"/>
      </w:pPr>
      <w:r>
        <w:rPr>
          <w:rFonts w:ascii="David" w:cs="David" w:eastAsia="David" w:hAnsi="David"/>
          <w:sz w:val="24"/>
          <w:szCs w:val="24"/>
          <w:rtl/>
          <w:lang w:val="en-US" w:bidi="he-IL"/>
        </w:rPr>
        <w:t xml:space="preserve">בישראל, המחקר של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הוא הראשון שבחן לגיטימיות בקרב כלואים פליליים בהיקף רחב. הוא מצא ממוצע לגיטימיות גבוה יחסית (</w:t>
      </w:r>
      <w:r>
        <w:rPr>
          <w:rFonts w:ascii="Times New Roman" w:cs="Times New Roman" w:eastAsia="Times New Roman" w:hAnsi="Times New Roman"/>
          <w:noProof/>
          <w:sz w:val="24"/>
          <w:szCs w:val="24"/>
          <w:lang w:val="en-US" w:bidi="he-IL"/>
        </w:rPr>
        <w:t xml:space="preserve">4.23</w:t>
      </w:r>
      <w:r>
        <w:rPr>
          <w:rFonts w:ascii="David" w:cs="David" w:eastAsia="David" w:hAnsi="David"/>
          <w:sz w:val="24"/>
          <w:szCs w:val="24"/>
          <w:rtl/>
          <w:lang w:val="en-US" w:bidi="he-IL"/>
        </w:rPr>
        <w:t xml:space="preserve"> בסולם של </w:t>
      </w:r>
      <w:r>
        <w:rPr>
          <w:rFonts w:ascii="Times New Roman" w:cs="Times New Roman" w:eastAsia="Times New Roman" w:hAnsi="Times New Roman"/>
          <w:noProof/>
          <w:sz w:val="24"/>
          <w:szCs w:val="24"/>
          <w:lang w:val="en-US" w:bidi="he-IL"/>
        </w:rPr>
        <w:t xml:space="preserve">1</w:t>
      </w:r>
      <w:r>
        <w:rPr>
          <w:rFonts w:ascii="David" w:cs="David" w:eastAsia="David" w:hAnsi="David"/>
          <w:sz w:val="24"/>
          <w:szCs w:val="24"/>
          <w:rtl/>
          <w:lang w:val="en-US" w:bidi="he-IL"/>
        </w:rPr>
        <w:t xml:space="preserve"> עד </w:t>
      </w:r>
      <w:r>
        <w:rPr>
          <w:rFonts w:ascii="Times New Roman" w:cs="Times New Roman" w:eastAsia="Times New Roman" w:hAnsi="Times New Roman"/>
          <w:noProof/>
          <w:sz w:val="24"/>
          <w:szCs w:val="24"/>
          <w:lang w:val="en-US" w:bidi="he-IL"/>
        </w:rPr>
        <w:t xml:space="preserve">5</w:t>
      </w:r>
      <w:r>
        <w:rPr>
          <w:rFonts w:ascii="David" w:cs="David" w:eastAsia="David" w:hAnsi="David"/>
          <w:sz w:val="24"/>
          <w:szCs w:val="24"/>
          <w:rtl/>
          <w:lang w:val="en-US" w:bidi="he-IL"/>
        </w:rPr>
        <w:t xml:space="preserve">), ללא הבדל בין יהודים ללא יהודים ובין גברים לנשים, אך עם לגיטימיות גבוהה יותר בקרב שפוטים לעומת עצורים. הלגיטימיות נמצאה כמשתנה הממתן את הקשר בין תנאי המחיה לשביעות הרצון מפעילויות השיקום: ככל שהלגיטימיות גבוהה יותר, הקשר חזק יותר. המחבר הציע לראות בלגיטימיות כלי ניהולי באגף הפלילי, אך לא בחן את הקשר הישיר בינה לבין הרווחה הנפשית. לאור המחקרים שהוזכרו, שאלת המחקר של העבודה הנוכחית היא באיזו מידה קיים קשר בין רווחה נפשית לבין תפיסת הלגיטימיות של סגל הכליאה בקרב אסירים שפוטים בלבד.</w:t>
      </w:r>
    </w:p>
    <w:p>
      <w:pPr>
        <w:pStyle w:val="Heading2"/>
        <w:keepNext/>
        <w:bidi/>
        <w:spacing w:after="120" w:before="240" w:line="360"/>
        <w:jc w:val="right"/>
      </w:pPr>
      <w:r>
        <w:rPr>
          <w:rFonts w:ascii="David" w:cs="David" w:eastAsia="David" w:hAnsi="David"/>
          <w:b/>
          <w:bCs/>
          <w:sz w:val="28"/>
          <w:szCs w:val="28"/>
          <w:rtl/>
          <w:lang w:val="en-US" w:bidi="he-IL"/>
        </w:rPr>
        <w:t xml:space="preserve">שאלת המחקר</w:t>
      </w:r>
    </w:p>
    <w:p>
      <w:pPr>
        <w:bidi/>
        <w:spacing w:after="120" w:line="360"/>
        <w:jc w:val="both"/>
      </w:pPr>
      <w:r>
        <w:rPr>
          <w:rFonts w:ascii="David" w:cs="David" w:eastAsia="David" w:hAnsi="David"/>
          <w:sz w:val="24"/>
          <w:szCs w:val="24"/>
          <w:rtl/>
          <w:lang w:val="en-US" w:bidi="he-IL"/>
        </w:rPr>
        <w:t xml:space="preserve">שאלת המחקר: באיזו מידה קיים קשר בין רווחה נפשית לבין תפיסת הלגיטימיות של סגל הכליאה בקרב אסירים שפוטים בלבד?</w:t>
      </w:r>
    </w:p>
    <w:p>
      <w:pPr>
        <w:bidi/>
        <w:spacing w:after="120" w:line="360"/>
        <w:jc w:val="both"/>
      </w:pPr>
      <w:r>
        <w:rPr>
          <w:rFonts w:ascii="David" w:cs="David" w:eastAsia="David" w:hAnsi="David"/>
          <w:sz w:val="24"/>
          <w:szCs w:val="24"/>
          <w:rtl/>
          <w:lang w:val="en-US" w:bidi="he-IL"/>
        </w:rPr>
        <w:t xml:space="preserve">משתנה תלוי: תפיסת הלגיטימיות של סגל הכליאה. משתנה בלתי תלוי: רווחה נפשית. אוכלוסיית המחקר מתוארת לפי מגדר, גיל, לאום, מספר מאסרים וותק באגף.</w:t>
      </w:r>
    </w:p>
    <w:p>
      <w:pPr>
        <w:bidi/>
        <w:spacing w:after="120" w:line="360"/>
        <w:jc w:val="both"/>
      </w:pPr>
      <w:r>
        <w:rPr>
          <w:rFonts w:ascii="David" w:cs="David" w:eastAsia="David" w:hAnsi="David"/>
          <w:sz w:val="24"/>
          <w:szCs w:val="24"/>
          <w:rtl/>
          <w:lang w:val="en-US" w:bidi="he-IL"/>
        </w:rPr>
        <w:t xml:space="preserve">השערת המחקר: יימצא קשר חיובי מובהק בין רווחה נפשית לבין תפיסת הלגיטימיות של הסגל, כך שככל שהרווחה הנפשית גבוהה יותר, הלגיטימיות המיוחסת לסגל גבוהה יותר, ולהפך. ההשערה נשענת על הקשר שנמצא בין יחס הסגל למצוקה נפשית </w:t>
      </w:r>
      <w:r>
        <w:rPr>
          <w:rFonts w:ascii="Times New Roman" w:cs="Times New Roman" w:eastAsia="Times New Roman" w:hAnsi="Times New Roman"/>
          <w:noProof/>
          <w:sz w:val="24"/>
          <w:szCs w:val="24"/>
          <w:lang w:val="en-US" w:bidi="he-IL"/>
        </w:rPr>
        <w:t xml:space="preserve">(Sargeant et al., 2026)</w:t>
      </w:r>
      <w:r>
        <w:rPr>
          <w:rFonts w:ascii="David" w:cs="David" w:eastAsia="David" w:hAnsi="David"/>
          <w:sz w:val="24"/>
          <w:szCs w:val="24"/>
          <w:rtl/>
          <w:lang w:val="en-US" w:bidi="he-IL"/>
        </w:rPr>
        <w:t xml:space="preserve"> ועל הקשר בין דלות סביבתית לירידה בלגיטימיות </w:t>
      </w:r>
      <w:r>
        <w:rPr>
          <w:rFonts w:ascii="Times New Roman" w:cs="Times New Roman" w:eastAsia="Times New Roman" w:hAnsi="Times New Roman"/>
          <w:noProof/>
          <w:sz w:val="24"/>
          <w:szCs w:val="24"/>
          <w:lang w:val="en-US" w:bidi="he-IL"/>
        </w:rPr>
        <w:t xml:space="preserve">(Franke et al., 2010)</w:t>
      </w:r>
      <w:r>
        <w:rPr>
          <w:rFonts w:ascii="David" w:cs="David" w:eastAsia="David" w:hAnsi="David"/>
          <w:sz w:val="24"/>
          <w:szCs w:val="24"/>
          <w:rtl/>
          <w:lang w:val="en-US" w:bidi="he-IL"/>
        </w:rPr>
        <w:t xml:space="preserve">.</w:t>
      </w:r>
    </w:p>
    <w:p>
      <w:pPr>
        <w:pStyle w:val="Heading1"/>
        <w:pageBreakBefore/>
        <w:bidi/>
        <w:spacing w:after="240" w:before="0" w:line="360"/>
        <w:jc w:val="right"/>
      </w:pPr>
      <w:r>
        <w:rPr>
          <w:rFonts w:ascii="David" w:cs="David" w:eastAsia="David" w:hAnsi="David"/>
          <w:b/>
          <w:bCs/>
          <w:sz w:val="32"/>
          <w:szCs w:val="32"/>
          <w:rtl/>
          <w:lang w:val="en-US" w:bidi="he-IL"/>
        </w:rPr>
        <w:t xml:space="preserve">שיטת המחקר</w:t>
      </w:r>
    </w:p>
    <w:p>
      <w:pPr>
        <w:bidi/>
        <w:spacing w:after="120" w:line="360"/>
        <w:jc w:val="both"/>
      </w:pPr>
      <w:r>
        <w:rPr>
          <w:rFonts w:ascii="David" w:cs="David" w:eastAsia="David" w:hAnsi="David"/>
          <w:sz w:val="24"/>
          <w:szCs w:val="24"/>
          <w:rtl/>
          <w:lang w:val="en-US" w:bidi="he-IL"/>
        </w:rPr>
        <w:t xml:space="preserve">המחקר הוא מחקר כמותי מתאמי במערך חתך, המבוסס על ניתוח משני של נתונים סינתטיים. המשתנה התלוי הוא תפיסת הלגיטימיות של סגל הכליאה, והמשתנה הבלתי תלוי הוא הרווחה הנפשית של האסיר. שני המשתנים הם ציוני סולם רציפים בטווח של </w:t>
      </w:r>
      <w:r>
        <w:rPr>
          <w:rFonts w:ascii="Times New Roman" w:cs="Times New Roman" w:eastAsia="Times New Roman" w:hAnsi="Times New Roman"/>
          <w:noProof/>
          <w:sz w:val="24"/>
          <w:szCs w:val="24"/>
          <w:lang w:val="en-US" w:bidi="he-IL"/>
        </w:rPr>
        <w:t xml:space="preserve">1</w:t>
      </w:r>
      <w:r>
        <w:rPr>
          <w:rFonts w:ascii="David" w:cs="David" w:eastAsia="David" w:hAnsi="David"/>
          <w:sz w:val="24"/>
          <w:szCs w:val="24"/>
          <w:rtl/>
          <w:lang w:val="en-US" w:bidi="he-IL"/>
        </w:rPr>
        <w:t xml:space="preserve"> עד </w:t>
      </w:r>
      <w:r>
        <w:rPr>
          <w:rFonts w:ascii="Times New Roman" w:cs="Times New Roman" w:eastAsia="Times New Roman" w:hAnsi="Times New Roman"/>
          <w:noProof/>
          <w:sz w:val="24"/>
          <w:szCs w:val="24"/>
          <w:lang w:val="en-US" w:bidi="he-IL"/>
        </w:rPr>
        <w:t xml:space="preserve">5,</w:t>
      </w:r>
      <w:r>
        <w:rPr>
          <w:rFonts w:ascii="David" w:cs="David" w:eastAsia="David" w:hAnsi="David"/>
          <w:sz w:val="24"/>
          <w:szCs w:val="24"/>
          <w:rtl/>
          <w:lang w:val="en-US" w:bidi="he-IL"/>
        </w:rPr>
        <w:t xml:space="preserve"> המחושבים כממוצע פריטי דיווח עצמי, ולצדם משתני רקע המשמשים לתיאור האוכלוסייה. נתונים סינתטיים נוצרים על ידי מודל סטטיסטי שלמד את ההתפלגויות, את דפוסי אי-ההשבה, את מהימנויות הסולמות ואת הקשרים בין המשתנים בקובץ המקורי, ומייצר משיבים חדשים שאף אחד מהם אינו אסיר ממשי. השיטה נדרשת משום שסקרי אסירים מכילים מידע רגיש שאינו ניתן למסירה לחוקרים חיצוניים. ניתוח של קובץ כזה צפוי להתנהג כמו ניתוח של הסקר הממשי, אך אומדנים מדויקים וערכי </w:t>
      </w:r>
      <w:r>
        <w:rPr>
          <w:rFonts w:ascii="Times New Roman" w:cs="Times New Roman" w:eastAsia="Times New Roman" w:hAnsi="Times New Roman"/>
          <w:noProof/>
          <w:sz w:val="24"/>
          <w:szCs w:val="24"/>
          <w:lang w:val="en-US" w:bidi="he-IL"/>
        </w:rPr>
        <w:t xml:space="preserve">p</w:t>
      </w:r>
      <w:r>
        <w:rPr>
          <w:rFonts w:ascii="David" w:cs="David" w:eastAsia="David" w:hAnsi="David"/>
          <w:sz w:val="24"/>
          <w:szCs w:val="24"/>
          <w:rtl/>
          <w:lang w:val="en-US" w:bidi="he-IL"/>
        </w:rPr>
        <w:t xml:space="preserve"> מושפעים מרעש הסינתזה, ולכן כל תוצאה בעבודה זו היא תכונה של הקובץ הסינתטי ולא ממצא על אסירים ממשיים (י'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חומרי הקורס, יולי </w:t>
      </w:r>
      <w:r>
        <w:rPr>
          <w:rFonts w:ascii="Times New Roman" w:cs="Times New Roman" w:eastAsia="Times New Roman" w:hAnsi="Times New Roman"/>
          <w:noProof/>
          <w:sz w:val="24"/>
          <w:szCs w:val="24"/>
          <w:lang w:val="en-US" w:bidi="he-IL"/>
        </w:rPr>
        <w:t xml:space="preserve">2026</w:t>
      </w:r>
      <w:r>
        <w:rPr>
          <w:rFonts w:ascii="David" w:cs="David" w:eastAsia="David" w:hAnsi="David"/>
          <w:sz w:val="24"/>
          <w:szCs w:val="24"/>
          <w:rtl/>
          <w:lang w:val="en-US" w:bidi="he-IL"/>
        </w:rPr>
        <w:t xml:space="preserve">). הקובץ המקורי הוא סקר תנאי המחיה שנערך באגפים הפליליים של שירות בתי הסוהר בין </w:t>
      </w:r>
      <w:r>
        <w:rPr>
          <w:rFonts w:ascii="Times New Roman" w:cs="Times New Roman" w:eastAsia="Times New Roman" w:hAnsi="Times New Roman"/>
          <w:noProof/>
          <w:sz w:val="24"/>
          <w:szCs w:val="24"/>
          <w:lang w:val="en-US" w:bidi="he-IL"/>
        </w:rPr>
        <w:t xml:space="preserve">17</w:t>
      </w:r>
      <w:r>
        <w:rPr>
          <w:rFonts w:ascii="David" w:cs="David" w:eastAsia="David" w:hAnsi="David"/>
          <w:sz w:val="24"/>
          <w:szCs w:val="24"/>
          <w:rtl/>
          <w:lang w:val="en-US" w:bidi="he-IL"/>
        </w:rPr>
        <w:t xml:space="preserve"> באוקטובר ל</w:t>
      </w:r>
      <w:r>
        <w:rPr>
          <w:rFonts w:ascii="Times New Roman" w:cs="Times New Roman" w:eastAsia="Times New Roman" w:hAnsi="Times New Roman"/>
          <w:noProof/>
          <w:sz w:val="24"/>
          <w:szCs w:val="24"/>
          <w:lang w:val="en-US" w:bidi="he-IL"/>
        </w:rPr>
        <w:t xml:space="preserve">-24</w:t>
      </w:r>
      <w:r>
        <w:rPr>
          <w:rFonts w:ascii="David" w:cs="David" w:eastAsia="David" w:hAnsi="David"/>
          <w:sz w:val="24"/>
          <w:szCs w:val="24"/>
          <w:rtl/>
          <w:lang w:val="en-US" w:bidi="he-IL"/>
        </w:rPr>
        <w:t xml:space="preserve"> בנובמבר </w:t>
      </w:r>
      <w:r>
        <w:rPr>
          <w:rFonts w:ascii="Times New Roman" w:cs="Times New Roman" w:eastAsia="Times New Roman" w:hAnsi="Times New Roman"/>
          <w:noProof/>
          <w:sz w:val="24"/>
          <w:szCs w:val="24"/>
          <w:lang w:val="en-US" w:bidi="he-IL"/>
        </w:rPr>
        <w:t xml:space="preserve">2021</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w:t>
      </w:r>
    </w:p>
    <w:p>
      <w:pPr>
        <w:pStyle w:val="Heading2"/>
        <w:keepNext/>
        <w:bidi/>
        <w:spacing w:after="120" w:before="240" w:line="360"/>
        <w:jc w:val="right"/>
      </w:pPr>
      <w:r>
        <w:rPr>
          <w:rFonts w:ascii="David" w:cs="David" w:eastAsia="David" w:hAnsi="David"/>
          <w:b/>
          <w:bCs/>
          <w:sz w:val="28"/>
          <w:szCs w:val="28"/>
          <w:rtl/>
          <w:lang w:val="en-US" w:bidi="he-IL"/>
        </w:rPr>
        <w:t xml:space="preserve">אוכלוסיית המחקר</w:t>
      </w:r>
    </w:p>
    <w:p>
      <w:pPr>
        <w:bidi/>
        <w:spacing w:after="120" w:line="360"/>
        <w:jc w:val="both"/>
      </w:pPr>
      <w:r>
        <w:rPr>
          <w:rFonts w:ascii="David" w:cs="David" w:eastAsia="David" w:hAnsi="David"/>
          <w:sz w:val="24"/>
          <w:szCs w:val="24"/>
          <w:rtl/>
          <w:lang w:val="en-US" w:bidi="he-IL"/>
        </w:rPr>
        <w:t xml:space="preserve">בסקר המקורי השתתפו </w:t>
      </w:r>
      <w:r>
        <w:rPr>
          <w:rFonts w:ascii="Times New Roman" w:cs="Times New Roman" w:eastAsia="Times New Roman" w:hAnsi="Times New Roman"/>
          <w:noProof/>
          <w:sz w:val="24"/>
          <w:szCs w:val="24"/>
          <w:lang w:val="en-US" w:bidi="he-IL"/>
        </w:rPr>
        <w:t xml:space="preserve">3,790</w:t>
      </w:r>
      <w:r>
        <w:rPr>
          <w:rFonts w:ascii="David" w:cs="David" w:eastAsia="David" w:hAnsi="David"/>
          <w:sz w:val="24"/>
          <w:szCs w:val="24"/>
          <w:rtl/>
          <w:lang w:val="en-US" w:bidi="he-IL"/>
        </w:rPr>
        <w:t xml:space="preserve"> כלואים פליליים בגירים, </w:t>
      </w:r>
      <w:r>
        <w:rPr>
          <w:rFonts w:ascii="Times New Roman" w:cs="Times New Roman" w:eastAsia="Times New Roman" w:hAnsi="Times New Roman"/>
          <w:noProof/>
          <w:sz w:val="24"/>
          <w:szCs w:val="24"/>
          <w:lang w:val="en-US" w:bidi="he-IL"/>
        </w:rPr>
        <w:t xml:space="preserve">2,363</w:t>
      </w:r>
      <w:r>
        <w:rPr>
          <w:rFonts w:ascii="David" w:cs="David" w:eastAsia="David" w:hAnsi="David"/>
          <w:sz w:val="24"/>
          <w:szCs w:val="24"/>
          <w:rtl/>
          <w:lang w:val="en-US" w:bidi="he-IL"/>
        </w:rPr>
        <w:t xml:space="preserve"> שפוטים ו</w:t>
      </w:r>
      <w:r>
        <w:rPr>
          <w:rFonts w:ascii="Times New Roman" w:cs="Times New Roman" w:eastAsia="Times New Roman" w:hAnsi="Times New Roman"/>
          <w:noProof/>
          <w:sz w:val="24"/>
          <w:szCs w:val="24"/>
          <w:lang w:val="en-US" w:bidi="he-IL"/>
        </w:rPr>
        <w:t xml:space="preserve">-1,427</w:t>
      </w:r>
      <w:r>
        <w:rPr>
          <w:rFonts w:ascii="David" w:cs="David" w:eastAsia="David" w:hAnsi="David"/>
          <w:sz w:val="24"/>
          <w:szCs w:val="24"/>
          <w:rtl/>
          <w:lang w:val="en-US" w:bidi="he-IL"/>
        </w:rPr>
        <w:t xml:space="preserve"> עצורים, שהם </w:t>
      </w:r>
      <w:r>
        <w:rPr>
          <w:rFonts w:ascii="Times New Roman" w:cs="Times New Roman" w:eastAsia="Times New Roman" w:hAnsi="Times New Roman"/>
          <w:noProof/>
          <w:sz w:val="24"/>
          <w:szCs w:val="24"/>
          <w:lang w:val="en-US" w:bidi="he-IL"/>
        </w:rPr>
        <w:t xml:space="preserve">41</w:t>
      </w:r>
      <w:r>
        <w:rPr>
          <w:rFonts w:ascii="David" w:cs="David" w:eastAsia="David" w:hAnsi="David"/>
          <w:sz w:val="24"/>
          <w:szCs w:val="24"/>
          <w:rtl/>
          <w:lang w:val="en-US" w:bidi="he-IL"/>
        </w:rPr>
        <w:t xml:space="preserve"> אחוזים מכל הכלואים שהיו במצבת האסירים הפעילה באותה עת. השאלונים הועברו על ידי </w:t>
      </w:r>
      <w:r>
        <w:rPr>
          <w:rFonts w:ascii="Times New Roman" w:cs="Times New Roman" w:eastAsia="Times New Roman" w:hAnsi="Times New Roman"/>
          <w:noProof/>
          <w:sz w:val="24"/>
          <w:szCs w:val="24"/>
          <w:lang w:val="en-US" w:bidi="he-IL"/>
        </w:rPr>
        <w:t xml:space="preserve">196</w:t>
      </w:r>
      <w:r>
        <w:rPr>
          <w:rFonts w:ascii="David" w:cs="David" w:eastAsia="David" w:hAnsi="David"/>
          <w:sz w:val="24"/>
          <w:szCs w:val="24"/>
          <w:rtl/>
          <w:lang w:val="en-US" w:bidi="he-IL"/>
        </w:rPr>
        <w:t xml:space="preserve"> מנהלי אגפים וקציני חינוך, ההשתתפות הייתה אנונימית ורצונית, והמחקר אושר על ידי ועדת האתיקה של שירות בתי הסוהר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הקובץ הסינתטי כולל </w:t>
      </w:r>
      <w:r>
        <w:rPr>
          <w:rFonts w:ascii="Times New Roman" w:cs="Times New Roman" w:eastAsia="Times New Roman" w:hAnsi="Times New Roman"/>
          <w:noProof/>
          <w:sz w:val="24"/>
          <w:szCs w:val="24"/>
          <w:lang w:val="en-US" w:bidi="he-IL"/>
        </w:rPr>
        <w:t xml:space="preserve">3,790</w:t>
      </w:r>
      <w:r>
        <w:rPr>
          <w:rFonts w:ascii="David" w:cs="David" w:eastAsia="David" w:hAnsi="David"/>
          <w:sz w:val="24"/>
          <w:szCs w:val="24"/>
          <w:rtl/>
          <w:lang w:val="en-US" w:bidi="he-IL"/>
        </w:rPr>
        <w:t xml:space="preserve"> שורות, מהן </w:t>
      </w:r>
      <w:r>
        <w:rPr>
          <w:rFonts w:ascii="Times New Roman" w:cs="Times New Roman" w:eastAsia="Times New Roman" w:hAnsi="Times New Roman"/>
          <w:noProof/>
          <w:sz w:val="24"/>
          <w:szCs w:val="24"/>
          <w:lang w:val="en-US" w:bidi="he-IL"/>
        </w:rPr>
        <w:t xml:space="preserve">2,379</w:t>
      </w:r>
      <w:r>
        <w:rPr>
          <w:rFonts w:ascii="David" w:cs="David" w:eastAsia="David" w:hAnsi="David"/>
          <w:sz w:val="24"/>
          <w:szCs w:val="24"/>
          <w:rtl/>
          <w:lang w:val="en-US" w:bidi="he-IL"/>
        </w:rPr>
        <w:t xml:space="preserve"> שפוטים ו</w:t>
      </w:r>
      <w:r>
        <w:rPr>
          <w:rFonts w:ascii="Times New Roman" w:cs="Times New Roman" w:eastAsia="Times New Roman" w:hAnsi="Times New Roman"/>
          <w:noProof/>
          <w:sz w:val="24"/>
          <w:szCs w:val="24"/>
          <w:lang w:val="en-US" w:bidi="he-IL"/>
        </w:rPr>
        <w:t xml:space="preserve">-1,411</w:t>
      </w:r>
      <w:r>
        <w:rPr>
          <w:rFonts w:ascii="David" w:cs="David" w:eastAsia="David" w:hAnsi="David"/>
          <w:sz w:val="24"/>
          <w:szCs w:val="24"/>
          <w:rtl/>
          <w:lang w:val="en-US" w:bidi="he-IL"/>
        </w:rPr>
        <w:t xml:space="preserve"> עצורים; הפער הקטן מהמספרים שפורסמו נובע מתהליך הסינתזה (י'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חומרי הקורס, יולי </w:t>
      </w:r>
      <w:r>
        <w:rPr>
          <w:rFonts w:ascii="Times New Roman" w:cs="Times New Roman" w:eastAsia="Times New Roman" w:hAnsi="Times New Roman"/>
          <w:noProof/>
          <w:sz w:val="24"/>
          <w:szCs w:val="24"/>
          <w:lang w:val="en-US" w:bidi="he-IL"/>
        </w:rPr>
        <w:t xml:space="preserve">2026</w:t>
      </w:r>
      <w:r>
        <w:rPr>
          <w:rFonts w:ascii="David" w:cs="David" w:eastAsia="David" w:hAnsi="David"/>
          <w:sz w:val="24"/>
          <w:szCs w:val="24"/>
          <w:rtl/>
          <w:lang w:val="en-US" w:bidi="he-IL"/>
        </w:rPr>
        <w:t xml:space="preserve">).</w:t>
      </w:r>
    </w:p>
    <w:p>
      <w:pPr>
        <w:bidi/>
        <w:spacing w:after="120" w:line="360"/>
        <w:jc w:val="both"/>
      </w:pPr>
      <w:r>
        <w:rPr>
          <w:rFonts w:ascii="David" w:cs="David" w:eastAsia="David" w:hAnsi="David"/>
          <w:sz w:val="24"/>
          <w:szCs w:val="24"/>
          <w:rtl/>
          <w:lang w:val="en-US" w:bidi="he-IL"/>
        </w:rPr>
        <w:t xml:space="preserve">המחקר הנוכחי כולל את השפוטים בלבד </w:t>
      </w:r>
      <w:r>
        <w:rPr>
          <w:rFonts w:ascii="Times New Roman" w:cs="Times New Roman" w:eastAsia="Times New Roman" w:hAnsi="Times New Roman"/>
          <w:noProof/>
          <w:sz w:val="24"/>
          <w:szCs w:val="24"/>
          <w:lang w:val="en-US" w:bidi="he-IL"/>
        </w:rPr>
        <w:t xml:space="preserve">(N = 2,379)</w:t>
      </w:r>
      <w:r>
        <w:rPr>
          <w:rFonts w:ascii="David" w:cs="David" w:eastAsia="David" w:hAnsi="David"/>
          <w:sz w:val="24"/>
          <w:szCs w:val="24"/>
          <w:rtl/>
          <w:lang w:val="en-US" w:bidi="he-IL"/>
        </w:rPr>
        <w:t xml:space="preserve">. רובם המכריע גברים (</w:t>
      </w:r>
      <w:r>
        <w:rPr>
          <w:rFonts w:ascii="Times New Roman" w:cs="Times New Roman" w:eastAsia="Times New Roman" w:hAnsi="Times New Roman"/>
          <w:noProof/>
          <w:sz w:val="24"/>
          <w:szCs w:val="24"/>
          <w:lang w:val="en-US" w:bidi="he-IL"/>
        </w:rPr>
        <w:t xml:space="preserve">2,302,</w:t>
      </w:r>
      <w:r>
        <w:rPr>
          <w:rFonts w:ascii="Times New Roman" w:cs="Times New Roman" w:eastAsia="Times New Roman" w:hAnsi="Times New Roman"/>
          <w:noProof/>
          <w:sz w:val="24"/>
          <w:szCs w:val="24"/>
          <w:lang w:val="en-US" w:bidi="he-IL"/>
        </w:rPr>
        <w:t xml:space="preserve"> </w:t>
      </w:r>
      <w:r>
        <w:rPr>
          <w:rFonts w:ascii="Times New Roman" w:cs="Times New Roman" w:eastAsia="Times New Roman" w:hAnsi="Times New Roman"/>
          <w:noProof/>
          <w:sz w:val="24"/>
          <w:szCs w:val="24"/>
          <w:lang w:val="en-US" w:bidi="he-IL"/>
        </w:rPr>
        <w:t xml:space="preserve">96.8</w:t>
      </w:r>
      <w:r>
        <w:rPr>
          <w:rFonts w:ascii="David" w:cs="David" w:eastAsia="David" w:hAnsi="David"/>
          <w:sz w:val="24"/>
          <w:szCs w:val="24"/>
          <w:rtl/>
          <w:lang w:val="en-US" w:bidi="he-IL"/>
        </w:rPr>
        <w:t xml:space="preserve"> אחוזים) ומיעוטם נשים (</w:t>
      </w:r>
      <w:r>
        <w:rPr>
          <w:rFonts w:ascii="Times New Roman" w:cs="Times New Roman" w:eastAsia="Times New Roman" w:hAnsi="Times New Roman"/>
          <w:noProof/>
          <w:sz w:val="24"/>
          <w:szCs w:val="24"/>
          <w:lang w:val="en-US" w:bidi="he-IL"/>
        </w:rPr>
        <w:t xml:space="preserve">77,</w:t>
      </w:r>
      <w:r>
        <w:rPr>
          <w:rFonts w:ascii="Times New Roman" w:cs="Times New Roman" w:eastAsia="Times New Roman" w:hAnsi="Times New Roman"/>
          <w:noProof/>
          <w:sz w:val="24"/>
          <w:szCs w:val="24"/>
          <w:lang w:val="en-US" w:bidi="he-IL"/>
        </w:rPr>
        <w:t xml:space="preserve"> </w:t>
      </w:r>
      <w:r>
        <w:rPr>
          <w:rFonts w:ascii="Times New Roman" w:cs="Times New Roman" w:eastAsia="Times New Roman" w:hAnsi="Times New Roman"/>
          <w:noProof/>
          <w:sz w:val="24"/>
          <w:szCs w:val="24"/>
          <w:lang w:val="en-US" w:bidi="he-IL"/>
        </w:rPr>
        <w:t xml:space="preserve">3.2</w:t>
      </w:r>
      <w:r>
        <w:rPr>
          <w:rFonts w:ascii="David" w:cs="David" w:eastAsia="David" w:hAnsi="David"/>
          <w:sz w:val="24"/>
          <w:szCs w:val="24"/>
          <w:rtl/>
          <w:lang w:val="en-US" w:bidi="he-IL"/>
        </w:rPr>
        <w:t xml:space="preserve"> אחוזים). הגיל הממוצע </w:t>
      </w:r>
      <w:r>
        <w:rPr>
          <w:rFonts w:ascii="Times New Roman" w:cs="Times New Roman" w:eastAsia="Times New Roman" w:hAnsi="Times New Roman"/>
          <w:noProof/>
          <w:sz w:val="24"/>
          <w:szCs w:val="24"/>
          <w:lang w:val="en-US" w:bidi="he-IL"/>
        </w:rPr>
        <w:t xml:space="preserve">37.9</w:t>
      </w:r>
      <w:r>
        <w:rPr>
          <w:rFonts w:ascii="David" w:cs="David" w:eastAsia="David" w:hAnsi="David"/>
          <w:sz w:val="24"/>
          <w:szCs w:val="24"/>
          <w:rtl/>
          <w:lang w:val="en-US" w:bidi="he-IL"/>
        </w:rPr>
        <w:t xml:space="preserve"> שנים (סטיית תקן </w:t>
      </w:r>
      <w:r>
        <w:rPr>
          <w:rFonts w:ascii="Times New Roman" w:cs="Times New Roman" w:eastAsia="Times New Roman" w:hAnsi="Times New Roman"/>
          <w:noProof/>
          <w:sz w:val="24"/>
          <w:szCs w:val="24"/>
          <w:lang w:val="en-US" w:bidi="he-IL"/>
        </w:rPr>
        <w:t xml:space="preserve">12.0</w:t>
      </w:r>
      <w:r>
        <w:rPr>
          <w:rFonts w:ascii="David" w:cs="David" w:eastAsia="David" w:hAnsi="David"/>
          <w:sz w:val="24"/>
          <w:szCs w:val="24"/>
          <w:rtl/>
          <w:lang w:val="en-US" w:bidi="he-IL"/>
        </w:rPr>
        <w:t xml:space="preserve">), בטווח של </w:t>
      </w:r>
      <w:r>
        <w:rPr>
          <w:rFonts w:ascii="Times New Roman" w:cs="Times New Roman" w:eastAsia="Times New Roman" w:hAnsi="Times New Roman"/>
          <w:noProof/>
          <w:sz w:val="24"/>
          <w:szCs w:val="24"/>
          <w:lang w:val="en-US" w:bidi="he-IL"/>
        </w:rPr>
        <w:t xml:space="preserve">18</w:t>
      </w:r>
      <w:r>
        <w:rPr>
          <w:rFonts w:ascii="David" w:cs="David" w:eastAsia="David" w:hAnsi="David"/>
          <w:sz w:val="24"/>
          <w:szCs w:val="24"/>
          <w:rtl/>
          <w:lang w:val="en-US" w:bidi="he-IL"/>
        </w:rPr>
        <w:t xml:space="preserve"> עד </w:t>
      </w:r>
      <w:r>
        <w:rPr>
          <w:rFonts w:ascii="Times New Roman" w:cs="Times New Roman" w:eastAsia="Times New Roman" w:hAnsi="Times New Roman"/>
          <w:noProof/>
          <w:sz w:val="24"/>
          <w:szCs w:val="24"/>
          <w:lang w:val="en-US" w:bidi="he-IL"/>
        </w:rPr>
        <w:t xml:space="preserve">82.</w:t>
      </w:r>
      <w:r>
        <w:rPr>
          <w:rFonts w:ascii="David" w:cs="David" w:eastAsia="David" w:hAnsi="David"/>
          <w:sz w:val="24"/>
          <w:szCs w:val="24"/>
          <w:rtl/>
          <w:lang w:val="en-US" w:bidi="he-IL"/>
        </w:rPr>
        <w:t xml:space="preserve"> מעט יותר ממחצית (</w:t>
      </w:r>
      <w:r>
        <w:rPr>
          <w:rFonts w:ascii="Times New Roman" w:cs="Times New Roman" w:eastAsia="Times New Roman" w:hAnsi="Times New Roman"/>
          <w:noProof/>
          <w:sz w:val="24"/>
          <w:szCs w:val="24"/>
          <w:lang w:val="en-US" w:bidi="he-IL"/>
        </w:rPr>
        <w:t xml:space="preserve">1,243,</w:t>
      </w:r>
      <w:r>
        <w:rPr>
          <w:rFonts w:ascii="Times New Roman" w:cs="Times New Roman" w:eastAsia="Times New Roman" w:hAnsi="Times New Roman"/>
          <w:noProof/>
          <w:sz w:val="24"/>
          <w:szCs w:val="24"/>
          <w:lang w:val="en-US" w:bidi="he-IL"/>
        </w:rPr>
        <w:t xml:space="preserve"> </w:t>
      </w:r>
      <w:r>
        <w:rPr>
          <w:rFonts w:ascii="Times New Roman" w:cs="Times New Roman" w:eastAsia="Times New Roman" w:hAnsi="Times New Roman"/>
          <w:noProof/>
          <w:sz w:val="24"/>
          <w:szCs w:val="24"/>
          <w:lang w:val="en-US" w:bidi="he-IL"/>
        </w:rPr>
        <w:t xml:space="preserve">52.2</w:t>
      </w:r>
      <w:r>
        <w:rPr>
          <w:rFonts w:ascii="David" w:cs="David" w:eastAsia="David" w:hAnsi="David"/>
          <w:sz w:val="24"/>
          <w:szCs w:val="24"/>
          <w:rtl/>
          <w:lang w:val="en-US" w:bidi="he-IL"/>
        </w:rPr>
        <w:t xml:space="preserve"> אחוזים) לא יהודים ו</w:t>
      </w:r>
      <w:r>
        <w:rPr>
          <w:rFonts w:ascii="Times New Roman" w:cs="Times New Roman" w:eastAsia="Times New Roman" w:hAnsi="Times New Roman"/>
          <w:noProof/>
          <w:sz w:val="24"/>
          <w:szCs w:val="24"/>
          <w:lang w:val="en-US" w:bidi="he-IL"/>
        </w:rPr>
        <w:t xml:space="preserve">-1,136</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47.8</w:t>
      </w:r>
      <w:r>
        <w:rPr>
          <w:rFonts w:ascii="David" w:cs="David" w:eastAsia="David" w:hAnsi="David"/>
          <w:sz w:val="24"/>
          <w:szCs w:val="24"/>
          <w:rtl/>
          <w:lang w:val="en-US" w:bidi="he-IL"/>
        </w:rPr>
        <w:t xml:space="preserve"> אחוזים) יהודים. עבור </w:t>
      </w:r>
      <w:r>
        <w:rPr>
          <w:rFonts w:ascii="Times New Roman" w:cs="Times New Roman" w:eastAsia="Times New Roman" w:hAnsi="Times New Roman"/>
          <w:noProof/>
          <w:sz w:val="24"/>
          <w:szCs w:val="24"/>
          <w:lang w:val="en-US" w:bidi="he-IL"/>
        </w:rPr>
        <w:t xml:space="preserve">1,162</w:t>
      </w:r>
      <w:r>
        <w:rPr>
          <w:rFonts w:ascii="David" w:cs="David" w:eastAsia="David" w:hAnsi="David"/>
          <w:sz w:val="24"/>
          <w:szCs w:val="24"/>
          <w:rtl/>
          <w:lang w:val="en-US" w:bidi="he-IL"/>
        </w:rPr>
        <w:t xml:space="preserve"> מהשפוטים (</w:t>
      </w:r>
      <w:r>
        <w:rPr>
          <w:rFonts w:ascii="Times New Roman" w:cs="Times New Roman" w:eastAsia="Times New Roman" w:hAnsi="Times New Roman"/>
          <w:noProof/>
          <w:sz w:val="24"/>
          <w:szCs w:val="24"/>
          <w:lang w:val="en-US" w:bidi="he-IL"/>
        </w:rPr>
        <w:t xml:space="preserve">48.8</w:t>
      </w:r>
      <w:r>
        <w:rPr>
          <w:rFonts w:ascii="David" w:cs="David" w:eastAsia="David" w:hAnsi="David"/>
          <w:sz w:val="24"/>
          <w:szCs w:val="24"/>
          <w:rtl/>
          <w:lang w:val="en-US" w:bidi="he-IL"/>
        </w:rPr>
        <w:t xml:space="preserve"> אחוזים) זהו המאסר הראשון, </w:t>
      </w:r>
      <w:r>
        <w:rPr>
          <w:rFonts w:ascii="Times New Roman" w:cs="Times New Roman" w:eastAsia="Times New Roman" w:hAnsi="Times New Roman"/>
          <w:noProof/>
          <w:sz w:val="24"/>
          <w:szCs w:val="24"/>
          <w:lang w:val="en-US" w:bidi="he-IL"/>
        </w:rPr>
        <w:t xml:space="preserve">528</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22.2</w:t>
      </w:r>
      <w:r>
        <w:rPr>
          <w:rFonts w:ascii="David" w:cs="David" w:eastAsia="David" w:hAnsi="David"/>
          <w:sz w:val="24"/>
          <w:szCs w:val="24"/>
          <w:rtl/>
          <w:lang w:val="en-US" w:bidi="he-IL"/>
        </w:rPr>
        <w:t xml:space="preserve"> אחוזים) במאסרם השני ו</w:t>
      </w:r>
      <w:r>
        <w:rPr>
          <w:rFonts w:ascii="Times New Roman" w:cs="Times New Roman" w:eastAsia="Times New Roman" w:hAnsi="Times New Roman"/>
          <w:noProof/>
          <w:sz w:val="24"/>
          <w:szCs w:val="24"/>
          <w:lang w:val="en-US" w:bidi="he-IL"/>
        </w:rPr>
        <w:t xml:space="preserve">-689</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29.0</w:t>
      </w:r>
      <w:r>
        <w:rPr>
          <w:rFonts w:ascii="David" w:cs="David" w:eastAsia="David" w:hAnsi="David"/>
          <w:sz w:val="24"/>
          <w:szCs w:val="24"/>
          <w:rtl/>
          <w:lang w:val="en-US" w:bidi="he-IL"/>
        </w:rPr>
        <w:t xml:space="preserve"> אחוזים) במאסר שלישי ומעלה. רוב השפוטים (</w:t>
      </w:r>
      <w:r>
        <w:rPr>
          <w:rFonts w:ascii="Times New Roman" w:cs="Times New Roman" w:eastAsia="Times New Roman" w:hAnsi="Times New Roman"/>
          <w:noProof/>
          <w:sz w:val="24"/>
          <w:szCs w:val="24"/>
          <w:lang w:val="en-US" w:bidi="he-IL"/>
        </w:rPr>
        <w:t xml:space="preserve">1,624,</w:t>
      </w:r>
      <w:r>
        <w:rPr>
          <w:rFonts w:ascii="Times New Roman" w:cs="Times New Roman" w:eastAsia="Times New Roman" w:hAnsi="Times New Roman"/>
          <w:noProof/>
          <w:sz w:val="24"/>
          <w:szCs w:val="24"/>
          <w:lang w:val="en-US" w:bidi="he-IL"/>
        </w:rPr>
        <w:t xml:space="preserve"> </w:t>
      </w:r>
      <w:r>
        <w:rPr>
          <w:rFonts w:ascii="Times New Roman" w:cs="Times New Roman" w:eastAsia="Times New Roman" w:hAnsi="Times New Roman"/>
          <w:noProof/>
          <w:sz w:val="24"/>
          <w:szCs w:val="24"/>
          <w:lang w:val="en-US" w:bidi="he-IL"/>
        </w:rPr>
        <w:t xml:space="preserve">68.3</w:t>
      </w:r>
      <w:r>
        <w:rPr>
          <w:rFonts w:ascii="David" w:cs="David" w:eastAsia="David" w:hAnsi="David"/>
          <w:sz w:val="24"/>
          <w:szCs w:val="24"/>
          <w:rtl/>
          <w:lang w:val="en-US" w:bidi="he-IL"/>
        </w:rPr>
        <w:t xml:space="preserve"> אחוזים) שוהים באגף הנוכחי יותר משלושה חודשים, </w:t>
      </w:r>
      <w:r>
        <w:rPr>
          <w:rFonts w:ascii="Times New Roman" w:cs="Times New Roman" w:eastAsia="Times New Roman" w:hAnsi="Times New Roman"/>
          <w:noProof/>
          <w:sz w:val="24"/>
          <w:szCs w:val="24"/>
          <w:lang w:val="en-US" w:bidi="he-IL"/>
        </w:rPr>
        <w:t xml:space="preserve">480</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w:t>
      </w:r>
      <w:r>
        <w:rPr>
          <w:rFonts w:ascii="David" w:cs="David" w:eastAsia="David" w:hAnsi="David"/>
          <w:sz w:val="24"/>
          <w:szCs w:val="24"/>
          <w:rtl/>
          <w:lang w:val="en-US" w:bidi="he-IL"/>
        </w:rPr>
        <w:t xml:space="preserve"> אחוזים) בין חודש לשלושה חודשים, </w:t>
      </w:r>
      <w:r>
        <w:rPr>
          <w:rFonts w:ascii="Times New Roman" w:cs="Times New Roman" w:eastAsia="Times New Roman" w:hAnsi="Times New Roman"/>
          <w:noProof/>
          <w:sz w:val="24"/>
          <w:szCs w:val="24"/>
          <w:lang w:val="en-US" w:bidi="he-IL"/>
        </w:rPr>
        <w:t xml:space="preserve">219</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9.2</w:t>
      </w:r>
      <w:r>
        <w:rPr>
          <w:rFonts w:ascii="David" w:cs="David" w:eastAsia="David" w:hAnsi="David"/>
          <w:sz w:val="24"/>
          <w:szCs w:val="24"/>
          <w:rtl/>
          <w:lang w:val="en-US" w:bidi="he-IL"/>
        </w:rPr>
        <w:t xml:space="preserve"> אחוזים) בין שבוע לחודש ו</w:t>
      </w:r>
      <w:r>
        <w:rPr>
          <w:rFonts w:ascii="Times New Roman" w:cs="Times New Roman" w:eastAsia="Times New Roman" w:hAnsi="Times New Roman"/>
          <w:noProof/>
          <w:sz w:val="24"/>
          <w:szCs w:val="24"/>
          <w:lang w:val="en-US" w:bidi="he-IL"/>
        </w:rPr>
        <w:t xml:space="preserve">-56</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2.4</w:t>
      </w:r>
      <w:r>
        <w:rPr>
          <w:rFonts w:ascii="David" w:cs="David" w:eastAsia="David" w:hAnsi="David"/>
          <w:sz w:val="24"/>
          <w:szCs w:val="24"/>
          <w:rtl/>
          <w:lang w:val="en-US" w:bidi="he-IL"/>
        </w:rPr>
        <w:t xml:space="preserve"> אחוזים) פחות משבוע. </w:t>
      </w:r>
      <w:r>
        <w:rPr>
          <w:rFonts w:ascii="Times New Roman" w:cs="Times New Roman" w:eastAsia="Times New Roman" w:hAnsi="Times New Roman"/>
          <w:noProof/>
          <w:sz w:val="24"/>
          <w:szCs w:val="24"/>
          <w:lang w:val="en-US" w:bidi="he-IL"/>
        </w:rPr>
        <w:t xml:space="preserve">486</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20.4</w:t>
      </w:r>
      <w:r>
        <w:rPr>
          <w:rFonts w:ascii="David" w:cs="David" w:eastAsia="David" w:hAnsi="David"/>
          <w:sz w:val="24"/>
          <w:szCs w:val="24"/>
          <w:rtl/>
          <w:lang w:val="en-US" w:bidi="he-IL"/>
        </w:rPr>
        <w:t xml:space="preserve"> אחוזים) נמצאים במסלול שיקום. ההתפלגות המלאה מובאת בלוח </w:t>
      </w:r>
      <w:r>
        <w:rPr>
          <w:rFonts w:ascii="Times New Roman" w:cs="Times New Roman" w:eastAsia="Times New Roman" w:hAnsi="Times New Roman"/>
          <w:noProof/>
          <w:sz w:val="24"/>
          <w:szCs w:val="24"/>
          <w:lang w:val="en-US" w:bidi="he-IL"/>
        </w:rPr>
        <w:t xml:space="preserve">2</w:t>
      </w:r>
      <w:r>
        <w:rPr>
          <w:rFonts w:ascii="David" w:cs="David" w:eastAsia="David" w:hAnsi="David"/>
          <w:sz w:val="24"/>
          <w:szCs w:val="24"/>
          <w:rtl/>
          <w:lang w:val="en-US" w:bidi="he-IL"/>
        </w:rPr>
        <w:t xml:space="preserve"> בפרק הממצאים.</w:t>
      </w:r>
    </w:p>
    <w:p>
      <w:pPr>
        <w:pStyle w:val="Heading2"/>
        <w:keepNext/>
        <w:bidi/>
        <w:spacing w:after="120" w:before="240" w:line="360"/>
        <w:jc w:val="right"/>
      </w:pPr>
      <w:r>
        <w:rPr>
          <w:rFonts w:ascii="David" w:cs="David" w:eastAsia="David" w:hAnsi="David"/>
          <w:b/>
          <w:bCs/>
          <w:sz w:val="28"/>
          <w:szCs w:val="28"/>
          <w:rtl/>
          <w:lang w:val="en-US" w:bidi="he-IL"/>
        </w:rPr>
        <w:t xml:space="preserve">כלי המחקר</w:t>
      </w:r>
    </w:p>
    <w:p>
      <w:pPr>
        <w:bidi/>
        <w:spacing w:after="120" w:line="360"/>
        <w:jc w:val="both"/>
      </w:pPr>
      <w:r>
        <w:rPr>
          <w:rFonts w:ascii="David" w:cs="David" w:eastAsia="David" w:hAnsi="David"/>
          <w:sz w:val="24"/>
          <w:szCs w:val="24"/>
          <w:rtl/>
          <w:lang w:val="en-US" w:bidi="he-IL"/>
        </w:rPr>
        <w:t xml:space="preserve">כלי המחקר הוא שאלון הדיווח העצמי של סקר תנאי המחיה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השאלון נבנה על בסיס שאלון אקלים בית הסוהר של מחקר "החיים במשמורת" </w:t>
      </w:r>
      <w:r>
        <w:rPr>
          <w:rFonts w:ascii="Times New Roman" w:cs="Times New Roman" w:eastAsia="Times New Roman" w:hAnsi="Times New Roman"/>
          <w:noProof/>
          <w:sz w:val="24"/>
          <w:szCs w:val="24"/>
          <w:lang w:val="en-US" w:bidi="he-IL"/>
        </w:rPr>
        <w:t xml:space="preserve">(Life in Custody)</w:t>
      </w:r>
      <w:r>
        <w:rPr>
          <w:rFonts w:ascii="David" w:cs="David" w:eastAsia="David" w:hAnsi="David"/>
          <w:sz w:val="24"/>
          <w:szCs w:val="24"/>
          <w:rtl/>
          <w:lang w:val="en-US" w:bidi="he-IL"/>
        </w:rPr>
        <w:t xml:space="preserve"> ההולנדי, הכולל </w:t>
      </w:r>
      <w:r>
        <w:rPr>
          <w:rFonts w:ascii="Times New Roman" w:cs="Times New Roman" w:eastAsia="Times New Roman" w:hAnsi="Times New Roman"/>
          <w:noProof/>
          <w:sz w:val="24"/>
          <w:szCs w:val="24"/>
          <w:lang w:val="en-US" w:bidi="he-IL"/>
        </w:rPr>
        <w:t xml:space="preserve">136</w:t>
      </w:r>
      <w:r>
        <w:rPr>
          <w:rFonts w:ascii="David" w:cs="David" w:eastAsia="David" w:hAnsi="David"/>
          <w:sz w:val="24"/>
          <w:szCs w:val="24"/>
          <w:rtl/>
          <w:lang w:val="en-US" w:bidi="he-IL"/>
        </w:rPr>
        <w:t xml:space="preserve"> פריטים בשישה תחומים: אוטונומיה, ביטחון, יחסים בבית הסוהר, קשר עם העולם שבחוץ, פעילויות משמעותיות ותנאים פיזיים </w:t>
      </w:r>
      <w:r>
        <w:rPr>
          <w:rFonts w:ascii="Times New Roman" w:cs="Times New Roman" w:eastAsia="Times New Roman" w:hAnsi="Times New Roman"/>
          <w:noProof/>
          <w:sz w:val="24"/>
          <w:szCs w:val="24"/>
          <w:lang w:val="en-US" w:bidi="he-IL"/>
        </w:rPr>
        <w:t xml:space="preserve">(Van Ginneken et al., 2019)</w:t>
      </w:r>
      <w:r>
        <w:rPr>
          <w:rFonts w:ascii="David" w:cs="David" w:eastAsia="David" w:hAnsi="David"/>
          <w:sz w:val="24"/>
          <w:szCs w:val="24"/>
          <w:rtl/>
          <w:lang w:val="en-US" w:bidi="he-IL"/>
        </w:rPr>
        <w:t xml:space="preserve">. לפי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מהימנויות הנושאים בשאלון המקורי נעו בין </w:t>
      </w:r>
      <w:r>
        <w:rPr>
          <w:rFonts w:ascii="Times New Roman" w:cs="Times New Roman" w:eastAsia="Times New Roman" w:hAnsi="Times New Roman"/>
          <w:noProof/>
          <w:sz w:val="24"/>
          <w:szCs w:val="24"/>
          <w:lang w:val="en-US" w:bidi="he-IL"/>
        </w:rPr>
        <w:t xml:space="preserve">0.78</w:t>
      </w:r>
      <w:r>
        <w:rPr>
          <w:rFonts w:ascii="David" w:cs="David" w:eastAsia="David" w:hAnsi="David"/>
          <w:sz w:val="24"/>
          <w:szCs w:val="24"/>
          <w:rtl/>
          <w:lang w:val="en-US" w:bidi="he-IL"/>
        </w:rPr>
        <w:t xml:space="preserve"> ל</w:t>
      </w:r>
      <w:r>
        <w:rPr>
          <w:rFonts w:ascii="Times New Roman" w:cs="Times New Roman" w:eastAsia="Times New Roman" w:hAnsi="Times New Roman"/>
          <w:noProof/>
          <w:sz w:val="24"/>
          <w:szCs w:val="24"/>
          <w:lang w:val="en-US" w:bidi="he-IL"/>
        </w:rPr>
        <w:t xml:space="preserve">-0.90.</w:t>
      </w:r>
      <w:r>
        <w:rPr>
          <w:rFonts w:ascii="David" w:cs="David" w:eastAsia="David" w:hAnsi="David"/>
          <w:sz w:val="24"/>
          <w:szCs w:val="24"/>
          <w:rtl/>
          <w:lang w:val="en-US" w:bidi="he-IL"/>
        </w:rPr>
        <w:t xml:space="preserve"> לצורך הסקר הישראלי נבחרו </w:t>
      </w:r>
      <w:r>
        <w:rPr>
          <w:rFonts w:ascii="Times New Roman" w:cs="Times New Roman" w:eastAsia="Times New Roman" w:hAnsi="Times New Roman"/>
          <w:noProof/>
          <w:sz w:val="24"/>
          <w:szCs w:val="24"/>
          <w:lang w:val="en-US" w:bidi="he-IL"/>
        </w:rPr>
        <w:t xml:space="preserve">39</w:t>
      </w:r>
      <w:r>
        <w:rPr>
          <w:rFonts w:ascii="David" w:cs="David" w:eastAsia="David" w:hAnsi="David"/>
          <w:sz w:val="24"/>
          <w:szCs w:val="24"/>
          <w:rtl/>
          <w:lang w:val="en-US" w:bidi="he-IL"/>
        </w:rPr>
        <w:t xml:space="preserve"> פריטים בתשעה נושאים, השאלות תורגמו לאנגלית ותורגמו בחזרה לעברית כדי לבדוק את תוקף התרגום, והוספו שאלות המתאימות לשירות בתי הסוהר. כל הפריטים נמדדים בסולם </w:t>
      </w:r>
      <w:r>
        <w:rPr>
          <w:rFonts w:ascii="David" w:cs="David" w:eastAsia="David" w:hAnsi="David"/>
          <w:noProof/>
          <w:sz w:val="24"/>
          <w:szCs w:val="24"/>
          <w:rtl/>
          <w:lang w:val="en-US" w:bidi="he-IL"/>
        </w:rPr>
        <w:t xml:space="preserve">ליקרט</w:t>
      </w:r>
      <w:r>
        <w:rPr>
          <w:rFonts w:ascii="David" w:cs="David" w:eastAsia="David" w:hAnsi="David"/>
          <w:sz w:val="24"/>
          <w:szCs w:val="24"/>
          <w:rtl/>
          <w:lang w:val="en-US" w:bidi="he-IL"/>
        </w:rPr>
        <w:t xml:space="preserve"> של </w:t>
      </w:r>
      <w:r>
        <w:rPr>
          <w:rFonts w:ascii="Times New Roman" w:cs="Times New Roman" w:eastAsia="Times New Roman" w:hAnsi="Times New Roman"/>
          <w:noProof/>
          <w:sz w:val="24"/>
          <w:szCs w:val="24"/>
          <w:lang w:val="en-US" w:bidi="he-IL"/>
        </w:rPr>
        <w:t xml:space="preserve">1</w:t>
      </w:r>
      <w:r>
        <w:rPr>
          <w:rFonts w:ascii="David" w:cs="David" w:eastAsia="David" w:hAnsi="David"/>
          <w:sz w:val="24"/>
          <w:szCs w:val="24"/>
          <w:rtl/>
          <w:lang w:val="en-US" w:bidi="he-IL"/>
        </w:rPr>
        <w:t xml:space="preserve"> (שביעות רצון או הסכמה נמוכה מאוד) עד </w:t>
      </w:r>
      <w:r>
        <w:rPr>
          <w:rFonts w:ascii="Times New Roman" w:cs="Times New Roman" w:eastAsia="Times New Roman" w:hAnsi="Times New Roman"/>
          <w:noProof/>
          <w:sz w:val="24"/>
          <w:szCs w:val="24"/>
          <w:lang w:val="en-US" w:bidi="he-IL"/>
        </w:rPr>
        <w:t xml:space="preserve">5</w:t>
      </w:r>
      <w:r>
        <w:rPr>
          <w:rFonts w:ascii="David" w:cs="David" w:eastAsia="David" w:hAnsi="David"/>
          <w:sz w:val="24"/>
          <w:szCs w:val="24"/>
          <w:rtl/>
          <w:lang w:val="en-US" w:bidi="he-IL"/>
        </w:rPr>
        <w:t xml:space="preserve"> (גבוהה מאוד). מהימנויות תשעת הנושאים בסקר המקורי נעו בין </w:t>
      </w:r>
      <w:r>
        <w:rPr>
          <w:rFonts w:ascii="Times New Roman" w:cs="Times New Roman" w:eastAsia="Times New Roman" w:hAnsi="Times New Roman"/>
          <w:noProof/>
          <w:sz w:val="24"/>
          <w:szCs w:val="24"/>
          <w:lang w:val="en-US" w:bidi="he-IL"/>
        </w:rPr>
        <w:t xml:space="preserve">0.70</w:t>
      </w:r>
      <w:r>
        <w:rPr>
          <w:rFonts w:ascii="David" w:cs="David" w:eastAsia="David" w:hAnsi="David"/>
          <w:sz w:val="24"/>
          <w:szCs w:val="24"/>
          <w:rtl/>
          <w:lang w:val="en-US" w:bidi="he-IL"/>
        </w:rPr>
        <w:t xml:space="preserve"> ל</w:t>
      </w:r>
      <w:r>
        <w:rPr>
          <w:rFonts w:ascii="Times New Roman" w:cs="Times New Roman" w:eastAsia="Times New Roman" w:hAnsi="Times New Roman"/>
          <w:noProof/>
          <w:sz w:val="24"/>
          <w:szCs w:val="24"/>
          <w:lang w:val="en-US" w:bidi="he-IL"/>
        </w:rPr>
        <w:t xml:space="preserve">-0.91</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המחקר הנוכחי משתמש בשניים מהנושאים ובמשתני רקע.</w:t>
      </w:r>
    </w:p>
    <w:p>
      <w:pPr>
        <w:bidi/>
        <w:spacing w:after="120" w:line="360"/>
        <w:jc w:val="both"/>
      </w:pPr>
      <w:r>
        <w:rPr>
          <w:rFonts w:ascii="David" w:cs="David" w:eastAsia="David" w:hAnsi="David"/>
          <w:sz w:val="24"/>
          <w:szCs w:val="24"/>
          <w:rtl/>
          <w:lang w:val="en-US" w:bidi="he-IL"/>
        </w:rPr>
        <w:t xml:space="preserve">לגיטימיות של הסגל. הסולם כולל שלושה פריטים: "אני יכול לדבר עם הסוהרים באגף אם אני מודאג או עצוב", "הסוהרים באגף מתייחסים אליי בכבוד" ו"אני מרוצה מהטיפול בבקשות שלי". שלושת הפריטים מבטאים שלושה מהתנאים ללגיטימיות שזיהו </w:t>
      </w:r>
      <w:r>
        <w:rPr>
          <w:rFonts w:ascii="David" w:cs="David" w:eastAsia="David" w:hAnsi="David"/>
          <w:noProof/>
          <w:sz w:val="24"/>
          <w:szCs w:val="24"/>
          <w:rtl/>
          <w:lang w:val="en-US" w:bidi="he-IL"/>
        </w:rPr>
        <w:t xml:space="preserve">ספרקס</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ובוטומס</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1995</w:t>
      </w:r>
      <w:r>
        <w:rPr>
          <w:rFonts w:ascii="David" w:cs="David" w:eastAsia="David" w:hAnsi="David"/>
          <w:sz w:val="24"/>
          <w:szCs w:val="24"/>
          <w:rtl/>
          <w:lang w:val="en-US" w:bidi="he-IL"/>
        </w:rPr>
        <w:t xml:space="preserve">): נגישות של הסגל ואיכות אנושית בשגרה, יחס מכבד, והוגנות פרוצדורלית בטיפול בבקשות. בסקר המקורי מהימנות הסולם הייתה </w:t>
      </w:r>
      <w:r>
        <w:rPr>
          <w:rFonts w:ascii="Times New Roman" w:cs="Times New Roman" w:eastAsia="Times New Roman" w:hAnsi="Times New Roman"/>
          <w:noProof/>
          <w:sz w:val="24"/>
          <w:szCs w:val="24"/>
          <w:lang w:val="en-US" w:bidi="he-IL"/>
        </w:rPr>
        <w:t xml:space="preserve">0.72</w:t>
      </w:r>
      <w:r>
        <w:rPr>
          <w:rFonts w:ascii="David" w:cs="David" w:eastAsia="David" w:hAnsi="David"/>
          <w:sz w:val="24"/>
          <w:szCs w:val="24"/>
          <w:rtl/>
          <w:lang w:val="en-US" w:bidi="he-IL"/>
        </w:rPr>
        <w:t xml:space="preserve"> ובקובץ הסינתטי </w:t>
      </w:r>
      <w:r>
        <w:rPr>
          <w:rFonts w:ascii="Times New Roman" w:cs="Times New Roman" w:eastAsia="Times New Roman" w:hAnsi="Times New Roman"/>
          <w:noProof/>
          <w:sz w:val="24"/>
          <w:szCs w:val="24"/>
          <w:lang w:val="en-US" w:bidi="he-IL"/>
        </w:rPr>
        <w:t xml:space="preserve">0.67</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חומרי הקורס, יולי </w:t>
      </w:r>
      <w:r>
        <w:rPr>
          <w:rFonts w:ascii="Times New Roman" w:cs="Times New Roman" w:eastAsia="Times New Roman" w:hAnsi="Times New Roman"/>
          <w:noProof/>
          <w:sz w:val="24"/>
          <w:szCs w:val="24"/>
          <w:lang w:val="en-US" w:bidi="he-IL"/>
        </w:rPr>
        <w:t xml:space="preserve">2026</w:t>
      </w:r>
      <w:r>
        <w:rPr>
          <w:rFonts w:ascii="David" w:cs="David" w:eastAsia="David" w:hAnsi="David"/>
          <w:sz w:val="24"/>
          <w:szCs w:val="24"/>
          <w:rtl/>
          <w:lang w:val="en-US" w:bidi="he-IL"/>
        </w:rPr>
        <w:t xml:space="preserve">). ציון המשתנה הוא ממוצע הפריטים, המחושב כאשר נענו לפחות שניים מהשלושה, וציון גבוה מבטא לגיטימיות גבוהה.</w:t>
      </w:r>
    </w:p>
    <w:p>
      <w:pPr>
        <w:bidi/>
        <w:spacing w:after="120" w:line="360"/>
        <w:jc w:val="both"/>
      </w:pPr>
      <w:r>
        <w:rPr>
          <w:rFonts w:ascii="David" w:cs="David" w:eastAsia="David" w:hAnsi="David"/>
          <w:sz w:val="24"/>
          <w:szCs w:val="24"/>
          <w:rtl/>
          <w:lang w:val="en-US" w:bidi="he-IL"/>
        </w:rPr>
        <w:t xml:space="preserve">רווחה נפשית. הסולם כולל חמישה פריטים: "באופן כללי, הבריאות שלי השתפרה מאז כניסתי למאסר", "הבריאות הגופנית שלי טובה", "הבריאות הנפשית שלי טובה", "עד כמה הרגשת שמח במהלך החודש האחרון" ו"עד כמה הרגשת מרוצה מהחיים בחודש האחרון". בסקר המקורי מהימנות הסולם הייתה </w:t>
      </w:r>
      <w:r>
        <w:rPr>
          <w:rFonts w:ascii="Times New Roman" w:cs="Times New Roman" w:eastAsia="Times New Roman" w:hAnsi="Times New Roman"/>
          <w:noProof/>
          <w:sz w:val="24"/>
          <w:szCs w:val="24"/>
          <w:lang w:val="en-US" w:bidi="he-IL"/>
        </w:rPr>
        <w:t xml:space="preserve">0.85</w:t>
      </w:r>
      <w:r>
        <w:rPr>
          <w:rFonts w:ascii="David" w:cs="David" w:eastAsia="David" w:hAnsi="David"/>
          <w:sz w:val="24"/>
          <w:szCs w:val="24"/>
          <w:rtl/>
          <w:lang w:val="en-US" w:bidi="he-IL"/>
        </w:rPr>
        <w:t xml:space="preserve"> ובקובץ הסינתטי </w:t>
      </w:r>
      <w:r>
        <w:rPr>
          <w:rFonts w:ascii="Times New Roman" w:cs="Times New Roman" w:eastAsia="Times New Roman" w:hAnsi="Times New Roman"/>
          <w:noProof/>
          <w:sz w:val="24"/>
          <w:szCs w:val="24"/>
          <w:lang w:val="en-US" w:bidi="he-IL"/>
        </w:rPr>
        <w:t xml:space="preserve">0.82</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חומרי הקורס, יולי </w:t>
      </w:r>
      <w:r>
        <w:rPr>
          <w:rFonts w:ascii="Times New Roman" w:cs="Times New Roman" w:eastAsia="Times New Roman" w:hAnsi="Times New Roman"/>
          <w:noProof/>
          <w:sz w:val="24"/>
          <w:szCs w:val="24"/>
          <w:lang w:val="en-US" w:bidi="he-IL"/>
        </w:rPr>
        <w:t xml:space="preserve">2026</w:t>
      </w:r>
      <w:r>
        <w:rPr>
          <w:rFonts w:ascii="David" w:cs="David" w:eastAsia="David" w:hAnsi="David"/>
          <w:sz w:val="24"/>
          <w:szCs w:val="24"/>
          <w:rtl/>
          <w:lang w:val="en-US" w:bidi="he-IL"/>
        </w:rPr>
        <w:t xml:space="preserve">). ציון המשתנה הוא ממוצע הפריטים, המחושב כאשר נענו לפחות שלושה מהחמישה, וציון גבוה מבטא רווחה גבוהה. אין בסולם פריטים הפוכים.</w:t>
      </w:r>
    </w:p>
    <w:p>
      <w:pPr>
        <w:bidi/>
        <w:spacing w:after="120" w:line="360"/>
        <w:jc w:val="both"/>
      </w:pPr>
      <w:r>
        <w:rPr>
          <w:rFonts w:ascii="David" w:cs="David" w:eastAsia="David" w:hAnsi="David"/>
          <w:sz w:val="24"/>
          <w:szCs w:val="24"/>
          <w:rtl/>
          <w:lang w:val="en-US" w:bidi="he-IL"/>
        </w:rPr>
        <w:t xml:space="preserve">משתני רקע לתיאור האוכלוסייה. מגדר, גיל בשנים וקבוצת גיל, לאום בשתי קטגוריות (יהודים ולא יהודים), מספר המאסרים כשפוט בשלוש קטגוריות (מאסר ראשון, שני, שלישי ומעלה), ותק באגף בארבע קטגוריות והשתתפות במסלול שיקום (י'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חומרי הקורס, יולי </w:t>
      </w:r>
      <w:r>
        <w:rPr>
          <w:rFonts w:ascii="Times New Roman" w:cs="Times New Roman" w:eastAsia="Times New Roman" w:hAnsi="Times New Roman"/>
          <w:noProof/>
          <w:sz w:val="24"/>
          <w:szCs w:val="24"/>
          <w:lang w:val="en-US" w:bidi="he-IL"/>
        </w:rPr>
        <w:t xml:space="preserve">2026</w:t>
      </w:r>
      <w:r>
        <w:rPr>
          <w:rFonts w:ascii="David" w:cs="David" w:eastAsia="David" w:hAnsi="David"/>
          <w:sz w:val="24"/>
          <w:szCs w:val="24"/>
          <w:rtl/>
          <w:lang w:val="en-US" w:bidi="he-IL"/>
        </w:rPr>
        <w:t xml:space="preserve">).</w:t>
      </w:r>
    </w:p>
    <w:p>
      <w:pPr>
        <w:pStyle w:val="Heading2"/>
        <w:keepNext/>
        <w:bidi/>
        <w:spacing w:after="120" w:before="240" w:line="360"/>
        <w:jc w:val="right"/>
      </w:pPr>
      <w:r>
        <w:rPr>
          <w:rFonts w:ascii="David" w:cs="David" w:eastAsia="David" w:hAnsi="David"/>
          <w:b/>
          <w:bCs/>
          <w:sz w:val="28"/>
          <w:szCs w:val="28"/>
          <w:rtl/>
          <w:lang w:val="en-US" w:bidi="he-IL"/>
        </w:rPr>
        <w:t xml:space="preserve">ניתוחים סטטיסטיים</w:t>
      </w:r>
    </w:p>
    <w:p>
      <w:pPr>
        <w:bidi/>
        <w:spacing w:after="120" w:line="360"/>
        <w:jc w:val="both"/>
      </w:pPr>
      <w:r>
        <w:rPr>
          <w:rFonts w:ascii="David" w:cs="David" w:eastAsia="David" w:hAnsi="David"/>
          <w:sz w:val="24"/>
          <w:szCs w:val="24"/>
          <w:rtl/>
          <w:lang w:val="en-US" w:bidi="he-IL"/>
        </w:rPr>
        <w:t xml:space="preserve">הנתונים נותחו ב-</w:t>
      </w:r>
      <w:r>
        <w:rPr>
          <w:rFonts w:ascii="Times New Roman" w:cs="Times New Roman" w:eastAsia="Times New Roman" w:hAnsi="Times New Roman"/>
          <w:noProof/>
          <w:sz w:val="24"/>
          <w:szCs w:val="24"/>
          <w:lang w:val="en-US" w:bidi="he-IL"/>
        </w:rPr>
        <w:t xml:space="preserve">SPSS</w:t>
      </w:r>
      <w:r>
        <w:rPr>
          <w:rFonts w:ascii="David" w:cs="David" w:eastAsia="David" w:hAnsi="David"/>
          <w:sz w:val="24"/>
          <w:szCs w:val="24"/>
          <w:rtl/>
          <w:lang w:val="en-US" w:bidi="he-IL"/>
        </w:rPr>
        <w:t xml:space="preserve">. בשלב הראשון סוננו השפוטים בלבד ונבדקה התפלגות סוג האסיר ומשתני הרקע של האוכלוסייה. בשלב השני חושבה סטטיסטיקה תיאורית לשמונת הפריטים ונבדקה מהימנות שני הסולמות באמצעות אלפא של </w:t>
      </w:r>
      <w:r>
        <w:rPr>
          <w:rFonts w:ascii="David" w:cs="David" w:eastAsia="David" w:hAnsi="David"/>
          <w:noProof/>
          <w:sz w:val="24"/>
          <w:szCs w:val="24"/>
          <w:rtl/>
          <w:lang w:val="en-US" w:bidi="he-IL"/>
        </w:rPr>
        <w:t xml:space="preserve">קרונבך</w:t>
      </w:r>
      <w:r>
        <w:rPr>
          <w:rFonts w:ascii="David" w:cs="David" w:eastAsia="David" w:hAnsi="David"/>
          <w:sz w:val="24"/>
          <w:szCs w:val="24"/>
          <w:rtl/>
          <w:lang w:val="en-US" w:bidi="he-IL"/>
        </w:rPr>
        <w:t xml:space="preserve">, ולאחר מכן חושבו ציוני הסולמות ונבדקו התפלגויותיהם, כולל מבחני נורמליות. בשלב השלישי חושב מתאם </w:t>
      </w:r>
      <w:r>
        <w:rPr>
          <w:rFonts w:ascii="David" w:cs="David" w:eastAsia="David" w:hAnsi="David"/>
          <w:noProof/>
          <w:sz w:val="24"/>
          <w:szCs w:val="24"/>
          <w:rtl/>
          <w:lang w:val="en-US" w:bidi="he-IL"/>
        </w:rPr>
        <w:t xml:space="preserve">פירסון</w:t>
      </w:r>
      <w:r>
        <w:rPr>
          <w:rFonts w:ascii="David" w:cs="David" w:eastAsia="David" w:hAnsi="David"/>
          <w:sz w:val="24"/>
          <w:szCs w:val="24"/>
          <w:rtl/>
          <w:lang w:val="en-US" w:bidi="he-IL"/>
        </w:rPr>
        <w:t xml:space="preserve"> בין הרווחה הנפשית ללגיטימיות, ובשל ההתפלגות המוטה של הלגיטימיות חושב גם מתאם </w:t>
      </w:r>
      <w:r>
        <w:rPr>
          <w:rFonts w:ascii="David" w:cs="David" w:eastAsia="David" w:hAnsi="David"/>
          <w:noProof/>
          <w:sz w:val="24"/>
          <w:szCs w:val="24"/>
          <w:rtl/>
          <w:lang w:val="en-US" w:bidi="he-IL"/>
        </w:rPr>
        <w:t xml:space="preserve">ספירמן</w:t>
      </w:r>
      <w:r>
        <w:rPr>
          <w:rFonts w:ascii="David" w:cs="David" w:eastAsia="David" w:hAnsi="David"/>
          <w:sz w:val="24"/>
          <w:szCs w:val="24"/>
          <w:rtl/>
          <w:lang w:val="en-US" w:bidi="he-IL"/>
        </w:rPr>
        <w:t xml:space="preserve">, וכן מתאמים בין כל פריט לגיטימיות לבין הרווחה. לבסוף חולקו השפוטים לשלוש רמות לגיטימיות והושוו ממוצעי הרווחה הנפשית ביניהן. רמת המובהקות שנקבעה היא </w:t>
      </w:r>
      <w:r>
        <w:rPr>
          <w:rFonts w:ascii="Times New Roman" w:cs="Times New Roman" w:eastAsia="Times New Roman" w:hAnsi="Times New Roman"/>
          <w:noProof/>
          <w:sz w:val="24"/>
          <w:szCs w:val="24"/>
          <w:lang w:val="en-US" w:bidi="he-IL"/>
        </w:rPr>
        <w:t xml:space="preserve">p &lt; 0.05</w:t>
      </w:r>
      <w:r>
        <w:rPr>
          <w:rFonts w:ascii="David" w:cs="David" w:eastAsia="David" w:hAnsi="David"/>
          <w:sz w:val="24"/>
          <w:szCs w:val="24"/>
          <w:rtl/>
          <w:lang w:val="en-US" w:bidi="he-IL"/>
        </w:rPr>
        <w:t xml:space="preserve">. הפלטים המרכזיים מובאים בנספח א'.</w:t>
      </w:r>
    </w:p>
    <w:p>
      <w:pPr>
        <w:pStyle w:val="Heading1"/>
        <w:pageBreakBefore/>
        <w:bidi/>
        <w:spacing w:after="240" w:before="0" w:line="360"/>
        <w:jc w:val="right"/>
      </w:pPr>
      <w:r>
        <w:rPr>
          <w:rFonts w:ascii="David" w:cs="David" w:eastAsia="David" w:hAnsi="David"/>
          <w:b/>
          <w:bCs/>
          <w:sz w:val="32"/>
          <w:szCs w:val="32"/>
          <w:rtl/>
          <w:lang w:val="en-US" w:bidi="he-IL"/>
        </w:rPr>
        <w:t xml:space="preserve">ממצאים</w:t>
      </w:r>
    </w:p>
    <w:p>
      <w:pPr>
        <w:bidi/>
        <w:spacing w:after="120" w:line="360"/>
        <w:jc w:val="both"/>
      </w:pPr>
      <w:r>
        <w:rPr>
          <w:rFonts w:ascii="David" w:cs="David" w:eastAsia="David" w:hAnsi="David"/>
          <w:sz w:val="24"/>
          <w:szCs w:val="24"/>
          <w:rtl/>
          <w:lang w:val="en-US" w:bidi="he-IL"/>
        </w:rPr>
        <w:t xml:space="preserve">הפרק מציג את הממצאים בסדר הניתוחים: תיאור האוכלוסייה, סטטיסטיקה תיאורית של הפריטים, מהימנות הסולמות, ממוצעי הסולמות, ולבסוף המתאם בין רווחה נפשית ללגיטימיות והצגת הממצא. כל ניתוח מוצג בלוח ואחריו הסבר מילולי.</w:t>
      </w:r>
    </w:p>
    <w:p>
      <w:pPr>
        <w:pStyle w:val="Heading2"/>
        <w:keepNext/>
        <w:bidi/>
        <w:spacing w:after="120" w:before="240" w:line="360"/>
        <w:jc w:val="right"/>
      </w:pPr>
      <w:r>
        <w:rPr>
          <w:rFonts w:ascii="David" w:cs="David" w:eastAsia="David" w:hAnsi="David"/>
          <w:b/>
          <w:bCs/>
          <w:sz w:val="28"/>
          <w:szCs w:val="28"/>
          <w:rtl/>
          <w:lang w:val="en-US" w:bidi="he-IL"/>
        </w:rPr>
        <w:t xml:space="preserve">אוכלוסיית המחקר</w:t>
      </w:r>
    </w:p>
    <w:p>
      <w:pPr>
        <w:bidi/>
        <w:spacing w:after="120" w:line="360"/>
        <w:jc w:val="both"/>
      </w:pPr>
      <w:r>
        <w:rPr>
          <w:rFonts w:ascii="David" w:cs="David" w:eastAsia="David" w:hAnsi="David"/>
          <w:sz w:val="24"/>
          <w:szCs w:val="24"/>
          <w:rtl/>
          <w:lang w:val="en-US" w:bidi="he-IL"/>
        </w:rPr>
        <w:t xml:space="preserve">לוח </w:t>
      </w:r>
      <w:r>
        <w:rPr>
          <w:rFonts w:ascii="Times New Roman" w:cs="Times New Roman" w:eastAsia="Times New Roman" w:hAnsi="Times New Roman"/>
          <w:noProof/>
          <w:sz w:val="24"/>
          <w:szCs w:val="24"/>
          <w:lang w:val="en-US" w:bidi="he-IL"/>
        </w:rPr>
        <w:t xml:space="preserve">1</w:t>
      </w:r>
      <w:r>
        <w:rPr>
          <w:rFonts w:ascii="David" w:cs="David" w:eastAsia="David" w:hAnsi="David"/>
          <w:sz w:val="24"/>
          <w:szCs w:val="24"/>
          <w:rtl/>
          <w:lang w:val="en-US" w:bidi="he-IL"/>
        </w:rPr>
        <w:t xml:space="preserve"> מציג את התפלגות סוג האסיר בקובץ המלא, שממנו נגזרה אוכלוסיית המחקר.</w:t>
      </w:r>
    </w:p>
    <w:p>
      <w:pPr>
        <w:keepNext/>
        <w:bidi/>
        <w:spacing w:after="80" w:before="200" w:line="360"/>
        <w:jc w:val="right"/>
      </w:pPr>
      <w:r>
        <w:rPr>
          <w:rFonts w:ascii="David" w:cs="David" w:eastAsia="David" w:hAnsi="David"/>
          <w:b/>
          <w:bCs/>
          <w:sz w:val="24"/>
          <w:szCs w:val="24"/>
          <w:rtl/>
          <w:lang w:val="en-US" w:bidi="he-IL"/>
        </w:rPr>
        <w:t xml:space="preserve">לוח </w:t>
      </w:r>
      <w:r>
        <w:rPr>
          <w:rFonts w:ascii="Times New Roman" w:cs="Times New Roman" w:eastAsia="Times New Roman" w:hAnsi="Times New Roman"/>
          <w:b/>
          <w:bCs/>
          <w:noProof/>
          <w:sz w:val="24"/>
          <w:szCs w:val="24"/>
          <w:lang w:val="en-US" w:bidi="he-IL"/>
        </w:rPr>
        <w:t xml:space="preserve">1</w:t>
      </w:r>
      <w:r>
        <w:rPr>
          <w:rFonts w:ascii="David" w:cs="David" w:eastAsia="David" w:hAnsi="David"/>
          <w:b/>
          <w:bCs/>
          <w:sz w:val="24"/>
          <w:szCs w:val="24"/>
          <w:rtl/>
          <w:lang w:val="en-US" w:bidi="he-IL"/>
        </w:rPr>
        <w:t xml:space="preserve">: התפלגות סוג האסיר בקובץ הסינתטי המלא</w:t>
      </w:r>
    </w:p>
    <w:tbl>
      <w:tblPr>
        <w:bidiVisual/>
        <w:tblW w:type="dxa" w:w="6400"/>
        <w:tblBorders>
          <w:top w:val="single" w:color="000000" w:sz="4"/>
          <w:left w:val="none" w:color="FFFFFF" w:sz="0"/>
          <w:bottom w:val="single" w:color="000000" w:sz="4"/>
          <w:right w:val="none" w:color="FFFFFF" w:sz="0"/>
          <w:insideH w:val="none" w:color="FFFFFF" w:sz="0"/>
          <w:insideV w:val="none" w:color="FFFFFF" w:sz="0"/>
        </w:tblBorders>
      </w:tblPr>
      <w:tblGrid>
        <w:gridCol w:w="3200"/>
        <w:gridCol w:w="1600"/>
        <w:gridCol w:w="1600"/>
      </w:tblGrid>
      <w:tr>
        <w:trPr>
          <w:cantSplit/>
          <w:tblHeader/>
        </w:trPr>
        <w:tc>
          <w:tcPr>
            <w:tcW w:type="dxa" w:w="3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סוג האסיר</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N</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עצורים פליליים</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1,411</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37.2</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שפוטים פליליים</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62.8</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סה"כ</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3,790</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100.0</w:t>
            </w:r>
          </w:p>
        </w:tc>
      </w:tr>
    </w:tbl>
    <w:p>
      <w:pPr>
        <w:bidi/>
        <w:spacing w:after="200" w:before="60" w:line="276"/>
        <w:jc w:val="right"/>
      </w:pPr>
    </w:p>
    <w:p>
      <w:pPr>
        <w:bidi/>
        <w:spacing w:after="120" w:line="360"/>
        <w:jc w:val="both"/>
      </w:pPr>
      <w:r>
        <w:rPr>
          <w:rFonts w:ascii="David" w:cs="David" w:eastAsia="David" w:hAnsi="David"/>
          <w:sz w:val="24"/>
          <w:szCs w:val="24"/>
          <w:rtl/>
          <w:lang w:val="en-US" w:bidi="he-IL"/>
        </w:rPr>
        <w:t xml:space="preserve">מלוח </w:t>
      </w:r>
      <w:r>
        <w:rPr>
          <w:rFonts w:ascii="Times New Roman" w:cs="Times New Roman" w:eastAsia="Times New Roman" w:hAnsi="Times New Roman"/>
          <w:noProof/>
          <w:sz w:val="24"/>
          <w:szCs w:val="24"/>
          <w:lang w:val="en-US" w:bidi="he-IL"/>
        </w:rPr>
        <w:t xml:space="preserve">1</w:t>
      </w:r>
      <w:r>
        <w:rPr>
          <w:rFonts w:ascii="David" w:cs="David" w:eastAsia="David" w:hAnsi="David"/>
          <w:sz w:val="24"/>
          <w:szCs w:val="24"/>
          <w:rtl/>
          <w:lang w:val="en-US" w:bidi="he-IL"/>
        </w:rPr>
        <w:t xml:space="preserve"> עולה כי כמעט שני שלישים מהמשיבים הם שפוטים, בדומה לשיעור של </w:t>
      </w:r>
      <w:r>
        <w:rPr>
          <w:rFonts w:ascii="Times New Roman" w:cs="Times New Roman" w:eastAsia="Times New Roman" w:hAnsi="Times New Roman"/>
          <w:noProof/>
          <w:sz w:val="24"/>
          <w:szCs w:val="24"/>
          <w:lang w:val="en-US" w:bidi="he-IL"/>
        </w:rPr>
        <w:t xml:space="preserve">62.3</w:t>
      </w:r>
      <w:r>
        <w:rPr>
          <w:rFonts w:ascii="David" w:cs="David" w:eastAsia="David" w:hAnsi="David"/>
          <w:sz w:val="24"/>
          <w:szCs w:val="24"/>
          <w:rtl/>
          <w:lang w:val="en-US" w:bidi="he-IL"/>
        </w:rPr>
        <w:t xml:space="preserve"> אחוזים בסקר המקורי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כל הניתוחים מכאן ואילך נערכו על </w:t>
      </w:r>
      <w:r>
        <w:rPr>
          <w:rFonts w:ascii="Times New Roman" w:cs="Times New Roman" w:eastAsia="Times New Roman" w:hAnsi="Times New Roman"/>
          <w:noProof/>
          <w:sz w:val="24"/>
          <w:szCs w:val="24"/>
          <w:lang w:val="en-US" w:bidi="he-IL"/>
        </w:rPr>
        <w:t xml:space="preserve">2,379</w:t>
      </w:r>
      <w:r>
        <w:rPr>
          <w:rFonts w:ascii="David" w:cs="David" w:eastAsia="David" w:hAnsi="David"/>
          <w:sz w:val="24"/>
          <w:szCs w:val="24"/>
          <w:rtl/>
          <w:lang w:val="en-US" w:bidi="he-IL"/>
        </w:rPr>
        <w:t xml:space="preserve"> השפוטים בלבד. לוח </w:t>
      </w:r>
      <w:r>
        <w:rPr>
          <w:rFonts w:ascii="Times New Roman" w:cs="Times New Roman" w:eastAsia="Times New Roman" w:hAnsi="Times New Roman"/>
          <w:noProof/>
          <w:sz w:val="24"/>
          <w:szCs w:val="24"/>
          <w:lang w:val="en-US" w:bidi="he-IL"/>
        </w:rPr>
        <w:t xml:space="preserve">2</w:t>
      </w:r>
      <w:r>
        <w:rPr>
          <w:rFonts w:ascii="David" w:cs="David" w:eastAsia="David" w:hAnsi="David"/>
          <w:sz w:val="24"/>
          <w:szCs w:val="24"/>
          <w:rtl/>
          <w:lang w:val="en-US" w:bidi="he-IL"/>
        </w:rPr>
        <w:t xml:space="preserve"> מציג את מאפייני הרקע שלהם.</w:t>
      </w:r>
    </w:p>
    <w:p>
      <w:pPr>
        <w:keepNext/>
        <w:bidi/>
        <w:spacing w:after="80" w:before="200" w:line="360"/>
        <w:jc w:val="right"/>
      </w:pPr>
      <w:r>
        <w:rPr>
          <w:rFonts w:ascii="David" w:cs="David" w:eastAsia="David" w:hAnsi="David"/>
          <w:b/>
          <w:bCs/>
          <w:sz w:val="24"/>
          <w:szCs w:val="24"/>
          <w:rtl/>
          <w:lang w:val="en-US" w:bidi="he-IL"/>
        </w:rPr>
        <w:t xml:space="preserve">לוח </w:t>
      </w:r>
      <w:r>
        <w:rPr>
          <w:rFonts w:ascii="Times New Roman" w:cs="Times New Roman" w:eastAsia="Times New Roman" w:hAnsi="Times New Roman"/>
          <w:b/>
          <w:bCs/>
          <w:noProof/>
          <w:sz w:val="24"/>
          <w:szCs w:val="24"/>
          <w:lang w:val="en-US" w:bidi="he-IL"/>
        </w:rPr>
        <w:t xml:space="preserve">2</w:t>
      </w:r>
      <w:r>
        <w:rPr>
          <w:rFonts w:ascii="David" w:cs="David" w:eastAsia="David" w:hAnsi="David"/>
          <w:b/>
          <w:bCs/>
          <w:sz w:val="24"/>
          <w:szCs w:val="24"/>
          <w:rtl/>
          <w:lang w:val="en-US" w:bidi="he-IL"/>
        </w:rPr>
        <w:t xml:space="preserve">: מאפייני הרקע של השפוטים </w:t>
      </w:r>
      <w:r>
        <w:rPr>
          <w:rFonts w:ascii="Times New Roman" w:cs="Times New Roman" w:eastAsia="Times New Roman" w:hAnsi="Times New Roman"/>
          <w:b/>
          <w:bCs/>
          <w:noProof/>
          <w:sz w:val="24"/>
          <w:szCs w:val="24"/>
          <w:lang w:val="en-US" w:bidi="he-IL"/>
        </w:rPr>
        <w:t xml:space="preserve">(N = 2,379)</w:t>
      </w:r>
    </w:p>
    <w:tbl>
      <w:tblPr>
        <w:bidiVisual/>
        <w:tblW w:type="dxa" w:w="8000"/>
        <w:tblBorders>
          <w:top w:val="single" w:color="000000" w:sz="4"/>
          <w:left w:val="none" w:color="FFFFFF" w:sz="0"/>
          <w:bottom w:val="single" w:color="000000" w:sz="4"/>
          <w:right w:val="none" w:color="FFFFFF" w:sz="0"/>
          <w:insideH w:val="none" w:color="FFFFFF" w:sz="0"/>
          <w:insideV w:val="none" w:color="FFFFFF" w:sz="0"/>
        </w:tblBorders>
      </w:tblPr>
      <w:tblGrid>
        <w:gridCol w:w="2600"/>
        <w:gridCol w:w="2800"/>
        <w:gridCol w:w="1300"/>
        <w:gridCol w:w="1300"/>
      </w:tblGrid>
      <w:tr>
        <w:trPr>
          <w:cantSplit/>
          <w:tblHeader/>
        </w:trPr>
        <w:tc>
          <w:tcPr>
            <w:tcW w:type="dxa" w:w="2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משתנה</w:t>
            </w:r>
          </w:p>
        </w:tc>
        <w:tc>
          <w:tcPr>
            <w:tcW w:type="dxa" w:w="2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קטגוריה</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N</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מגדר</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גברים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2,302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96.8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נשים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77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לאום</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יהודים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1,136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47.8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לא יהודים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1,243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52.2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קבוצת גיל</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noProof/>
                <w:sz w:val="22"/>
                <w:szCs w:val="22"/>
                <w:lang w:val="en-US" w:bidi="he-IL"/>
              </w:rPr>
              <w:t xml:space="preserve">18</w:t>
            </w:r>
            <w:r>
              <w:rPr>
                <w:rFonts w:ascii="David" w:cs="David" w:eastAsia="David" w:hAnsi="David"/>
                <w:b w:val="false"/>
                <w:bCs w:val="false"/>
                <w:sz w:val="22"/>
                <w:szCs w:val="22"/>
                <w:rtl/>
                <w:lang w:val="en-US" w:bidi="he-IL"/>
              </w:rPr>
              <w:t xml:space="preserve"> עד </w:t>
            </w:r>
            <w:r>
              <w:rPr>
                <w:rFonts w:ascii="Times New Roman" w:cs="Times New Roman" w:eastAsia="Times New Roman" w:hAnsi="Times New Roman"/>
                <w:b w:val="false"/>
                <w:bCs w:val="false"/>
                <w:noProof/>
                <w:sz w:val="22"/>
                <w:szCs w:val="22"/>
                <w:lang w:val="en-US" w:bidi="he-IL"/>
              </w:rPr>
              <w:t xml:space="preserve">29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683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28.7</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noProof/>
                <w:sz w:val="22"/>
                <w:szCs w:val="22"/>
                <w:lang w:val="en-US" w:bidi="he-IL"/>
              </w:rPr>
              <w:t xml:space="preserve">30</w:t>
            </w:r>
            <w:r>
              <w:rPr>
                <w:rFonts w:ascii="David" w:cs="David" w:eastAsia="David" w:hAnsi="David"/>
                <w:b w:val="false"/>
                <w:bCs w:val="false"/>
                <w:sz w:val="22"/>
                <w:szCs w:val="22"/>
                <w:rtl/>
                <w:lang w:val="en-US" w:bidi="he-IL"/>
              </w:rPr>
              <w:t xml:space="preserve"> עד </w:t>
            </w:r>
            <w:r>
              <w:rPr>
                <w:rFonts w:ascii="Times New Roman" w:cs="Times New Roman" w:eastAsia="Times New Roman" w:hAnsi="Times New Roman"/>
                <w:b w:val="false"/>
                <w:bCs w:val="false"/>
                <w:noProof/>
                <w:sz w:val="22"/>
                <w:szCs w:val="22"/>
                <w:lang w:val="en-US" w:bidi="he-IL"/>
              </w:rPr>
              <w:t xml:space="preserve">39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734</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30.9</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noProof/>
                <w:sz w:val="22"/>
                <w:szCs w:val="22"/>
                <w:lang w:val="en-US" w:bidi="he-IL"/>
              </w:rPr>
              <w:t xml:space="preserve">40</w:t>
            </w:r>
            <w:r>
              <w:rPr>
                <w:rFonts w:ascii="David" w:cs="David" w:eastAsia="David" w:hAnsi="David"/>
                <w:b w:val="false"/>
                <w:bCs w:val="false"/>
                <w:sz w:val="22"/>
                <w:szCs w:val="22"/>
                <w:rtl/>
                <w:lang w:val="en-US" w:bidi="he-IL"/>
              </w:rPr>
              <w:t xml:space="preserve"> עד </w:t>
            </w:r>
            <w:r>
              <w:rPr>
                <w:rFonts w:ascii="Times New Roman" w:cs="Times New Roman" w:eastAsia="Times New Roman" w:hAnsi="Times New Roman"/>
                <w:b w:val="false"/>
                <w:bCs w:val="false"/>
                <w:noProof/>
                <w:sz w:val="22"/>
                <w:szCs w:val="22"/>
                <w:lang w:val="en-US" w:bidi="he-IL"/>
              </w:rPr>
              <w:t xml:space="preserve">59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847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35.6</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noProof/>
                <w:sz w:val="22"/>
                <w:szCs w:val="22"/>
                <w:lang w:val="en-US" w:bidi="he-IL"/>
              </w:rPr>
              <w:t xml:space="preserve">60</w:t>
            </w:r>
            <w:r>
              <w:rPr>
                <w:rFonts w:ascii="David" w:cs="David" w:eastAsia="David" w:hAnsi="David"/>
                <w:b w:val="false"/>
                <w:bCs w:val="false"/>
                <w:sz w:val="22"/>
                <w:szCs w:val="22"/>
                <w:rtl/>
                <w:lang w:val="en-US" w:bidi="he-IL"/>
              </w:rPr>
              <w:t xml:space="preserve"> ויותר</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115</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מספר מאסרים כשפוט</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מאסר ראשון</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1,162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48.8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שני מאסרים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528</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22.2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שלושה ויותר</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689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29.0</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ותק באגף</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פחות משבוע</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56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2.4</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שבוע עד חודש</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219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9.2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חודש עד שלושה חודשים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480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20.2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מעל שלושה חודשים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1,624</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68.3</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במסלול שיקום</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כן</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486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20.4</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לא</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1,893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79.6</w:t>
            </w:r>
          </w:p>
        </w:tc>
      </w:tr>
    </w:tbl>
    <w:p>
      <w:pPr>
        <w:bidi/>
        <w:spacing w:after="200" w:before="60" w:line="276"/>
        <w:jc w:val="right"/>
      </w:pPr>
    </w:p>
    <w:p>
      <w:pPr>
        <w:bidi/>
        <w:spacing w:after="120" w:line="360"/>
        <w:jc w:val="both"/>
      </w:pPr>
      <w:r>
        <w:rPr>
          <w:rFonts w:ascii="David" w:cs="David" w:eastAsia="David" w:hAnsi="David"/>
          <w:sz w:val="24"/>
          <w:szCs w:val="24"/>
          <w:rtl/>
          <w:lang w:val="en-US" w:bidi="he-IL"/>
        </w:rPr>
        <w:t xml:space="preserve">מלוח </w:t>
      </w:r>
      <w:r>
        <w:rPr>
          <w:rFonts w:ascii="Times New Roman" w:cs="Times New Roman" w:eastAsia="Times New Roman" w:hAnsi="Times New Roman"/>
          <w:noProof/>
          <w:sz w:val="24"/>
          <w:szCs w:val="24"/>
          <w:lang w:val="en-US" w:bidi="he-IL"/>
        </w:rPr>
        <w:t xml:space="preserve">2</w:t>
      </w:r>
      <w:r>
        <w:rPr>
          <w:rFonts w:ascii="David" w:cs="David" w:eastAsia="David" w:hAnsi="David"/>
          <w:sz w:val="24"/>
          <w:szCs w:val="24"/>
          <w:rtl/>
          <w:lang w:val="en-US" w:bidi="he-IL"/>
        </w:rPr>
        <w:t xml:space="preserve"> ניתן ללמוד כי אוכלוסיית השפוטים היא בעיקרה גברים בגילי </w:t>
      </w:r>
      <w:r>
        <w:rPr>
          <w:rFonts w:ascii="Times New Roman" w:cs="Times New Roman" w:eastAsia="Times New Roman" w:hAnsi="Times New Roman"/>
          <w:noProof/>
          <w:sz w:val="24"/>
          <w:szCs w:val="24"/>
          <w:lang w:val="en-US" w:bidi="he-IL"/>
        </w:rPr>
        <w:t xml:space="preserve">30</w:t>
      </w:r>
      <w:r>
        <w:rPr>
          <w:rFonts w:ascii="David" w:cs="David" w:eastAsia="David" w:hAnsi="David"/>
          <w:sz w:val="24"/>
          <w:szCs w:val="24"/>
          <w:rtl/>
          <w:lang w:val="en-US" w:bidi="he-IL"/>
        </w:rPr>
        <w:t xml:space="preserve"> עד </w:t>
      </w:r>
      <w:r>
        <w:rPr>
          <w:rFonts w:ascii="Times New Roman" w:cs="Times New Roman" w:eastAsia="Times New Roman" w:hAnsi="Times New Roman"/>
          <w:noProof/>
          <w:sz w:val="24"/>
          <w:szCs w:val="24"/>
          <w:lang w:val="en-US" w:bidi="he-IL"/>
        </w:rPr>
        <w:t xml:space="preserve">59,</w:t>
      </w:r>
      <w:r>
        <w:rPr>
          <w:rFonts w:ascii="David" w:cs="David" w:eastAsia="David" w:hAnsi="David"/>
          <w:sz w:val="24"/>
          <w:szCs w:val="24"/>
          <w:rtl/>
          <w:lang w:val="en-US" w:bidi="he-IL"/>
        </w:rPr>
        <w:t xml:space="preserve"> מחולקת כמעט שווה בשווה בין יהודים ללא יהודים. כמחצית השפוטים במאסרם הראשון, ולמעלה ממחציתם ריצו מאסר קודם. יותר משני שלישים שוהים באגף הנוכחי מעל שלושה חודשים, וכאחד מכל חמישה נמצא במסלול שיקום. חלוקה זו דומה לזו שדווחה בסקר המקורי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w:t>
      </w:r>
    </w:p>
    <w:p>
      <w:pPr>
        <w:pStyle w:val="Heading2"/>
        <w:keepNext/>
        <w:bidi/>
        <w:spacing w:after="120" w:before="240" w:line="360"/>
        <w:jc w:val="right"/>
      </w:pPr>
      <w:r>
        <w:rPr>
          <w:rFonts w:ascii="David" w:cs="David" w:eastAsia="David" w:hAnsi="David"/>
          <w:b/>
          <w:bCs/>
          <w:sz w:val="28"/>
          <w:szCs w:val="28"/>
          <w:rtl/>
          <w:lang w:val="en-US" w:bidi="he-IL"/>
        </w:rPr>
        <w:t xml:space="preserve">סטטיסטיקה תיאורית של הפריטים</w:t>
      </w:r>
    </w:p>
    <w:p>
      <w:pPr>
        <w:bidi/>
        <w:spacing w:after="120" w:line="360"/>
        <w:jc w:val="both"/>
      </w:pPr>
      <w:r>
        <w:rPr>
          <w:rFonts w:ascii="David" w:cs="David" w:eastAsia="David" w:hAnsi="David"/>
          <w:sz w:val="24"/>
          <w:szCs w:val="24"/>
          <w:rtl/>
          <w:lang w:val="en-US" w:bidi="he-IL"/>
        </w:rPr>
        <w:t xml:space="preserve">לוח </w:t>
      </w:r>
      <w:r>
        <w:rPr>
          <w:rFonts w:ascii="Times New Roman" w:cs="Times New Roman" w:eastAsia="Times New Roman" w:hAnsi="Times New Roman"/>
          <w:noProof/>
          <w:sz w:val="24"/>
          <w:szCs w:val="24"/>
          <w:lang w:val="en-US" w:bidi="he-IL"/>
        </w:rPr>
        <w:t xml:space="preserve">3</w:t>
      </w:r>
      <w:r>
        <w:rPr>
          <w:rFonts w:ascii="David" w:cs="David" w:eastAsia="David" w:hAnsi="David"/>
          <w:sz w:val="24"/>
          <w:szCs w:val="24"/>
          <w:rtl/>
          <w:lang w:val="en-US" w:bidi="he-IL"/>
        </w:rPr>
        <w:t xml:space="preserve"> מציג את הממוצעים, סטיות התקן ומדד האסימטריה של שמונת הפריטים המרכיבים את שני הסולמות.</w:t>
      </w:r>
    </w:p>
    <w:p>
      <w:pPr>
        <w:keepNext/>
        <w:bidi/>
        <w:spacing w:after="80" w:before="200" w:line="360"/>
        <w:jc w:val="right"/>
      </w:pPr>
      <w:r>
        <w:rPr>
          <w:rFonts w:ascii="David" w:cs="David" w:eastAsia="David" w:hAnsi="David"/>
          <w:b/>
          <w:bCs/>
          <w:sz w:val="24"/>
          <w:szCs w:val="24"/>
          <w:rtl/>
          <w:lang w:val="en-US" w:bidi="he-IL"/>
        </w:rPr>
        <w:t xml:space="preserve">לוח </w:t>
      </w:r>
      <w:r>
        <w:rPr>
          <w:rFonts w:ascii="Times New Roman" w:cs="Times New Roman" w:eastAsia="Times New Roman" w:hAnsi="Times New Roman"/>
          <w:b/>
          <w:bCs/>
          <w:noProof/>
          <w:sz w:val="24"/>
          <w:szCs w:val="24"/>
          <w:lang w:val="en-US" w:bidi="he-IL"/>
        </w:rPr>
        <w:t xml:space="preserve">3</w:t>
      </w:r>
      <w:r>
        <w:rPr>
          <w:rFonts w:ascii="David" w:cs="David" w:eastAsia="David" w:hAnsi="David"/>
          <w:b/>
          <w:bCs/>
          <w:sz w:val="24"/>
          <w:szCs w:val="24"/>
          <w:rtl/>
          <w:lang w:val="en-US" w:bidi="he-IL"/>
        </w:rPr>
        <w:t xml:space="preserve">: סטטיסטיקה תיאורית של פריטי הלגיטימיות והרווחה הנפשית בקרב השפוטים</w:t>
      </w:r>
    </w:p>
    <w:tbl>
      <w:tblPr>
        <w:bidiVisual/>
        <w:tblW w:type="dxa" w:w="8400"/>
        <w:tblBorders>
          <w:top w:val="single" w:color="000000" w:sz="4"/>
          <w:left w:val="none" w:color="FFFFFF" w:sz="0"/>
          <w:bottom w:val="single" w:color="000000" w:sz="4"/>
          <w:right w:val="none" w:color="FFFFFF" w:sz="0"/>
          <w:insideH w:val="none" w:color="FFFFFF" w:sz="0"/>
          <w:insideV w:val="none" w:color="FFFFFF" w:sz="0"/>
        </w:tblBorders>
      </w:tblPr>
      <w:tblGrid>
        <w:gridCol w:w="4000"/>
        <w:gridCol w:w="1100"/>
        <w:gridCol w:w="1000"/>
        <w:gridCol w:w="1000"/>
        <w:gridCol w:w="1300"/>
      </w:tblGrid>
      <w:tr>
        <w:trPr>
          <w:cantSplit/>
          <w:tblHeader/>
        </w:trPr>
        <w:tc>
          <w:tcPr>
            <w:tcW w:type="dxa" w:w="4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פריט</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N</w:t>
            </w:r>
          </w:p>
        </w:tc>
        <w:tc>
          <w:tcPr>
            <w:tcW w:type="dxa" w:w="1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M</w:t>
            </w:r>
          </w:p>
        </w:tc>
        <w:tc>
          <w:tcPr>
            <w:tcW w:type="dxa" w:w="1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SD</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אסימטריה</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אפשר לדבר עם הסוהרים אם מודאג או עצוב</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4.06</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-1.25</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הסוהרים מתייחסים אליי בכבוד</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2,306</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4.44</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-1.67</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שביעות רצון מהטיפול בבקשות</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2,152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4.25</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-1.58</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הבריאות השתפרה מאז המאסר</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4.05</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-1.14</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הבריאות הגופנית טובה</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3.69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1.23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-0.66</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הבריאות הנפשית טובה</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3.83</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1.20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-0.79</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תחושת שמחה בחודש האחרון</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3.58</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1.15</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-0.55</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שביעות רצון מהחיים בחודש האחרון</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3.75</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-0.70</w:t>
            </w:r>
          </w:p>
        </w:tc>
      </w:tr>
    </w:tbl>
    <w:p>
      <w:pPr>
        <w:bidi/>
        <w:spacing w:after="200" w:before="60" w:line="276"/>
        <w:jc w:val="right"/>
      </w:pPr>
      <w:r>
        <w:rPr>
          <w:rFonts w:ascii="David" w:cs="David" w:eastAsia="David" w:hAnsi="David"/>
          <w:sz w:val="20"/>
          <w:szCs w:val="20"/>
          <w:rtl/>
          <w:lang w:val="en-US" w:bidi="he-IL"/>
        </w:rPr>
        <w:t xml:space="preserve">הערה. כל הפריטים נמדדו בסולם של </w:t>
      </w:r>
      <w:r>
        <w:rPr>
          <w:rFonts w:ascii="Times New Roman" w:cs="Times New Roman" w:eastAsia="Times New Roman" w:hAnsi="Times New Roman"/>
          <w:noProof/>
          <w:sz w:val="20"/>
          <w:szCs w:val="20"/>
          <w:lang w:val="en-US" w:bidi="he-IL"/>
        </w:rPr>
        <w:t xml:space="preserve">1</w:t>
      </w:r>
      <w:r>
        <w:rPr>
          <w:rFonts w:ascii="David" w:cs="David" w:eastAsia="David" w:hAnsi="David"/>
          <w:sz w:val="20"/>
          <w:szCs w:val="20"/>
          <w:rtl/>
          <w:lang w:val="en-US" w:bidi="he-IL"/>
        </w:rPr>
        <w:t xml:space="preserve"> עד </w:t>
      </w:r>
      <w:r>
        <w:rPr>
          <w:rFonts w:ascii="Times New Roman" w:cs="Times New Roman" w:eastAsia="Times New Roman" w:hAnsi="Times New Roman"/>
          <w:noProof/>
          <w:sz w:val="20"/>
          <w:szCs w:val="20"/>
          <w:lang w:val="en-US" w:bidi="he-IL"/>
        </w:rPr>
        <w:t xml:space="preserve">5.</w:t>
      </w:r>
      <w:r>
        <w:rPr>
          <w:rFonts w:ascii="David" w:cs="David" w:eastAsia="David" w:hAnsi="David"/>
          <w:sz w:val="20"/>
          <w:szCs w:val="20"/>
          <w:rtl/>
          <w:lang w:val="en-US" w:bidi="he-IL"/>
        </w:rPr>
        <w:t xml:space="preserve"> מקור: פלט </w:t>
      </w:r>
      <w:r>
        <w:rPr>
          <w:rFonts w:ascii="Times New Roman" w:cs="Times New Roman" w:eastAsia="Times New Roman" w:hAnsi="Times New Roman"/>
          <w:noProof/>
          <w:sz w:val="20"/>
          <w:szCs w:val="20"/>
          <w:lang w:val="en-US" w:bidi="he-IL"/>
        </w:rPr>
        <w:t xml:space="preserve">Frequencies</w:t>
      </w:r>
      <w:r>
        <w:rPr>
          <w:rFonts w:ascii="David" w:cs="David" w:eastAsia="David" w:hAnsi="David"/>
          <w:sz w:val="20"/>
          <w:szCs w:val="20"/>
          <w:rtl/>
          <w:lang w:val="en-US" w:bidi="he-IL"/>
        </w:rPr>
        <w:t xml:space="preserve">, נספח א'.</w:t>
      </w:r>
    </w:p>
    <w:p>
      <w:pPr>
        <w:bidi/>
        <w:spacing w:after="120" w:line="360"/>
        <w:jc w:val="both"/>
      </w:pPr>
      <w:r>
        <w:rPr>
          <w:rFonts w:ascii="David" w:cs="David" w:eastAsia="David" w:hAnsi="David"/>
          <w:sz w:val="24"/>
          <w:szCs w:val="24"/>
          <w:rtl/>
          <w:lang w:val="en-US" w:bidi="he-IL"/>
        </w:rPr>
        <w:t xml:space="preserve">מלוח </w:t>
      </w:r>
      <w:r>
        <w:rPr>
          <w:rFonts w:ascii="Times New Roman" w:cs="Times New Roman" w:eastAsia="Times New Roman" w:hAnsi="Times New Roman"/>
          <w:noProof/>
          <w:sz w:val="24"/>
          <w:szCs w:val="24"/>
          <w:lang w:val="en-US" w:bidi="he-IL"/>
        </w:rPr>
        <w:t xml:space="preserve">3</w:t>
      </w:r>
      <w:r>
        <w:rPr>
          <w:rFonts w:ascii="David" w:cs="David" w:eastAsia="David" w:hAnsi="David"/>
          <w:sz w:val="24"/>
          <w:szCs w:val="24"/>
          <w:rtl/>
          <w:lang w:val="en-US" w:bidi="he-IL"/>
        </w:rPr>
        <w:t xml:space="preserve"> עולה כי שלושת פריטי הלגיטימיות מקבלים ממוצעים גבוהים, והגבוה שבהם הוא היחס המכבד של הסוהרים (</w:t>
      </w:r>
      <w:r>
        <w:rPr>
          <w:rFonts w:ascii="Times New Roman" w:cs="Times New Roman" w:eastAsia="Times New Roman" w:hAnsi="Times New Roman"/>
          <w:noProof/>
          <w:sz w:val="24"/>
          <w:szCs w:val="24"/>
          <w:lang w:val="en-US" w:bidi="he-IL"/>
        </w:rPr>
        <w:t xml:space="preserve">4.44</w:t>
      </w:r>
      <w:r>
        <w:rPr>
          <w:rFonts w:ascii="David" w:cs="David" w:eastAsia="David" w:hAnsi="David"/>
          <w:sz w:val="24"/>
          <w:szCs w:val="24"/>
          <w:rtl/>
          <w:lang w:val="en-US" w:bidi="he-IL"/>
        </w:rPr>
        <w:t xml:space="preserve">). ההתפלגויות מוטות שמאלה, כלומר רוב השפוטים מרוכזים בקצה הגבוה של הסולם. פריטי הרווחה הנפשית נמוכים יותר ומפוזרים יותר: הנמוך שבהם הוא תחושת השמחה בחודש האחרון (</w:t>
      </w:r>
      <w:r>
        <w:rPr>
          <w:rFonts w:ascii="Times New Roman" w:cs="Times New Roman" w:eastAsia="Times New Roman" w:hAnsi="Times New Roman"/>
          <w:noProof/>
          <w:sz w:val="24"/>
          <w:szCs w:val="24"/>
          <w:lang w:val="en-US" w:bidi="he-IL"/>
        </w:rPr>
        <w:t xml:space="preserve">3.58</w:t>
      </w:r>
      <w:r>
        <w:rPr>
          <w:rFonts w:ascii="David" w:cs="David" w:eastAsia="David" w:hAnsi="David"/>
          <w:sz w:val="24"/>
          <w:szCs w:val="24"/>
          <w:rtl/>
          <w:lang w:val="en-US" w:bidi="he-IL"/>
        </w:rPr>
        <w:t xml:space="preserve">), ורק פריט אחד, השיפור בבריאות מאז המאסר, מתקרב לרמת פריטי הלגיטימיות. ממוצעים אלו קרובים מאוד לאלו שדווחו לאגפים הפליליים בסקר המקורי, שם נע ממוצע פריטי הלגיטימיות בין </w:t>
      </w:r>
      <w:r>
        <w:rPr>
          <w:rFonts w:ascii="Times New Roman" w:cs="Times New Roman" w:eastAsia="Times New Roman" w:hAnsi="Times New Roman"/>
          <w:noProof/>
          <w:sz w:val="24"/>
          <w:szCs w:val="24"/>
          <w:lang w:val="en-US" w:bidi="he-IL"/>
        </w:rPr>
        <w:t xml:space="preserve">4.0</w:t>
      </w:r>
      <w:r>
        <w:rPr>
          <w:rFonts w:ascii="David" w:cs="David" w:eastAsia="David" w:hAnsi="David"/>
          <w:sz w:val="24"/>
          <w:szCs w:val="24"/>
          <w:rtl/>
          <w:lang w:val="en-US" w:bidi="he-IL"/>
        </w:rPr>
        <w:t xml:space="preserve"> ל</w:t>
      </w:r>
      <w:r>
        <w:rPr>
          <w:rFonts w:ascii="Times New Roman" w:cs="Times New Roman" w:eastAsia="Times New Roman" w:hAnsi="Times New Roman"/>
          <w:noProof/>
          <w:sz w:val="24"/>
          <w:szCs w:val="24"/>
          <w:lang w:val="en-US" w:bidi="he-IL"/>
        </w:rPr>
        <w:t xml:space="preserve">-4.4</w:t>
      </w:r>
      <w:r>
        <w:rPr>
          <w:rFonts w:ascii="David" w:cs="David" w:eastAsia="David" w:hAnsi="David"/>
          <w:sz w:val="24"/>
          <w:szCs w:val="24"/>
          <w:rtl/>
          <w:lang w:val="en-US" w:bidi="he-IL"/>
        </w:rPr>
        <w:t xml:space="preserve"> וממוצע פריטי הבריאות והרווחה בין </w:t>
      </w:r>
      <w:r>
        <w:rPr>
          <w:rFonts w:ascii="Times New Roman" w:cs="Times New Roman" w:eastAsia="Times New Roman" w:hAnsi="Times New Roman"/>
          <w:noProof/>
          <w:sz w:val="24"/>
          <w:szCs w:val="24"/>
          <w:lang w:val="en-US" w:bidi="he-IL"/>
        </w:rPr>
        <w:t xml:space="preserve">3.6</w:t>
      </w:r>
      <w:r>
        <w:rPr>
          <w:rFonts w:ascii="David" w:cs="David" w:eastAsia="David" w:hAnsi="David"/>
          <w:sz w:val="24"/>
          <w:szCs w:val="24"/>
          <w:rtl/>
          <w:lang w:val="en-US" w:bidi="he-IL"/>
        </w:rPr>
        <w:t xml:space="preserve"> ל</w:t>
      </w:r>
      <w:r>
        <w:rPr>
          <w:rFonts w:ascii="Times New Roman" w:cs="Times New Roman" w:eastAsia="Times New Roman" w:hAnsi="Times New Roman"/>
          <w:noProof/>
          <w:sz w:val="24"/>
          <w:szCs w:val="24"/>
          <w:lang w:val="en-US" w:bidi="he-IL"/>
        </w:rPr>
        <w:t xml:space="preserve">-4.0</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לפריט הטיפול בבקשות </w:t>
      </w:r>
      <w:r>
        <w:rPr>
          <w:rFonts w:ascii="Times New Roman" w:cs="Times New Roman" w:eastAsia="Times New Roman" w:hAnsi="Times New Roman"/>
          <w:noProof/>
          <w:sz w:val="24"/>
          <w:szCs w:val="24"/>
          <w:lang w:val="en-US" w:bidi="he-IL"/>
        </w:rPr>
        <w:t xml:space="preserve">227</w:t>
      </w:r>
      <w:r>
        <w:rPr>
          <w:rFonts w:ascii="David" w:cs="David" w:eastAsia="David" w:hAnsi="David"/>
          <w:sz w:val="24"/>
          <w:szCs w:val="24"/>
          <w:rtl/>
          <w:lang w:val="en-US" w:bidi="he-IL"/>
        </w:rPr>
        <w:t xml:space="preserve"> ערכים חסרים, כנראה משום שלא כל השפוטים הגישו בקשות בתקופת ההתייחסות.</w:t>
      </w:r>
    </w:p>
    <w:p>
      <w:pPr>
        <w:pStyle w:val="Heading2"/>
        <w:keepNext/>
        <w:bidi/>
        <w:spacing w:after="120" w:before="240" w:line="360"/>
        <w:jc w:val="right"/>
      </w:pPr>
      <w:r>
        <w:rPr>
          <w:rFonts w:ascii="David" w:cs="David" w:eastAsia="David" w:hAnsi="David"/>
          <w:b/>
          <w:bCs/>
          <w:sz w:val="28"/>
          <w:szCs w:val="28"/>
          <w:rtl/>
          <w:lang w:val="en-US" w:bidi="he-IL"/>
        </w:rPr>
        <w:t xml:space="preserve">מהימנות הסולמות</w:t>
      </w:r>
    </w:p>
    <w:p>
      <w:pPr>
        <w:bidi/>
        <w:spacing w:after="120" w:line="360"/>
        <w:jc w:val="both"/>
      </w:pPr>
      <w:r>
        <w:rPr>
          <w:rFonts w:ascii="David" w:cs="David" w:eastAsia="David" w:hAnsi="David"/>
          <w:sz w:val="24"/>
          <w:szCs w:val="24"/>
          <w:rtl/>
          <w:lang w:val="en-US" w:bidi="he-IL"/>
        </w:rPr>
        <w:t xml:space="preserve">סולם הרווחה הנפשית מורכב מחמישה פריטים: השיפור בבריאות מאז המאסר, הבריאות הגופנית, הבריאות הנפשית, תחושת השמחה בחודש האחרון ושביעות הרצון מהחיים בחודש האחרון. הסולם מהימן (α = </w:t>
      </w:r>
      <w:r>
        <w:rPr>
          <w:rFonts w:ascii="Times New Roman" w:cs="Times New Roman" w:eastAsia="Times New Roman" w:hAnsi="Times New Roman"/>
          <w:noProof/>
          <w:sz w:val="24"/>
          <w:szCs w:val="24"/>
          <w:lang w:val="en-US" w:bidi="he-IL"/>
        </w:rPr>
        <w:t xml:space="preserve">0.81</w:t>
      </w:r>
      <w:r>
        <w:rPr>
          <w:rFonts w:ascii="David" w:cs="David" w:eastAsia="David" w:hAnsi="David"/>
          <w:sz w:val="24"/>
          <w:szCs w:val="24"/>
          <w:rtl/>
          <w:lang w:val="en-US" w:bidi="he-IL"/>
        </w:rPr>
        <w:t xml:space="preserve">), וכל פריט תורם לו: מתאמי הפריט עם יתר הסולם נעים בין </w:t>
      </w:r>
      <w:r>
        <w:rPr>
          <w:rFonts w:ascii="Times New Roman" w:cs="Times New Roman" w:eastAsia="Times New Roman" w:hAnsi="Times New Roman"/>
          <w:noProof/>
          <w:sz w:val="24"/>
          <w:szCs w:val="24"/>
          <w:lang w:val="en-US" w:bidi="he-IL"/>
        </w:rPr>
        <w:t xml:space="preserve">0.47</w:t>
      </w:r>
      <w:r>
        <w:rPr>
          <w:rFonts w:ascii="David" w:cs="David" w:eastAsia="David" w:hAnsi="David"/>
          <w:sz w:val="24"/>
          <w:szCs w:val="24"/>
          <w:rtl/>
          <w:lang w:val="en-US" w:bidi="he-IL"/>
        </w:rPr>
        <w:t xml:space="preserve"> ל</w:t>
      </w:r>
      <w:r>
        <w:rPr>
          <w:rFonts w:ascii="Times New Roman" w:cs="Times New Roman" w:eastAsia="Times New Roman" w:hAnsi="Times New Roman"/>
          <w:noProof/>
          <w:sz w:val="24"/>
          <w:szCs w:val="24"/>
          <w:lang w:val="en-US" w:bidi="he-IL"/>
        </w:rPr>
        <w:t xml:space="preserve">-0.68,</w:t>
      </w:r>
      <w:r>
        <w:rPr>
          <w:rFonts w:ascii="David" w:cs="David" w:eastAsia="David" w:hAnsi="David"/>
          <w:sz w:val="24"/>
          <w:szCs w:val="24"/>
          <w:rtl/>
          <w:lang w:val="en-US" w:bidi="he-IL"/>
        </w:rPr>
        <w:t xml:space="preserve"> והסרת כל אחד מהפריטים הייתה מורידה את המהימנות. סולם הלגיטימיות מורכב משלושה פריטים: האפשרות לדבר עם הסוהרים כשמודאגים או עצובים, היחס המכבד של הסוהרים ושביעות הרצון מהטיפול בבקשות. מהימנות סולם הלגיטימיות (α = </w:t>
      </w:r>
      <w:r>
        <w:rPr>
          <w:rFonts w:ascii="Times New Roman" w:cs="Times New Roman" w:eastAsia="Times New Roman" w:hAnsi="Times New Roman"/>
          <w:noProof/>
          <w:sz w:val="24"/>
          <w:szCs w:val="24"/>
          <w:lang w:val="en-US" w:bidi="he-IL"/>
        </w:rPr>
        <w:t xml:space="preserve">0.67</w:t>
      </w:r>
      <w:r>
        <w:rPr>
          <w:rFonts w:ascii="David" w:cs="David" w:eastAsia="David" w:hAnsi="David"/>
          <w:sz w:val="24"/>
          <w:szCs w:val="24"/>
          <w:rtl/>
          <w:lang w:val="en-US" w:bidi="he-IL"/>
        </w:rPr>
        <w:t xml:space="preserve">) נמוכה מעט מהסף המקובל של </w:t>
      </w:r>
      <w:r>
        <w:rPr>
          <w:rFonts w:ascii="Times New Roman" w:cs="Times New Roman" w:eastAsia="Times New Roman" w:hAnsi="Times New Roman"/>
          <w:noProof/>
          <w:sz w:val="24"/>
          <w:szCs w:val="24"/>
          <w:lang w:val="en-US" w:bidi="he-IL"/>
        </w:rPr>
        <w:t xml:space="preserve">0.70,</w:t>
      </w:r>
      <w:r>
        <w:rPr>
          <w:rFonts w:ascii="David" w:cs="David" w:eastAsia="David" w:hAnsi="David"/>
          <w:sz w:val="24"/>
          <w:szCs w:val="24"/>
          <w:rtl/>
          <w:lang w:val="en-US" w:bidi="he-IL"/>
        </w:rPr>
        <w:t xml:space="preserve"> אך זהה למהימנות שדווחה לקובץ הסינתטי וקרובה ל</w:t>
      </w:r>
      <w:r>
        <w:rPr>
          <w:rFonts w:ascii="Times New Roman" w:cs="Times New Roman" w:eastAsia="Times New Roman" w:hAnsi="Times New Roman"/>
          <w:noProof/>
          <w:sz w:val="24"/>
          <w:szCs w:val="24"/>
          <w:lang w:val="en-US" w:bidi="he-IL"/>
        </w:rPr>
        <w:t xml:space="preserve">-0.72</w:t>
      </w:r>
      <w:r>
        <w:rPr>
          <w:rFonts w:ascii="David" w:cs="David" w:eastAsia="David" w:hAnsi="David"/>
          <w:sz w:val="24"/>
          <w:szCs w:val="24"/>
          <w:rtl/>
          <w:lang w:val="en-US" w:bidi="he-IL"/>
        </w:rPr>
        <w:t xml:space="preserve"> שנמצאה בסקר המקורי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חומרי הקורס, יולי </w:t>
      </w:r>
      <w:r>
        <w:rPr>
          <w:rFonts w:ascii="Times New Roman" w:cs="Times New Roman" w:eastAsia="Times New Roman" w:hAnsi="Times New Roman"/>
          <w:noProof/>
          <w:sz w:val="24"/>
          <w:szCs w:val="24"/>
          <w:lang w:val="en-US" w:bidi="he-IL"/>
        </w:rPr>
        <w:t xml:space="preserve">2026</w:t>
      </w:r>
      <w:r>
        <w:rPr>
          <w:rFonts w:ascii="David" w:cs="David" w:eastAsia="David" w:hAnsi="David"/>
          <w:sz w:val="24"/>
          <w:szCs w:val="24"/>
          <w:rtl/>
          <w:lang w:val="en-US" w:bidi="he-IL"/>
        </w:rPr>
        <w:t xml:space="preserve">). לסולם שלושה פריטים בלבד, ומקדם אלפא רגיש למספר הפריטים. שני הפריטים העוסקים ביחס הישיר של הסוהרים, האפשרות לדבר עימם והיחס המכבד, קשורים זה לזה בחוזקה (</w:t>
      </w:r>
      <w:r>
        <w:rPr>
          <w:rFonts w:ascii="Times New Roman" w:cs="Times New Roman" w:eastAsia="Times New Roman" w:hAnsi="Times New Roman"/>
          <w:noProof/>
          <w:sz w:val="24"/>
          <w:szCs w:val="24"/>
          <w:lang w:val="en-US" w:bidi="he-IL"/>
        </w:rPr>
        <w:t xml:space="preserve">0.55</w:t>
      </w:r>
      <w:r>
        <w:rPr>
          <w:rFonts w:ascii="David" w:cs="David" w:eastAsia="David" w:hAnsi="David"/>
          <w:sz w:val="24"/>
          <w:szCs w:val="24"/>
          <w:rtl/>
          <w:lang w:val="en-US" w:bidi="he-IL"/>
        </w:rPr>
        <w:t xml:space="preserve">), ואילו פריט הטיפול בבקשות קשור אליהם פחות (</w:t>
      </w:r>
      <w:r>
        <w:rPr>
          <w:rFonts w:ascii="Times New Roman" w:cs="Times New Roman" w:eastAsia="Times New Roman" w:hAnsi="Times New Roman"/>
          <w:noProof/>
          <w:sz w:val="24"/>
          <w:szCs w:val="24"/>
          <w:lang w:val="en-US" w:bidi="he-IL"/>
        </w:rPr>
        <w:t xml:space="preserve">0.33</w:t>
      </w:r>
      <w:r>
        <w:rPr>
          <w:rFonts w:ascii="David" w:cs="David" w:eastAsia="David" w:hAnsi="David"/>
          <w:sz w:val="24"/>
          <w:szCs w:val="24"/>
          <w:rtl/>
          <w:lang w:val="en-US" w:bidi="he-IL"/>
        </w:rPr>
        <w:t xml:space="preserve"> ו</w:t>
      </w:r>
      <w:r>
        <w:rPr>
          <w:rFonts w:ascii="Times New Roman" w:cs="Times New Roman" w:eastAsia="Times New Roman" w:hAnsi="Times New Roman"/>
          <w:noProof/>
          <w:sz w:val="24"/>
          <w:szCs w:val="24"/>
          <w:lang w:val="en-US" w:bidi="he-IL"/>
        </w:rPr>
        <w:t xml:space="preserve">-0.37</w:t>
      </w:r>
      <w:r>
        <w:rPr>
          <w:rFonts w:ascii="David" w:cs="David" w:eastAsia="David" w:hAnsi="David"/>
          <w:sz w:val="24"/>
          <w:szCs w:val="24"/>
          <w:rtl/>
          <w:lang w:val="en-US" w:bidi="he-IL"/>
        </w:rPr>
        <w:t xml:space="preserve">), והסרתו הייתה מעלה את מקדם אלפא ל</w:t>
      </w:r>
      <w:r>
        <w:rPr>
          <w:rFonts w:ascii="Times New Roman" w:cs="Times New Roman" w:eastAsia="Times New Roman" w:hAnsi="Times New Roman"/>
          <w:noProof/>
          <w:sz w:val="24"/>
          <w:szCs w:val="24"/>
          <w:lang w:val="en-US" w:bidi="he-IL"/>
        </w:rPr>
        <w:t xml:space="preserve">-0.69.</w:t>
      </w:r>
      <w:r>
        <w:rPr>
          <w:rFonts w:ascii="David" w:cs="David" w:eastAsia="David" w:hAnsi="David"/>
          <w:sz w:val="24"/>
          <w:szCs w:val="24"/>
          <w:rtl/>
          <w:lang w:val="en-US" w:bidi="he-IL"/>
        </w:rPr>
        <w:t xml:space="preserve"> הוחלט להשאירו, משום שהטיפול בבקשות הוא ליבת ההוגנות הפרוצדורלית אצל </w:t>
      </w:r>
      <w:r>
        <w:rPr>
          <w:rFonts w:ascii="David" w:cs="David" w:eastAsia="David" w:hAnsi="David"/>
          <w:noProof/>
          <w:sz w:val="24"/>
          <w:szCs w:val="24"/>
          <w:rtl/>
          <w:lang w:val="en-US" w:bidi="he-IL"/>
        </w:rPr>
        <w:t xml:space="preserve">ספרקס</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ובוטומס</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1995</w:t>
      </w:r>
      <w:r>
        <w:rPr>
          <w:rFonts w:ascii="David" w:cs="David" w:eastAsia="David" w:hAnsi="David"/>
          <w:sz w:val="24"/>
          <w:szCs w:val="24"/>
          <w:rtl/>
          <w:lang w:val="en-US" w:bidi="he-IL"/>
        </w:rPr>
        <w:t xml:space="preserve">) ומשום שכך נבנה הסולם בפרסום המקורי.</w:t>
      </w:r>
    </w:p>
    <w:p>
      <w:pPr>
        <w:pStyle w:val="Heading2"/>
        <w:keepNext/>
        <w:bidi/>
        <w:spacing w:after="120" w:before="240" w:line="360"/>
        <w:jc w:val="right"/>
      </w:pPr>
      <w:r>
        <w:rPr>
          <w:rFonts w:ascii="David" w:cs="David" w:eastAsia="David" w:hAnsi="David"/>
          <w:b/>
          <w:bCs/>
          <w:sz w:val="28"/>
          <w:szCs w:val="28"/>
          <w:rtl/>
          <w:lang w:val="en-US" w:bidi="he-IL"/>
        </w:rPr>
        <w:t xml:space="preserve">ממוצעי הסולמות</w:t>
      </w:r>
    </w:p>
    <w:p>
      <w:pPr>
        <w:bidi/>
        <w:spacing w:after="120" w:line="360"/>
        <w:jc w:val="both"/>
      </w:pPr>
      <w:r>
        <w:rPr>
          <w:rFonts w:ascii="David" w:cs="David" w:eastAsia="David" w:hAnsi="David"/>
          <w:sz w:val="24"/>
          <w:szCs w:val="24"/>
          <w:rtl/>
          <w:lang w:val="en-US" w:bidi="he-IL"/>
        </w:rPr>
        <w:t xml:space="preserve">לוח </w:t>
      </w:r>
      <w:r>
        <w:rPr>
          <w:rFonts w:ascii="Times New Roman" w:cs="Times New Roman" w:eastAsia="Times New Roman" w:hAnsi="Times New Roman"/>
          <w:noProof/>
          <w:sz w:val="24"/>
          <w:szCs w:val="24"/>
          <w:lang w:val="en-US" w:bidi="he-IL"/>
        </w:rPr>
        <w:t xml:space="preserve">4</w:t>
      </w:r>
      <w:r>
        <w:rPr>
          <w:rFonts w:ascii="David" w:cs="David" w:eastAsia="David" w:hAnsi="David"/>
          <w:sz w:val="24"/>
          <w:szCs w:val="24"/>
          <w:rtl/>
          <w:lang w:val="en-US" w:bidi="he-IL"/>
        </w:rPr>
        <w:t xml:space="preserve"> מציג את הסטטיסטיקה התיאורית של שני ציוני הסולמות.</w:t>
      </w:r>
    </w:p>
    <w:p>
      <w:pPr>
        <w:keepNext/>
        <w:bidi/>
        <w:spacing w:after="80" w:before="200" w:line="360"/>
        <w:jc w:val="right"/>
      </w:pPr>
      <w:r>
        <w:rPr>
          <w:rFonts w:ascii="David" w:cs="David" w:eastAsia="David" w:hAnsi="David"/>
          <w:b/>
          <w:bCs/>
          <w:sz w:val="24"/>
          <w:szCs w:val="24"/>
          <w:rtl/>
          <w:lang w:val="en-US" w:bidi="he-IL"/>
        </w:rPr>
        <w:t xml:space="preserve">לוח </w:t>
      </w:r>
      <w:r>
        <w:rPr>
          <w:rFonts w:ascii="Times New Roman" w:cs="Times New Roman" w:eastAsia="Times New Roman" w:hAnsi="Times New Roman"/>
          <w:b/>
          <w:bCs/>
          <w:noProof/>
          <w:sz w:val="24"/>
          <w:szCs w:val="24"/>
          <w:lang w:val="en-US" w:bidi="he-IL"/>
        </w:rPr>
        <w:t xml:space="preserve">4</w:t>
      </w:r>
      <w:r>
        <w:rPr>
          <w:rFonts w:ascii="David" w:cs="David" w:eastAsia="David" w:hAnsi="David"/>
          <w:b/>
          <w:bCs/>
          <w:sz w:val="24"/>
          <w:szCs w:val="24"/>
          <w:rtl/>
          <w:lang w:val="en-US" w:bidi="he-IL"/>
        </w:rPr>
        <w:t xml:space="preserve">: סטטיסטיקה תיאורית של ציוני הלגיטימיות והרווחה הנפשית (שפוטים)</w:t>
      </w:r>
    </w:p>
    <w:tbl>
      <w:tblPr>
        <w:bidiVisual/>
        <w:tblW w:type="dxa" w:w="8800"/>
        <w:tblBorders>
          <w:top w:val="single" w:color="000000" w:sz="4"/>
          <w:left w:val="none" w:color="FFFFFF" w:sz="0"/>
          <w:bottom w:val="single" w:color="000000" w:sz="4"/>
          <w:right w:val="none" w:color="FFFFFF" w:sz="0"/>
          <w:insideH w:val="none" w:color="FFFFFF" w:sz="0"/>
          <w:insideV w:val="none" w:color="FFFFFF" w:sz="0"/>
        </w:tblBorders>
      </w:tblPr>
      <w:tblGrid>
        <w:gridCol w:w="2400"/>
        <w:gridCol w:w="1000"/>
        <w:gridCol w:w="900"/>
        <w:gridCol w:w="900"/>
        <w:gridCol w:w="1200"/>
        <w:gridCol w:w="1200"/>
        <w:gridCol w:w="1200"/>
      </w:tblGrid>
      <w:tr>
        <w:trPr>
          <w:cantSplit/>
          <w:tblHeader/>
        </w:trPr>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משתנה</w:t>
            </w:r>
          </w:p>
        </w:tc>
        <w:tc>
          <w:tcPr>
            <w:tcW w:type="dxa" w:w="1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N</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M</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SD</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טווח</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אסימטריה</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גבנוניות</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לגיטימיות הסגל</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2,344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4.24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0.83</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noProof/>
                <w:sz w:val="22"/>
                <w:szCs w:val="22"/>
                <w:lang w:val="en-US" w:bidi="he-IL"/>
              </w:rPr>
              <w:t xml:space="preserve">1</w:t>
            </w:r>
            <w:r>
              <w:rPr>
                <w:rFonts w:ascii="David" w:cs="David" w:eastAsia="David" w:hAnsi="David"/>
                <w:b w:val="false"/>
                <w:bCs w:val="false"/>
                <w:sz w:val="22"/>
                <w:szCs w:val="22"/>
                <w:rtl/>
                <w:lang w:val="en-US" w:bidi="he-IL"/>
              </w:rPr>
              <w:t xml:space="preserve"> עד </w:t>
            </w:r>
            <w:r>
              <w:rPr>
                <w:rFonts w:ascii="Times New Roman" w:cs="Times New Roman" w:eastAsia="Times New Roman" w:hAnsi="Times New Roman"/>
                <w:b w:val="false"/>
                <w:bCs w:val="false"/>
                <w:noProof/>
                <w:sz w:val="22"/>
                <w:szCs w:val="22"/>
                <w:lang w:val="en-US" w:bidi="he-IL"/>
              </w:rPr>
              <w:t xml:space="preserve">5</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-1.16</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0.94</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רווחה נפשית</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3.78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0.87</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noProof/>
                <w:sz w:val="22"/>
                <w:szCs w:val="22"/>
                <w:lang w:val="en-US" w:bidi="he-IL"/>
              </w:rPr>
              <w:t xml:space="preserve">1</w:t>
            </w:r>
            <w:r>
              <w:rPr>
                <w:rFonts w:ascii="David" w:cs="David" w:eastAsia="David" w:hAnsi="David"/>
                <w:b w:val="false"/>
                <w:bCs w:val="false"/>
                <w:sz w:val="22"/>
                <w:szCs w:val="22"/>
                <w:rtl/>
                <w:lang w:val="en-US" w:bidi="he-IL"/>
              </w:rPr>
              <w:t xml:space="preserve"> עד </w:t>
            </w:r>
            <w:r>
              <w:rPr>
                <w:rFonts w:ascii="Times New Roman" w:cs="Times New Roman" w:eastAsia="Times New Roman" w:hAnsi="Times New Roman"/>
                <w:b w:val="false"/>
                <w:bCs w:val="false"/>
                <w:noProof/>
                <w:sz w:val="22"/>
                <w:szCs w:val="22"/>
                <w:lang w:val="en-US" w:bidi="he-IL"/>
              </w:rPr>
              <w:t xml:space="preserve">5</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-0.59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-0.01</w:t>
            </w:r>
          </w:p>
        </w:tc>
      </w:tr>
    </w:tbl>
    <w:p>
      <w:pPr>
        <w:bidi/>
        <w:spacing w:after="200" w:before="60" w:line="276"/>
        <w:jc w:val="right"/>
      </w:pPr>
      <w:r>
        <w:rPr>
          <w:rFonts w:ascii="David" w:cs="David" w:eastAsia="David" w:hAnsi="David"/>
          <w:sz w:val="20"/>
          <w:szCs w:val="20"/>
          <w:rtl/>
          <w:lang w:val="en-US" w:bidi="he-IL"/>
        </w:rPr>
        <w:t xml:space="preserve">הערה. מבחני </w:t>
      </w:r>
      <w:r>
        <w:rPr>
          <w:rFonts w:ascii="David" w:cs="David" w:eastAsia="David" w:hAnsi="David"/>
          <w:noProof/>
          <w:sz w:val="20"/>
          <w:szCs w:val="20"/>
          <w:rtl/>
          <w:lang w:val="en-US" w:bidi="he-IL"/>
        </w:rPr>
        <w:t xml:space="preserve">קולמוגורוב-סמירנוב</w:t>
      </w:r>
      <w:r>
        <w:rPr>
          <w:rFonts w:ascii="David" w:cs="David" w:eastAsia="David" w:hAnsi="David"/>
          <w:sz w:val="20"/>
          <w:szCs w:val="20"/>
          <w:rtl/>
          <w:lang w:val="en-US" w:bidi="he-IL"/>
        </w:rPr>
        <w:t xml:space="preserve"> </w:t>
      </w:r>
      <w:r>
        <w:rPr>
          <w:rFonts w:ascii="David" w:cs="David" w:eastAsia="David" w:hAnsi="David"/>
          <w:noProof/>
          <w:sz w:val="20"/>
          <w:szCs w:val="20"/>
          <w:rtl/>
          <w:lang w:val="en-US" w:bidi="he-IL"/>
        </w:rPr>
        <w:t xml:space="preserve">ושפירו-וילק</w:t>
      </w:r>
      <w:r>
        <w:rPr>
          <w:rFonts w:ascii="David" w:cs="David" w:eastAsia="David" w:hAnsi="David"/>
          <w:sz w:val="20"/>
          <w:szCs w:val="20"/>
          <w:rtl/>
          <w:lang w:val="en-US" w:bidi="he-IL"/>
        </w:rPr>
        <w:t xml:space="preserve"> מובהקים לשני המשתנים </w:t>
      </w:r>
      <w:r>
        <w:rPr>
          <w:rFonts w:ascii="Times New Roman" w:cs="Times New Roman" w:eastAsia="Times New Roman" w:hAnsi="Times New Roman"/>
          <w:noProof/>
          <w:sz w:val="20"/>
          <w:szCs w:val="20"/>
          <w:lang w:val="en-US" w:bidi="he-IL"/>
        </w:rPr>
        <w:t xml:space="preserve">(p &lt; 0.001)</w:t>
      </w:r>
      <w:r>
        <w:rPr>
          <w:rFonts w:ascii="David" w:cs="David" w:eastAsia="David" w:hAnsi="David"/>
          <w:sz w:val="20"/>
          <w:szCs w:val="20"/>
          <w:rtl/>
          <w:lang w:val="en-US" w:bidi="he-IL"/>
        </w:rPr>
        <w:t xml:space="preserve">. מקור: פלטי </w:t>
      </w:r>
      <w:r>
        <w:rPr>
          <w:rFonts w:ascii="Times New Roman" w:cs="Times New Roman" w:eastAsia="Times New Roman" w:hAnsi="Times New Roman"/>
          <w:noProof/>
          <w:sz w:val="20"/>
          <w:szCs w:val="20"/>
          <w:lang w:val="en-US" w:bidi="he-IL"/>
        </w:rPr>
        <w:t xml:space="preserve">Descriptives</w:t>
      </w:r>
      <w:r>
        <w:rPr>
          <w:rFonts w:ascii="David" w:cs="David" w:eastAsia="David" w:hAnsi="David"/>
          <w:sz w:val="20"/>
          <w:szCs w:val="20"/>
          <w:rtl/>
          <w:lang w:val="en-US" w:bidi="he-IL"/>
        </w:rPr>
        <w:t xml:space="preserve"> ו-</w:t>
      </w:r>
      <w:r>
        <w:rPr>
          <w:rFonts w:ascii="Times New Roman" w:cs="Times New Roman" w:eastAsia="Times New Roman" w:hAnsi="Times New Roman"/>
          <w:noProof/>
          <w:sz w:val="20"/>
          <w:szCs w:val="20"/>
          <w:lang w:val="en-US" w:bidi="he-IL"/>
        </w:rPr>
        <w:t xml:space="preserve">Explore</w:t>
      </w:r>
      <w:r>
        <w:rPr>
          <w:rFonts w:ascii="David" w:cs="David" w:eastAsia="David" w:hAnsi="David"/>
          <w:sz w:val="20"/>
          <w:szCs w:val="20"/>
          <w:rtl/>
          <w:lang w:val="en-US" w:bidi="he-IL"/>
        </w:rPr>
        <w:t xml:space="preserve">, נספח א'.</w:t>
      </w:r>
    </w:p>
    <w:p>
      <w:pPr>
        <w:bidi/>
        <w:spacing w:after="120" w:line="360"/>
        <w:jc w:val="both"/>
      </w:pPr>
      <w:r>
        <w:rPr>
          <w:rFonts w:ascii="David" w:cs="David" w:eastAsia="David" w:hAnsi="David"/>
          <w:sz w:val="24"/>
          <w:szCs w:val="24"/>
          <w:rtl/>
          <w:lang w:val="en-US" w:bidi="he-IL"/>
        </w:rPr>
        <w:t xml:space="preserve">מלוח </w:t>
      </w:r>
      <w:r>
        <w:rPr>
          <w:rFonts w:ascii="Times New Roman" w:cs="Times New Roman" w:eastAsia="Times New Roman" w:hAnsi="Times New Roman"/>
          <w:noProof/>
          <w:sz w:val="24"/>
          <w:szCs w:val="24"/>
          <w:lang w:val="en-US" w:bidi="he-IL"/>
        </w:rPr>
        <w:t xml:space="preserve">4</w:t>
      </w:r>
      <w:r>
        <w:rPr>
          <w:rFonts w:ascii="David" w:cs="David" w:eastAsia="David" w:hAnsi="David"/>
          <w:sz w:val="24"/>
          <w:szCs w:val="24"/>
          <w:rtl/>
          <w:lang w:val="en-US" w:bidi="he-IL"/>
        </w:rPr>
        <w:t xml:space="preserve"> עולה כי ממוצע הלגיטימיות (</w:t>
      </w:r>
      <w:r>
        <w:rPr>
          <w:rFonts w:ascii="Times New Roman" w:cs="Times New Roman" w:eastAsia="Times New Roman" w:hAnsi="Times New Roman"/>
          <w:noProof/>
          <w:sz w:val="24"/>
          <w:szCs w:val="24"/>
          <w:lang w:val="en-US" w:bidi="he-IL"/>
        </w:rPr>
        <w:t xml:space="preserve">4.24</w:t>
      </w:r>
      <w:r>
        <w:rPr>
          <w:rFonts w:ascii="David" w:cs="David" w:eastAsia="David" w:hAnsi="David"/>
          <w:sz w:val="24"/>
          <w:szCs w:val="24"/>
          <w:rtl/>
          <w:lang w:val="en-US" w:bidi="he-IL"/>
        </w:rPr>
        <w:t xml:space="preserve">) גבוה ומתקרב לתקרת הסולם, בעוד ממוצע הרווחה הנפשית (</w:t>
      </w:r>
      <w:r>
        <w:rPr>
          <w:rFonts w:ascii="Times New Roman" w:cs="Times New Roman" w:eastAsia="Times New Roman" w:hAnsi="Times New Roman"/>
          <w:noProof/>
          <w:sz w:val="24"/>
          <w:szCs w:val="24"/>
          <w:lang w:val="en-US" w:bidi="he-IL"/>
        </w:rPr>
        <w:t xml:space="preserve">3.78</w:t>
      </w:r>
      <w:r>
        <w:rPr>
          <w:rFonts w:ascii="David" w:cs="David" w:eastAsia="David" w:hAnsi="David"/>
          <w:sz w:val="24"/>
          <w:szCs w:val="24"/>
          <w:rtl/>
          <w:lang w:val="en-US" w:bidi="he-IL"/>
        </w:rPr>
        <w:t xml:space="preserve">) נמוך ממנו כמעט בחצי נקודה, וסטיות התקן דומות. הממוצעים קרובים לאלו שדווחו לשפוטים בסקר המקורי, </w:t>
      </w:r>
      <w:r>
        <w:rPr>
          <w:rFonts w:ascii="Times New Roman" w:cs="Times New Roman" w:eastAsia="Times New Roman" w:hAnsi="Times New Roman"/>
          <w:noProof/>
          <w:sz w:val="24"/>
          <w:szCs w:val="24"/>
          <w:lang w:val="en-US" w:bidi="he-IL"/>
        </w:rPr>
        <w:t xml:space="preserve">4.28</w:t>
      </w:r>
      <w:r>
        <w:rPr>
          <w:rFonts w:ascii="David" w:cs="David" w:eastAsia="David" w:hAnsi="David"/>
          <w:sz w:val="24"/>
          <w:szCs w:val="24"/>
          <w:rtl/>
          <w:lang w:val="en-US" w:bidi="he-IL"/>
        </w:rPr>
        <w:t xml:space="preserve"> ללגיטימיות ו</w:t>
      </w:r>
      <w:r>
        <w:rPr>
          <w:rFonts w:ascii="Times New Roman" w:cs="Times New Roman" w:eastAsia="Times New Roman" w:hAnsi="Times New Roman"/>
          <w:noProof/>
          <w:sz w:val="24"/>
          <w:szCs w:val="24"/>
          <w:lang w:val="en-US" w:bidi="he-IL"/>
        </w:rPr>
        <w:t xml:space="preserve">-3.84</w:t>
      </w:r>
      <w:r>
        <w:rPr>
          <w:rFonts w:ascii="David" w:cs="David" w:eastAsia="David" w:hAnsi="David"/>
          <w:sz w:val="24"/>
          <w:szCs w:val="24"/>
          <w:rtl/>
          <w:lang w:val="en-US" w:bidi="he-IL"/>
        </w:rPr>
        <w:t xml:space="preserve"> לבריאות ולרווחה נפשית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התפלגות הלגיטימיות מוטה שמאלה באופן ניכר, ושני מבחני הנורמליות מובהקים. בשל גודל המדגם מבחנים אלו רגישים גם לסטיות קטנות, ומקדמי הצורה נמצאים בטווח שבו מתאם </w:t>
      </w:r>
      <w:r>
        <w:rPr>
          <w:rFonts w:ascii="David" w:cs="David" w:eastAsia="David" w:hAnsi="David"/>
          <w:noProof/>
          <w:sz w:val="24"/>
          <w:szCs w:val="24"/>
          <w:rtl/>
          <w:lang w:val="en-US" w:bidi="he-IL"/>
        </w:rPr>
        <w:t xml:space="preserve">פירסון</w:t>
      </w:r>
      <w:r>
        <w:rPr>
          <w:rFonts w:ascii="David" w:cs="David" w:eastAsia="David" w:hAnsi="David"/>
          <w:sz w:val="24"/>
          <w:szCs w:val="24"/>
          <w:rtl/>
          <w:lang w:val="en-US" w:bidi="he-IL"/>
        </w:rPr>
        <w:t xml:space="preserve"> עדיין תקף, אך כדי לחזק את הביטחון בממצא חושב לצדו גם מתאם </w:t>
      </w:r>
      <w:r>
        <w:rPr>
          <w:rFonts w:ascii="David" w:cs="David" w:eastAsia="David" w:hAnsi="David"/>
          <w:noProof/>
          <w:sz w:val="24"/>
          <w:szCs w:val="24"/>
          <w:rtl/>
          <w:lang w:val="en-US" w:bidi="he-IL"/>
        </w:rPr>
        <w:t xml:space="preserve">ספירמן</w:t>
      </w:r>
      <w:r>
        <w:rPr>
          <w:rFonts w:ascii="David" w:cs="David" w:eastAsia="David" w:hAnsi="David"/>
          <w:sz w:val="24"/>
          <w:szCs w:val="24"/>
          <w:rtl/>
          <w:lang w:val="en-US" w:bidi="he-IL"/>
        </w:rPr>
        <w:t xml:space="preserve">.</w:t>
      </w:r>
    </w:p>
    <w:p>
      <w:pPr>
        <w:pStyle w:val="Heading2"/>
        <w:keepNext/>
        <w:bidi/>
        <w:spacing w:after="120" w:before="240" w:line="360"/>
        <w:jc w:val="right"/>
      </w:pPr>
      <w:r>
        <w:rPr>
          <w:rFonts w:ascii="David" w:cs="David" w:eastAsia="David" w:hAnsi="David"/>
          <w:b/>
          <w:bCs/>
          <w:sz w:val="28"/>
          <w:szCs w:val="28"/>
          <w:rtl/>
          <w:lang w:val="en-US" w:bidi="he-IL"/>
        </w:rPr>
        <w:t xml:space="preserve">הקשר בין רווחה נפשית ללגיטימיות</w:t>
      </w:r>
    </w:p>
    <w:p>
      <w:pPr>
        <w:bidi/>
        <w:spacing w:after="120" w:line="360"/>
        <w:jc w:val="both"/>
      </w:pPr>
      <w:r>
        <w:rPr>
          <w:rFonts w:ascii="David" w:cs="David" w:eastAsia="David" w:hAnsi="David"/>
          <w:sz w:val="24"/>
          <w:szCs w:val="24"/>
          <w:rtl/>
          <w:lang w:val="en-US" w:bidi="he-IL"/>
        </w:rPr>
        <w:t xml:space="preserve">כדי לבחון את השערת המחקר חושבו מתאמי </w:t>
      </w:r>
      <w:r>
        <w:rPr>
          <w:rFonts w:ascii="David" w:cs="David" w:eastAsia="David" w:hAnsi="David"/>
          <w:noProof/>
          <w:sz w:val="24"/>
          <w:szCs w:val="24"/>
          <w:rtl/>
          <w:lang w:val="en-US" w:bidi="he-IL"/>
        </w:rPr>
        <w:t xml:space="preserve">פירסון</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וספירמן</w:t>
      </w:r>
      <w:r>
        <w:rPr>
          <w:rFonts w:ascii="David" w:cs="David" w:eastAsia="David" w:hAnsi="David"/>
          <w:sz w:val="24"/>
          <w:szCs w:val="24"/>
          <w:rtl/>
          <w:lang w:val="en-US" w:bidi="he-IL"/>
        </w:rPr>
        <w:t xml:space="preserve"> בין ציון הרווחה הנפשית לציון הלגיטימיות, וכן מתאמי </w:t>
      </w:r>
      <w:r>
        <w:rPr>
          <w:rFonts w:ascii="David" w:cs="David" w:eastAsia="David" w:hAnsi="David"/>
          <w:noProof/>
          <w:sz w:val="24"/>
          <w:szCs w:val="24"/>
          <w:rtl/>
          <w:lang w:val="en-US" w:bidi="he-IL"/>
        </w:rPr>
        <w:t xml:space="preserve">ספירמן</w:t>
      </w:r>
      <w:r>
        <w:rPr>
          <w:rFonts w:ascii="David" w:cs="David" w:eastAsia="David" w:hAnsi="David"/>
          <w:sz w:val="24"/>
          <w:szCs w:val="24"/>
          <w:rtl/>
          <w:lang w:val="en-US" w:bidi="he-IL"/>
        </w:rPr>
        <w:t xml:space="preserve"> בין הרווחה לכל אחד מפריטי הלגיטימיות. לוח </w:t>
      </w:r>
      <w:r>
        <w:rPr>
          <w:rFonts w:ascii="Times New Roman" w:cs="Times New Roman" w:eastAsia="Times New Roman" w:hAnsi="Times New Roman"/>
          <w:noProof/>
          <w:sz w:val="24"/>
          <w:szCs w:val="24"/>
          <w:lang w:val="en-US" w:bidi="he-IL"/>
        </w:rPr>
        <w:t xml:space="preserve">5</w:t>
      </w:r>
      <w:r>
        <w:rPr>
          <w:rFonts w:ascii="David" w:cs="David" w:eastAsia="David" w:hAnsi="David"/>
          <w:sz w:val="24"/>
          <w:szCs w:val="24"/>
          <w:rtl/>
          <w:lang w:val="en-US" w:bidi="he-IL"/>
        </w:rPr>
        <w:t xml:space="preserve"> מציג את התוצאות.</w:t>
      </w:r>
    </w:p>
    <w:p>
      <w:pPr>
        <w:keepNext/>
        <w:bidi/>
        <w:spacing w:after="80" w:before="200" w:line="360"/>
        <w:jc w:val="right"/>
      </w:pPr>
      <w:r>
        <w:rPr>
          <w:rFonts w:ascii="David" w:cs="David" w:eastAsia="David" w:hAnsi="David"/>
          <w:b/>
          <w:bCs/>
          <w:sz w:val="24"/>
          <w:szCs w:val="24"/>
          <w:rtl/>
          <w:lang w:val="en-US" w:bidi="he-IL"/>
        </w:rPr>
        <w:t xml:space="preserve">לוח </w:t>
      </w:r>
      <w:r>
        <w:rPr>
          <w:rFonts w:ascii="Times New Roman" w:cs="Times New Roman" w:eastAsia="Times New Roman" w:hAnsi="Times New Roman"/>
          <w:b/>
          <w:bCs/>
          <w:noProof/>
          <w:sz w:val="24"/>
          <w:szCs w:val="24"/>
          <w:lang w:val="en-US" w:bidi="he-IL"/>
        </w:rPr>
        <w:t xml:space="preserve">5</w:t>
      </w:r>
      <w:r>
        <w:rPr>
          <w:rFonts w:ascii="David" w:cs="David" w:eastAsia="David" w:hAnsi="David"/>
          <w:b/>
          <w:bCs/>
          <w:sz w:val="24"/>
          <w:szCs w:val="24"/>
          <w:rtl/>
          <w:lang w:val="en-US" w:bidi="he-IL"/>
        </w:rPr>
        <w:t xml:space="preserve">: מתאמים בין רווחה נפשית לבין לגיטימיות הסגל ופריטיה </w:t>
      </w:r>
      <w:r>
        <w:rPr>
          <w:rFonts w:ascii="Times New Roman" w:cs="Times New Roman" w:eastAsia="Times New Roman" w:hAnsi="Times New Roman"/>
          <w:b/>
          <w:bCs/>
          <w:noProof/>
          <w:sz w:val="24"/>
          <w:szCs w:val="24"/>
          <w:lang w:val="en-US" w:bidi="he-IL"/>
        </w:rPr>
        <w:t xml:space="preserve">(N = 2,344)</w:t>
      </w:r>
    </w:p>
    <w:tbl>
      <w:tblPr>
        <w:bidiVisual/>
        <w:tblW w:type="dxa" w:w="8400"/>
        <w:tblBorders>
          <w:top w:val="single" w:color="000000" w:sz="4"/>
          <w:left w:val="none" w:color="FFFFFF" w:sz="0"/>
          <w:bottom w:val="single" w:color="000000" w:sz="4"/>
          <w:right w:val="none" w:color="FFFFFF" w:sz="0"/>
          <w:insideH w:val="none" w:color="FFFFFF" w:sz="0"/>
          <w:insideV w:val="none" w:color="FFFFFF" w:sz="0"/>
        </w:tblBorders>
      </w:tblPr>
      <w:tblGrid>
        <w:gridCol w:w="4200"/>
        <w:gridCol w:w="1400"/>
        <w:gridCol w:w="1400"/>
        <w:gridCol w:w="1400"/>
      </w:tblGrid>
      <w:tr>
        <w:trPr>
          <w:cantSplit/>
          <w:tblHeader/>
        </w:trPr>
        <w:tc>
          <w:tcPr>
            <w:tcW w:type="dxa" w:w="4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משתנה</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noProof/>
                <w:sz w:val="22"/>
                <w:szCs w:val="22"/>
                <w:rtl/>
                <w:lang w:val="en-US" w:bidi="he-IL"/>
              </w:rPr>
              <w:t xml:space="preserve">פירסון</w:t>
            </w:r>
            <w:r>
              <w:rPr>
                <w:rFonts w:ascii="David" w:cs="David" w:eastAsia="David" w:hAnsi="David"/>
                <w:b/>
                <w:bCs/>
                <w:sz w:val="22"/>
                <w:szCs w:val="22"/>
                <w:rtl/>
                <w:lang w:val="en-US" w:bidi="he-IL"/>
              </w:rPr>
              <w:t xml:space="preserve"> </w:t>
            </w:r>
            <w:r>
              <w:rPr>
                <w:rFonts w:ascii="Times New Roman" w:cs="Times New Roman" w:eastAsia="Times New Roman" w:hAnsi="Times New Roman"/>
                <w:b/>
                <w:bCs/>
                <w:noProof/>
                <w:sz w:val="22"/>
                <w:szCs w:val="22"/>
                <w:lang w:val="en-US" w:bidi="he-IL"/>
              </w:rPr>
              <w:t xml:space="preserve">r</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noProof/>
                <w:sz w:val="22"/>
                <w:szCs w:val="22"/>
                <w:rtl/>
                <w:lang w:val="en-US" w:bidi="he-IL"/>
              </w:rPr>
              <w:t xml:space="preserve">ספירמן</w:t>
            </w:r>
            <w:r>
              <w:rPr>
                <w:rFonts w:ascii="David" w:cs="David" w:eastAsia="David" w:hAnsi="David"/>
                <w:b/>
                <w:bCs/>
                <w:sz w:val="22"/>
                <w:szCs w:val="22"/>
                <w:rtl/>
                <w:lang w:val="en-US" w:bidi="he-IL"/>
              </w:rPr>
              <w:t xml:space="preserve"> </w:t>
            </w:r>
            <w:r>
              <w:rPr>
                <w:rFonts w:ascii="Times New Roman" w:cs="Times New Roman" w:eastAsia="Times New Roman" w:hAnsi="Times New Roman"/>
                <w:b/>
                <w:bCs/>
                <w:noProof/>
                <w:sz w:val="22"/>
                <w:szCs w:val="22"/>
                <w:lang w:val="en-US" w:bidi="he-IL"/>
              </w:rPr>
              <w:t xml:space="preserve">rs</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p</w:t>
            </w:r>
          </w:p>
        </w:tc>
      </w:tr>
      <w:tr>
        <w:trPr>
          <w:cantSplit/>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לגיטימיות הסגל (ציון סולם)</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0.32</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0.34</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&lt; 0.001</w:t>
            </w:r>
          </w:p>
        </w:tc>
      </w:tr>
      <w:tr>
        <w:trPr>
          <w:cantSplit/>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אפשר לדבר עם הסוהרים אם מודאג או עצוב</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0.29</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&lt; 0.001</w:t>
            </w:r>
          </w:p>
        </w:tc>
      </w:tr>
      <w:tr>
        <w:trPr>
          <w:cantSplit/>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הסוהרים מתייחסים אליי בכבוד</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0.25</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&lt; 0.001</w:t>
            </w:r>
          </w:p>
        </w:tc>
      </w:tr>
      <w:tr>
        <w:trPr>
          <w:cantSplit/>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שביעות רצון מהטיפול בבקשות</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0.25</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&lt; 0.001</w:t>
            </w:r>
          </w:p>
        </w:tc>
      </w:tr>
    </w:tbl>
    <w:p>
      <w:pPr>
        <w:bidi/>
        <w:spacing w:after="200" w:before="60" w:line="276"/>
        <w:jc w:val="right"/>
      </w:pPr>
      <w:r>
        <w:rPr>
          <w:rFonts w:ascii="David" w:cs="David" w:eastAsia="David" w:hAnsi="David"/>
          <w:sz w:val="20"/>
          <w:szCs w:val="20"/>
          <w:rtl/>
          <w:lang w:val="en-US" w:bidi="he-IL"/>
        </w:rPr>
        <w:t xml:space="preserve">מקור: פלטי </w:t>
      </w:r>
      <w:r>
        <w:rPr>
          <w:rFonts w:ascii="Times New Roman" w:cs="Times New Roman" w:eastAsia="Times New Roman" w:hAnsi="Times New Roman"/>
          <w:noProof/>
          <w:sz w:val="20"/>
          <w:szCs w:val="20"/>
          <w:lang w:val="en-US" w:bidi="he-IL"/>
        </w:rPr>
        <w:t xml:space="preserve">Correlations</w:t>
      </w:r>
      <w:r>
        <w:rPr>
          <w:rFonts w:ascii="David" w:cs="David" w:eastAsia="David" w:hAnsi="David"/>
          <w:sz w:val="20"/>
          <w:szCs w:val="20"/>
          <w:rtl/>
          <w:lang w:val="en-US" w:bidi="he-IL"/>
        </w:rPr>
        <w:t xml:space="preserve"> ו-</w:t>
      </w:r>
      <w:r>
        <w:rPr>
          <w:rFonts w:ascii="Times New Roman" w:cs="Times New Roman" w:eastAsia="Times New Roman" w:hAnsi="Times New Roman"/>
          <w:noProof/>
          <w:sz w:val="20"/>
          <w:szCs w:val="20"/>
          <w:lang w:val="en-US" w:bidi="he-IL"/>
        </w:rPr>
        <w:t xml:space="preserve">Nonparametric Correlations</w:t>
      </w:r>
      <w:r>
        <w:rPr>
          <w:rFonts w:ascii="David" w:cs="David" w:eastAsia="David" w:hAnsi="David"/>
          <w:sz w:val="20"/>
          <w:szCs w:val="20"/>
          <w:rtl/>
          <w:lang w:val="en-US" w:bidi="he-IL"/>
        </w:rPr>
        <w:t xml:space="preserve">, נספח א'.</w:t>
      </w:r>
    </w:p>
    <w:p>
      <w:pPr>
        <w:bidi/>
        <w:spacing w:after="120" w:line="360"/>
        <w:jc w:val="both"/>
      </w:pPr>
      <w:r>
        <w:rPr>
          <w:rFonts w:ascii="David" w:cs="David" w:eastAsia="David" w:hAnsi="David"/>
          <w:sz w:val="24"/>
          <w:szCs w:val="24"/>
          <w:rtl/>
          <w:lang w:val="en-US" w:bidi="he-IL"/>
        </w:rPr>
        <w:t xml:space="preserve">מלוח </w:t>
      </w:r>
      <w:r>
        <w:rPr>
          <w:rFonts w:ascii="Times New Roman" w:cs="Times New Roman" w:eastAsia="Times New Roman" w:hAnsi="Times New Roman"/>
          <w:noProof/>
          <w:sz w:val="24"/>
          <w:szCs w:val="24"/>
          <w:lang w:val="en-US" w:bidi="he-IL"/>
        </w:rPr>
        <w:t xml:space="preserve">5</w:t>
      </w:r>
      <w:r>
        <w:rPr>
          <w:rFonts w:ascii="David" w:cs="David" w:eastAsia="David" w:hAnsi="David"/>
          <w:sz w:val="24"/>
          <w:szCs w:val="24"/>
          <w:rtl/>
          <w:lang w:val="en-US" w:bidi="he-IL"/>
        </w:rPr>
        <w:t xml:space="preserve"> ניתן ללמוד כי נמצא קשר חיובי מובהק ברמה בינונית בין רווחה נפשית ללגיטימיות </w:t>
      </w:r>
      <w:r>
        <w:rPr>
          <w:rFonts w:ascii="Times New Roman" w:cs="Times New Roman" w:eastAsia="Times New Roman" w:hAnsi="Times New Roman"/>
          <w:noProof/>
          <w:sz w:val="24"/>
          <w:szCs w:val="24"/>
          <w:lang w:val="en-US" w:bidi="he-IL"/>
        </w:rPr>
        <w:t xml:space="preserve">(r = 0.32, p &lt; 0.001)</w:t>
      </w:r>
      <w:r>
        <w:rPr>
          <w:rFonts w:ascii="David" w:cs="David" w:eastAsia="David" w:hAnsi="David"/>
          <w:sz w:val="24"/>
          <w:szCs w:val="24"/>
          <w:rtl/>
          <w:lang w:val="en-US" w:bidi="he-IL"/>
        </w:rPr>
        <w:t xml:space="preserve">: ככל שהשפוט מדווח על רווחה נפשית גבוהה יותר, כך הוא מייחס לסגל לגיטימיות גבוהה יותר, ולהפך. מתאם </w:t>
      </w:r>
      <w:r>
        <w:rPr>
          <w:rFonts w:ascii="David" w:cs="David" w:eastAsia="David" w:hAnsi="David"/>
          <w:noProof/>
          <w:sz w:val="24"/>
          <w:szCs w:val="24"/>
          <w:rtl/>
          <w:lang w:val="en-US" w:bidi="he-IL"/>
        </w:rPr>
        <w:t xml:space="preserve">ספירמן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0.34</w:t>
      </w:r>
      <w:r>
        <w:rPr>
          <w:rFonts w:ascii="David" w:cs="David" w:eastAsia="David" w:hAnsi="David"/>
          <w:sz w:val="24"/>
          <w:szCs w:val="24"/>
          <w:rtl/>
          <w:lang w:val="en-US" w:bidi="he-IL"/>
        </w:rPr>
        <w:t xml:space="preserve">) קרוב מאוד למתאם </w:t>
      </w:r>
      <w:r>
        <w:rPr>
          <w:rFonts w:ascii="David" w:cs="David" w:eastAsia="David" w:hAnsi="David"/>
          <w:noProof/>
          <w:sz w:val="24"/>
          <w:szCs w:val="24"/>
          <w:rtl/>
          <w:lang w:val="en-US" w:bidi="he-IL"/>
        </w:rPr>
        <w:t xml:space="preserve">פירסון</w:t>
      </w:r>
      <w:r>
        <w:rPr>
          <w:rFonts w:ascii="David" w:cs="David" w:eastAsia="David" w:hAnsi="David"/>
          <w:sz w:val="24"/>
          <w:szCs w:val="24"/>
          <w:rtl/>
          <w:lang w:val="en-US" w:bidi="he-IL"/>
        </w:rPr>
        <w:t xml:space="preserve">, ומכאן שההטיה בהתפלגות הלגיטימיות אינה מעוותת את התמונה. הקשר קיים בכל שלושת הפריטים, והחזק שבהם הוא האפשרות לדבר עם הסוהרים כשמודאגים או עצובים (</w:t>
      </w:r>
      <w:r>
        <w:rPr>
          <w:rFonts w:ascii="Times New Roman" w:cs="Times New Roman" w:eastAsia="Times New Roman" w:hAnsi="Times New Roman"/>
          <w:noProof/>
          <w:sz w:val="24"/>
          <w:szCs w:val="24"/>
          <w:lang w:val="en-US" w:bidi="he-IL"/>
        </w:rPr>
        <w:t xml:space="preserve">0.29</w:t>
      </w:r>
      <w:r>
        <w:rPr>
          <w:rFonts w:ascii="David" w:cs="David" w:eastAsia="David" w:hAnsi="David"/>
          <w:sz w:val="24"/>
          <w:szCs w:val="24"/>
          <w:rtl/>
          <w:lang w:val="en-US" w:bidi="he-IL"/>
        </w:rPr>
        <w:t xml:space="preserve">). ממצא זה מתיישב עם הדגש של </w:t>
      </w:r>
      <w:r>
        <w:rPr>
          <w:rFonts w:ascii="David" w:cs="David" w:eastAsia="David" w:hAnsi="David"/>
          <w:noProof/>
          <w:sz w:val="24"/>
          <w:szCs w:val="24"/>
          <w:rtl/>
          <w:lang w:val="en-US" w:bidi="he-IL"/>
        </w:rPr>
        <w:t xml:space="preserve">ספרקס</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ובוטומס</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1995</w:t>
      </w:r>
      <w:r>
        <w:rPr>
          <w:rFonts w:ascii="David" w:cs="David" w:eastAsia="David" w:hAnsi="David"/>
          <w:sz w:val="24"/>
          <w:szCs w:val="24"/>
          <w:rtl/>
          <w:lang w:val="en-US" w:bidi="he-IL"/>
        </w:rPr>
        <w:t xml:space="preserve">) על האיכות האנושית של שגרת היום כתנאי ללגיטימיות, ועם הממצא האוסטרלי שלפיו איכות היחסים עם הסגל היא המנגנון שדרכו צדק פרוצדורלי מתורגם לרווחה לאורך זמן </w:t>
      </w:r>
      <w:r>
        <w:rPr>
          <w:rFonts w:ascii="Times New Roman" w:cs="Times New Roman" w:eastAsia="Times New Roman" w:hAnsi="Times New Roman"/>
          <w:noProof/>
          <w:sz w:val="24"/>
          <w:szCs w:val="24"/>
          <w:lang w:val="en-US" w:bidi="he-IL"/>
        </w:rPr>
        <w:t xml:space="preserve">(Sargeant et al., 2026)</w:t>
      </w:r>
      <w:r>
        <w:rPr>
          <w:rFonts w:ascii="David" w:cs="David" w:eastAsia="David" w:hAnsi="David"/>
          <w:sz w:val="24"/>
          <w:szCs w:val="24"/>
          <w:rtl/>
          <w:lang w:val="en-US" w:bidi="he-IL"/>
        </w:rPr>
        <w:t xml:space="preserve">. השערת המחקר אוששה. לוח </w:t>
      </w:r>
      <w:r>
        <w:rPr>
          <w:rFonts w:ascii="Times New Roman" w:cs="Times New Roman" w:eastAsia="Times New Roman" w:hAnsi="Times New Roman"/>
          <w:noProof/>
          <w:sz w:val="24"/>
          <w:szCs w:val="24"/>
          <w:lang w:val="en-US" w:bidi="he-IL"/>
        </w:rPr>
        <w:t xml:space="preserve">6</w:t>
      </w:r>
      <w:r>
        <w:rPr>
          <w:rFonts w:ascii="David" w:cs="David" w:eastAsia="David" w:hAnsi="David"/>
          <w:sz w:val="24"/>
          <w:szCs w:val="24"/>
          <w:rtl/>
          <w:lang w:val="en-US" w:bidi="he-IL"/>
        </w:rPr>
        <w:t xml:space="preserve"> מציג את הקשר מזווית נוספת, ממוצע הרווחה הנפשית בשלוש רמות של לגיטימיות.</w:t>
      </w:r>
    </w:p>
    <w:p>
      <w:pPr>
        <w:keepNext/>
        <w:bidi/>
        <w:spacing w:after="80" w:before="200" w:line="360"/>
        <w:jc w:val="right"/>
      </w:pPr>
      <w:r>
        <w:rPr>
          <w:rFonts w:ascii="David" w:cs="David" w:eastAsia="David" w:hAnsi="David"/>
          <w:b/>
          <w:bCs/>
          <w:sz w:val="24"/>
          <w:szCs w:val="24"/>
          <w:rtl/>
          <w:lang w:val="en-US" w:bidi="he-IL"/>
        </w:rPr>
        <w:t xml:space="preserve">לוח </w:t>
      </w:r>
      <w:r>
        <w:rPr>
          <w:rFonts w:ascii="Times New Roman" w:cs="Times New Roman" w:eastAsia="Times New Roman" w:hAnsi="Times New Roman"/>
          <w:b/>
          <w:bCs/>
          <w:noProof/>
          <w:sz w:val="24"/>
          <w:szCs w:val="24"/>
          <w:lang w:val="en-US" w:bidi="he-IL"/>
        </w:rPr>
        <w:t xml:space="preserve">6</w:t>
      </w:r>
      <w:r>
        <w:rPr>
          <w:rFonts w:ascii="David" w:cs="David" w:eastAsia="David" w:hAnsi="David"/>
          <w:b/>
          <w:bCs/>
          <w:sz w:val="24"/>
          <w:szCs w:val="24"/>
          <w:rtl/>
          <w:lang w:val="en-US" w:bidi="he-IL"/>
        </w:rPr>
        <w:t xml:space="preserve">: ממוצע הרווחה הנפשית לפי רמת הלגיטימיות </w:t>
      </w:r>
      <w:r>
        <w:rPr>
          <w:rFonts w:ascii="Times New Roman" w:cs="Times New Roman" w:eastAsia="Times New Roman" w:hAnsi="Times New Roman"/>
          <w:b/>
          <w:bCs/>
          <w:noProof/>
          <w:sz w:val="24"/>
          <w:szCs w:val="24"/>
          <w:lang w:val="en-US" w:bidi="he-IL"/>
        </w:rPr>
        <w:t xml:space="preserve">(N = 2,344)</w:t>
      </w:r>
    </w:p>
    <w:tbl>
      <w:tblPr>
        <w:bidiVisual/>
        <w:tblW w:type="dxa" w:w="7600"/>
        <w:tblBorders>
          <w:top w:val="single" w:color="000000" w:sz="4"/>
          <w:left w:val="none" w:color="FFFFFF" w:sz="0"/>
          <w:bottom w:val="single" w:color="000000" w:sz="4"/>
          <w:right w:val="none" w:color="FFFFFF" w:sz="0"/>
          <w:insideH w:val="none" w:color="FFFFFF" w:sz="0"/>
          <w:insideV w:val="none" w:color="FFFFFF" w:sz="0"/>
        </w:tblBorders>
      </w:tblPr>
      <w:tblGrid>
        <w:gridCol w:w="2000"/>
        <w:gridCol w:w="2000"/>
        <w:gridCol w:w="1200"/>
        <w:gridCol w:w="1200"/>
        <w:gridCol w:w="1200"/>
      </w:tblGrid>
      <w:tr>
        <w:trPr>
          <w:cantSplit/>
          <w:tblHeader/>
        </w:trPr>
        <w:tc>
          <w:tcPr>
            <w:tcW w:type="dxa" w:w="2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רמת לגיטימיות</w:t>
            </w:r>
          </w:p>
        </w:tc>
        <w:tc>
          <w:tcPr>
            <w:tcW w:type="dxa" w:w="2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lang w:val="en-US" w:bidi="he-IL"/>
              </w:rPr>
              <w:t xml:space="preserve">טווח ציונים</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N</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M</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SD</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נמוכה</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עד </w:t>
            </w:r>
            <w:r>
              <w:rPr>
                <w:rFonts w:ascii="Times New Roman" w:cs="Times New Roman" w:eastAsia="Times New Roman" w:hAnsi="Times New Roman"/>
                <w:b w:val="false"/>
                <w:bCs w:val="false"/>
                <w:noProof/>
                <w:sz w:val="22"/>
                <w:szCs w:val="22"/>
                <w:lang w:val="en-US" w:bidi="he-IL"/>
              </w:rPr>
              <w:t xml:space="preserve">3.50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427</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3.34</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0.87</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בינונית</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noProof/>
                <w:sz w:val="22"/>
                <w:szCs w:val="22"/>
                <w:lang w:val="en-US" w:bidi="he-IL"/>
              </w:rPr>
              <w:t xml:space="preserve">3.51</w:t>
            </w:r>
            <w:r>
              <w:rPr>
                <w:rFonts w:ascii="David" w:cs="David" w:eastAsia="David" w:hAnsi="David"/>
                <w:b w:val="false"/>
                <w:bCs w:val="false"/>
                <w:sz w:val="22"/>
                <w:szCs w:val="22"/>
                <w:rtl/>
                <w:lang w:val="en-US" w:bidi="he-IL"/>
              </w:rPr>
              <w:t xml:space="preserve"> עד </w:t>
            </w:r>
            <w:r>
              <w:rPr>
                <w:rFonts w:ascii="Times New Roman" w:cs="Times New Roman" w:eastAsia="Times New Roman" w:hAnsi="Times New Roman"/>
                <w:b w:val="false"/>
                <w:bCs w:val="false"/>
                <w:noProof/>
                <w:sz w:val="22"/>
                <w:szCs w:val="22"/>
                <w:lang w:val="en-US" w:bidi="he-IL"/>
              </w:rPr>
              <w:t xml:space="preserve">4.50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809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3.65</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0.80</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lang w:val="en-US" w:bidi="he-IL"/>
              </w:rPr>
              <w:t xml:space="preserve">גבוהה</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lang w:val="en-US" w:bidi="he-IL"/>
              </w:rPr>
              <w:t xml:space="preserve">מעל </w:t>
            </w:r>
            <w:r>
              <w:rPr>
                <w:rFonts w:ascii="Times New Roman" w:cs="Times New Roman" w:eastAsia="Times New Roman" w:hAnsi="Times New Roman"/>
                <w:b w:val="false"/>
                <w:bCs w:val="false"/>
                <w:noProof/>
                <w:sz w:val="22"/>
                <w:szCs w:val="22"/>
                <w:lang w:val="en-US" w:bidi="he-IL"/>
              </w:rPr>
              <w:t xml:space="preserve">4.50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1,108</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4.05</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0.84</w:t>
            </w:r>
          </w:p>
        </w:tc>
      </w:tr>
    </w:tbl>
    <w:p>
      <w:pPr>
        <w:bidi/>
        <w:spacing w:after="200" w:before="60" w:line="276"/>
        <w:jc w:val="right"/>
      </w:pPr>
    </w:p>
    <w:p>
      <w:pPr>
        <w:bidi/>
        <w:spacing w:after="120" w:line="360"/>
        <w:jc w:val="both"/>
      </w:pPr>
      <w:r>
        <w:rPr>
          <w:rFonts w:ascii="David" w:cs="David" w:eastAsia="David" w:hAnsi="David"/>
          <w:sz w:val="24"/>
          <w:szCs w:val="24"/>
          <w:rtl/>
          <w:lang w:val="en-US" w:bidi="he-IL"/>
        </w:rPr>
        <w:t xml:space="preserve">מלוח </w:t>
      </w:r>
      <w:r>
        <w:rPr>
          <w:rFonts w:ascii="Times New Roman" w:cs="Times New Roman" w:eastAsia="Times New Roman" w:hAnsi="Times New Roman"/>
          <w:noProof/>
          <w:sz w:val="24"/>
          <w:szCs w:val="24"/>
          <w:lang w:val="en-US" w:bidi="he-IL"/>
        </w:rPr>
        <w:t xml:space="preserve">6</w:t>
      </w:r>
      <w:r>
        <w:rPr>
          <w:rFonts w:ascii="David" w:cs="David" w:eastAsia="David" w:hAnsi="David"/>
          <w:sz w:val="24"/>
          <w:szCs w:val="24"/>
          <w:rtl/>
          <w:lang w:val="en-US" w:bidi="he-IL"/>
        </w:rPr>
        <w:t xml:space="preserve"> עולה מדרג ברור: השפוטים ברמת הלגיטימיות הנמוכה מדווחים על רווחה נפשית ממוצעת של </w:t>
      </w:r>
      <w:r>
        <w:rPr>
          <w:rFonts w:ascii="Times New Roman" w:cs="Times New Roman" w:eastAsia="Times New Roman" w:hAnsi="Times New Roman"/>
          <w:noProof/>
          <w:sz w:val="24"/>
          <w:szCs w:val="24"/>
          <w:lang w:val="en-US" w:bidi="he-IL"/>
        </w:rPr>
        <w:t xml:space="preserve">3.34,</w:t>
      </w:r>
      <w:r>
        <w:rPr>
          <w:rFonts w:ascii="David" w:cs="David" w:eastAsia="David" w:hAnsi="David"/>
          <w:sz w:val="24"/>
          <w:szCs w:val="24"/>
          <w:rtl/>
          <w:lang w:val="en-US" w:bidi="he-IL"/>
        </w:rPr>
        <w:t xml:space="preserve"> ואילו אלו ברמה הגבוהה על </w:t>
      </w:r>
      <w:r>
        <w:rPr>
          <w:rFonts w:ascii="Times New Roman" w:cs="Times New Roman" w:eastAsia="Times New Roman" w:hAnsi="Times New Roman"/>
          <w:noProof/>
          <w:sz w:val="24"/>
          <w:szCs w:val="24"/>
          <w:lang w:val="en-US" w:bidi="he-IL"/>
        </w:rPr>
        <w:t xml:space="preserve">4.05,</w:t>
      </w:r>
      <w:r>
        <w:rPr>
          <w:rFonts w:ascii="David" w:cs="David" w:eastAsia="David" w:hAnsi="David"/>
          <w:sz w:val="24"/>
          <w:szCs w:val="24"/>
          <w:rtl/>
          <w:lang w:val="en-US" w:bidi="he-IL"/>
        </w:rPr>
        <w:t xml:space="preserve"> פער של כ</w:t>
      </w:r>
      <w:r>
        <w:rPr>
          <w:rFonts w:ascii="Times New Roman" w:cs="Times New Roman" w:eastAsia="Times New Roman" w:hAnsi="Times New Roman"/>
          <w:noProof/>
          <w:sz w:val="24"/>
          <w:szCs w:val="24"/>
          <w:lang w:val="en-US" w:bidi="he-IL"/>
        </w:rPr>
        <w:t xml:space="preserve">-0.7</w:t>
      </w:r>
      <w:r>
        <w:rPr>
          <w:rFonts w:ascii="David" w:cs="David" w:eastAsia="David" w:hAnsi="David"/>
          <w:sz w:val="24"/>
          <w:szCs w:val="24"/>
          <w:rtl/>
          <w:lang w:val="en-US" w:bidi="he-IL"/>
        </w:rPr>
        <w:t xml:space="preserve"> נקודות בסולם של </w:t>
      </w:r>
      <w:r>
        <w:rPr>
          <w:rFonts w:ascii="Times New Roman" w:cs="Times New Roman" w:eastAsia="Times New Roman" w:hAnsi="Times New Roman"/>
          <w:noProof/>
          <w:sz w:val="24"/>
          <w:szCs w:val="24"/>
          <w:lang w:val="en-US" w:bidi="he-IL"/>
        </w:rPr>
        <w:t xml:space="preserve">1</w:t>
      </w:r>
      <w:r>
        <w:rPr>
          <w:rFonts w:ascii="David" w:cs="David" w:eastAsia="David" w:hAnsi="David"/>
          <w:sz w:val="24"/>
          <w:szCs w:val="24"/>
          <w:rtl/>
          <w:lang w:val="en-US" w:bidi="he-IL"/>
        </w:rPr>
        <w:t xml:space="preserve"> עד </w:t>
      </w:r>
      <w:r>
        <w:rPr>
          <w:rFonts w:ascii="Times New Roman" w:cs="Times New Roman" w:eastAsia="Times New Roman" w:hAnsi="Times New Roman"/>
          <w:noProof/>
          <w:sz w:val="24"/>
          <w:szCs w:val="24"/>
          <w:lang w:val="en-US" w:bidi="he-IL"/>
        </w:rPr>
        <w:t xml:space="preserve">5,</w:t>
      </w:r>
      <w:r>
        <w:rPr>
          <w:rFonts w:ascii="David" w:cs="David" w:eastAsia="David" w:hAnsi="David"/>
          <w:sz w:val="24"/>
          <w:szCs w:val="24"/>
          <w:rtl/>
          <w:lang w:val="en-US" w:bidi="he-IL"/>
        </w:rPr>
        <w:t xml:space="preserve"> שהוא כ</w:t>
      </w:r>
      <w:r>
        <w:rPr>
          <w:rFonts w:ascii="Times New Roman" w:cs="Times New Roman" w:eastAsia="Times New Roman" w:hAnsi="Times New Roman"/>
          <w:noProof/>
          <w:sz w:val="24"/>
          <w:szCs w:val="24"/>
          <w:lang w:val="en-US" w:bidi="he-IL"/>
        </w:rPr>
        <w:t xml:space="preserve">-80</w:t>
      </w:r>
      <w:r>
        <w:rPr>
          <w:rFonts w:ascii="David" w:cs="David" w:eastAsia="David" w:hAnsi="David"/>
          <w:sz w:val="24"/>
          <w:szCs w:val="24"/>
          <w:rtl/>
          <w:lang w:val="en-US" w:bidi="he-IL"/>
        </w:rPr>
        <w:t xml:space="preserve"> אחוזים מסטיית תקן. לשם השוואה, אצל </w:t>
      </w:r>
      <w:r>
        <w:rPr>
          <w:rFonts w:ascii="David" w:cs="David" w:eastAsia="David" w:hAnsi="David"/>
          <w:noProof/>
          <w:sz w:val="24"/>
          <w:szCs w:val="24"/>
          <w:rtl/>
          <w:lang w:val="en-US" w:bidi="he-IL"/>
        </w:rPr>
        <w:t xml:space="preserve">אוטי</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וליבלינג</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המרחק בין הסף "הלא בטוח" לסף "הבטוח מינימלית" בממד יחסי הסגל והאסירים הוא חצי נקודה בלבד, ומרחק זה הבחין בין בתי סוהר עם שיעורי אלימות ופגיעה עצמית גבוהים לנמוכים.</w:t>
      </w:r>
    </w:p>
    <w:p>
      <w:pPr>
        <w:bidi/>
        <w:spacing w:after="120" w:line="360"/>
        <w:jc w:val="both"/>
      </w:pPr>
      <w:r>
        <w:rPr>
          <w:rFonts w:ascii="David" w:cs="David" w:eastAsia="David" w:hAnsi="David"/>
          <w:sz w:val="24"/>
          <w:szCs w:val="24"/>
          <w:rtl/>
          <w:lang w:val="en-US" w:bidi="he-IL"/>
        </w:rPr>
        <w:t xml:space="preserve">המדרג שבלוח </w:t>
      </w:r>
      <w:r>
        <w:rPr>
          <w:rFonts w:ascii="Times New Roman" w:cs="Times New Roman" w:eastAsia="Times New Roman" w:hAnsi="Times New Roman"/>
          <w:noProof/>
          <w:sz w:val="24"/>
          <w:szCs w:val="24"/>
          <w:lang w:val="en-US" w:bidi="he-IL"/>
        </w:rPr>
        <w:t xml:space="preserve">6</w:t>
      </w:r>
      <w:r>
        <w:rPr>
          <w:rFonts w:ascii="David" w:cs="David" w:eastAsia="David" w:hAnsi="David"/>
          <w:sz w:val="24"/>
          <w:szCs w:val="24"/>
          <w:rtl/>
          <w:lang w:val="en-US" w:bidi="he-IL"/>
        </w:rPr>
        <w:t xml:space="preserve"> מאפשר גם להעריך את גודל האפקט במונחים מוכרים: מתאם של </w:t>
      </w:r>
      <w:r>
        <w:rPr>
          <w:rFonts w:ascii="Times New Roman" w:cs="Times New Roman" w:eastAsia="Times New Roman" w:hAnsi="Times New Roman"/>
          <w:noProof/>
          <w:sz w:val="24"/>
          <w:szCs w:val="24"/>
          <w:lang w:val="en-US" w:bidi="he-IL"/>
        </w:rPr>
        <w:t xml:space="preserve">0.32</w:t>
      </w:r>
      <w:r>
        <w:rPr>
          <w:rFonts w:ascii="David" w:cs="David" w:eastAsia="David" w:hAnsi="David"/>
          <w:sz w:val="24"/>
          <w:szCs w:val="24"/>
          <w:rtl/>
          <w:lang w:val="en-US" w:bidi="he-IL"/>
        </w:rPr>
        <w:t xml:space="preserve"> פירושו שהרווחה הנפשית והלגיטימיות חולקות כעשרה אחוזים מהשונות. זהו קשר בינוני, קרוב בחוזקו לקשרים שנמצאו בין מאפייני האסיר ללגיטימיות באנגליה </w:t>
      </w:r>
      <w:r>
        <w:rPr>
          <w:rFonts w:ascii="Times New Roman" w:cs="Times New Roman" w:eastAsia="Times New Roman" w:hAnsi="Times New Roman"/>
          <w:noProof/>
          <w:sz w:val="24"/>
          <w:szCs w:val="24"/>
          <w:lang w:val="en-US" w:bidi="he-IL"/>
        </w:rPr>
        <w:t xml:space="preserve">(Brunton-Smith &amp; McCarthy, 2016)</w:t>
      </w:r>
      <w:r>
        <w:rPr>
          <w:rFonts w:ascii="David" w:cs="David" w:eastAsia="David" w:hAnsi="David"/>
          <w:sz w:val="24"/>
          <w:szCs w:val="24"/>
          <w:rtl/>
          <w:lang w:val="en-US" w:bidi="he-IL"/>
        </w:rPr>
        <w:t xml:space="preserve">, ומצביע על כך שרוב השונות בלגיטימיות מוסברת על ידי גורמים אחרים, ובראשם ההוגנות הפרוצדורלית של הסגל עצמו.</w:t>
      </w:r>
    </w:p>
    <w:p>
      <w:pPr>
        <w:pStyle w:val="Heading1"/>
        <w:pageBreakBefore/>
        <w:bidi/>
        <w:spacing w:after="240" w:before="0" w:line="360"/>
        <w:jc w:val="right"/>
      </w:pPr>
      <w:r>
        <w:rPr>
          <w:rFonts w:ascii="David" w:cs="David" w:eastAsia="David" w:hAnsi="David"/>
          <w:b/>
          <w:bCs/>
          <w:sz w:val="32"/>
          <w:szCs w:val="32"/>
          <w:rtl/>
          <w:lang w:val="en-US" w:bidi="he-IL"/>
        </w:rPr>
        <w:t xml:space="preserve">דיון</w:t>
      </w:r>
    </w:p>
    <w:p>
      <w:pPr>
        <w:pStyle w:val="Heading2"/>
        <w:keepNext/>
        <w:bidi/>
        <w:spacing w:after="120" w:before="240" w:line="360"/>
        <w:jc w:val="right"/>
      </w:pPr>
      <w:r>
        <w:rPr>
          <w:rFonts w:ascii="David" w:cs="David" w:eastAsia="David" w:hAnsi="David"/>
          <w:b/>
          <w:bCs/>
          <w:sz w:val="28"/>
          <w:szCs w:val="28"/>
          <w:rtl/>
          <w:lang w:val="en-US" w:bidi="he-IL"/>
        </w:rPr>
        <w:t xml:space="preserve">רקע למחקר</w:t>
      </w:r>
    </w:p>
    <w:p>
      <w:pPr>
        <w:bidi/>
        <w:spacing w:after="120" w:line="360"/>
        <w:jc w:val="both"/>
      </w:pPr>
      <w:r>
        <w:rPr>
          <w:rFonts w:ascii="David" w:cs="David" w:eastAsia="David" w:hAnsi="David"/>
          <w:sz w:val="24"/>
          <w:szCs w:val="24"/>
          <w:rtl/>
          <w:lang w:val="en-US" w:bidi="he-IL"/>
        </w:rPr>
        <w:t xml:space="preserve">המחקר ביקש לבחון באיזו מידה קיים קשר בין רווחה נפשית לבין תפיסת הלגיטימיות של סגל הכליאה בקרב אסירים שפוטים בישראל. הוא נשען על תאוריית הלגיטימיות בבתי סוהר של </w:t>
      </w:r>
      <w:r>
        <w:rPr>
          <w:rFonts w:ascii="David" w:cs="David" w:eastAsia="David" w:hAnsi="David"/>
          <w:noProof/>
          <w:sz w:val="24"/>
          <w:szCs w:val="24"/>
          <w:rtl/>
          <w:lang w:val="en-US" w:bidi="he-IL"/>
        </w:rPr>
        <w:t xml:space="preserve">ספרקס</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ובוטומס</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1995</w:t>
      </w:r>
      <w:r>
        <w:rPr>
          <w:rFonts w:ascii="David" w:cs="David" w:eastAsia="David" w:hAnsi="David"/>
          <w:sz w:val="24"/>
          <w:szCs w:val="24"/>
          <w:rtl/>
          <w:lang w:val="en-US" w:bidi="he-IL"/>
        </w:rPr>
        <w:t xml:space="preserve">), שלפיה הציות לסמכות נובע מתפיסתה כהוגנת, ועל ספרות ההסתגלות למאסר שתיארה את הפגיעה ברווחה הנפשית כחלק בלתי נפרד מחוויית הכליאה (</w:t>
      </w:r>
      <w:r>
        <w:rPr>
          <w:rFonts w:ascii="David" w:cs="David" w:eastAsia="David" w:hAnsi="David"/>
          <w:noProof/>
          <w:sz w:val="24"/>
          <w:szCs w:val="24"/>
          <w:rtl/>
          <w:lang w:val="en-US" w:bidi="he-IL"/>
        </w:rPr>
        <w:t xml:space="preserve">דוידסקו</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וולק</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2015</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יפתח-שרצקי</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והראל</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הנתונים נלקחו מקובץ סינתטי המבוסס על סקר תנאי המחיה של שירות בתי הסוהר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חומרי הקורס, יולי </w:t>
      </w:r>
      <w:r>
        <w:rPr>
          <w:rFonts w:ascii="Times New Roman" w:cs="Times New Roman" w:eastAsia="Times New Roman" w:hAnsi="Times New Roman"/>
          <w:noProof/>
          <w:sz w:val="24"/>
          <w:szCs w:val="24"/>
          <w:lang w:val="en-US" w:bidi="he-IL"/>
        </w:rPr>
        <w:t xml:space="preserve">2026</w:t>
      </w:r>
      <w:r>
        <w:rPr>
          <w:rFonts w:ascii="David" w:cs="David" w:eastAsia="David" w:hAnsi="David"/>
          <w:sz w:val="24"/>
          <w:szCs w:val="24"/>
          <w:rtl/>
          <w:lang w:val="en-US" w:bidi="he-IL"/>
        </w:rPr>
        <w:t xml:space="preserve">).</w:t>
      </w:r>
    </w:p>
    <w:p>
      <w:pPr>
        <w:bidi/>
        <w:spacing w:after="120" w:line="360"/>
        <w:jc w:val="both"/>
      </w:pPr>
      <w:r>
        <w:rPr>
          <w:rFonts w:ascii="David" w:cs="David" w:eastAsia="David" w:hAnsi="David"/>
          <w:sz w:val="24"/>
          <w:szCs w:val="24"/>
          <w:rtl/>
          <w:lang w:val="en-US" w:bidi="he-IL"/>
        </w:rPr>
        <w:t xml:space="preserve">שני ממצאים עיקריים עלו. ראשית, נמצא קשר חיובי מובהק ברמה בינונית בין רווחה נפשית ללגיטימיות, בכל שלושת פריטי הלגיטימיות. שנית, הפער ברווחה בין השפוטים ברמת הלגיטימיות הנמוכה לאלו ברמה הגבוהה עומד על כ</w:t>
      </w:r>
      <w:r>
        <w:rPr>
          <w:rFonts w:ascii="Times New Roman" w:cs="Times New Roman" w:eastAsia="Times New Roman" w:hAnsi="Times New Roman"/>
          <w:noProof/>
          <w:sz w:val="24"/>
          <w:szCs w:val="24"/>
          <w:lang w:val="en-US" w:bidi="he-IL"/>
        </w:rPr>
        <w:t xml:space="preserve">-0.7</w:t>
      </w:r>
      <w:r>
        <w:rPr>
          <w:rFonts w:ascii="David" w:cs="David" w:eastAsia="David" w:hAnsi="David"/>
          <w:sz w:val="24"/>
          <w:szCs w:val="24"/>
          <w:rtl/>
          <w:lang w:val="en-US" w:bidi="he-IL"/>
        </w:rPr>
        <w:t xml:space="preserve"> נקודות, כ</w:t>
      </w:r>
      <w:r>
        <w:rPr>
          <w:rFonts w:ascii="Times New Roman" w:cs="Times New Roman" w:eastAsia="Times New Roman" w:hAnsi="Times New Roman"/>
          <w:noProof/>
          <w:sz w:val="24"/>
          <w:szCs w:val="24"/>
          <w:lang w:val="en-US" w:bidi="he-IL"/>
        </w:rPr>
        <w:t xml:space="preserve">-80</w:t>
      </w:r>
      <w:r>
        <w:rPr>
          <w:rFonts w:ascii="David" w:cs="David" w:eastAsia="David" w:hAnsi="David"/>
          <w:sz w:val="24"/>
          <w:szCs w:val="24"/>
          <w:rtl/>
          <w:lang w:val="en-US" w:bidi="he-IL"/>
        </w:rPr>
        <w:t xml:space="preserve"> אחוזים מסטיית תקן. השערת המחקר אוששה. בפסקאות הבאות הממצאים נקשרים לספרות שנסקרה, לפי הנושאים המרכזיים.</w:t>
      </w:r>
    </w:p>
    <w:p>
      <w:pPr>
        <w:pStyle w:val="Heading2"/>
        <w:keepNext/>
        <w:bidi/>
        <w:spacing w:after="120" w:before="240" w:line="360"/>
        <w:jc w:val="right"/>
      </w:pPr>
      <w:r>
        <w:rPr>
          <w:rFonts w:ascii="David" w:cs="David" w:eastAsia="David" w:hAnsi="David"/>
          <w:b/>
          <w:bCs/>
          <w:sz w:val="28"/>
          <w:szCs w:val="28"/>
          <w:rtl/>
          <w:lang w:val="en-US" w:bidi="he-IL"/>
        </w:rPr>
        <w:t xml:space="preserve">רווחה נפשית ולגיטימיות</w:t>
      </w:r>
    </w:p>
    <w:p>
      <w:pPr>
        <w:bidi/>
        <w:spacing w:after="120" w:line="360"/>
        <w:jc w:val="both"/>
      </w:pPr>
      <w:r>
        <w:rPr>
          <w:rFonts w:ascii="David" w:cs="David" w:eastAsia="David" w:hAnsi="David"/>
          <w:sz w:val="24"/>
          <w:szCs w:val="24"/>
          <w:rtl/>
          <w:lang w:val="en-US" w:bidi="he-IL"/>
        </w:rPr>
        <w:t xml:space="preserve">הקשר החיובי שנמצא עולה בקנה אחד עם המחקר האוסטרלי, שבו צדק פרוצדורלי ניבא רווחה גבוהה יותר דרך איכות היחסים עם הסגל, ועם המחקר ההולנדי שקדם לו, שבו יחס הוגן מצד הסוהרים ניבא פחות בעיות נפשיות בהמשך המאסר </w:t>
      </w:r>
      <w:r>
        <w:rPr>
          <w:rFonts w:ascii="Times New Roman" w:cs="Times New Roman" w:eastAsia="Times New Roman" w:hAnsi="Times New Roman"/>
          <w:noProof/>
          <w:sz w:val="24"/>
          <w:szCs w:val="24"/>
          <w:lang w:val="en-US" w:bidi="he-IL"/>
        </w:rPr>
        <w:t xml:space="preserve">(Sargeant et al., 2026)</w:t>
      </w:r>
      <w:r>
        <w:rPr>
          <w:rFonts w:ascii="David" w:cs="David" w:eastAsia="David" w:hAnsi="David"/>
          <w:sz w:val="24"/>
          <w:szCs w:val="24"/>
          <w:rtl/>
          <w:lang w:val="en-US" w:bidi="he-IL"/>
        </w:rPr>
        <w:t xml:space="preserve">. הממצא ההולנדי שלפיו יחסי הסגל לא ניבאו רווחה כאשר האוטונומיה נכללה במודל </w:t>
      </w:r>
      <w:r>
        <w:rPr>
          <w:rFonts w:ascii="Times New Roman" w:cs="Times New Roman" w:eastAsia="Times New Roman" w:hAnsi="Times New Roman"/>
          <w:noProof/>
          <w:sz w:val="24"/>
          <w:szCs w:val="24"/>
          <w:lang w:val="en-US" w:bidi="he-IL"/>
        </w:rPr>
        <w:t xml:space="preserve">(Van Ginneken et al., 2019)</w:t>
      </w:r>
      <w:r>
        <w:rPr>
          <w:rFonts w:ascii="David" w:cs="David" w:eastAsia="David" w:hAnsi="David"/>
          <w:sz w:val="24"/>
          <w:szCs w:val="24"/>
          <w:rtl/>
          <w:lang w:val="en-US" w:bidi="he-IL"/>
        </w:rPr>
        <w:t xml:space="preserve"> מרמז שהמנגנון עובר דרך תחושת השליטה שיחס הוגן מעניק לאסיר. המחקר הנוכחי מוסיף לכך את הכיוון ההפוך: שפוטים שרווחתם הנפשית גבוהה יותר תופסים את הסגל כלגיטימי יותר. שני הכיוונים אינם סותרים. סביר שמדובר במעגל שבו יחס הוגן משפר את הרווחה, ורווחה גבוהה יותר מאפשרת לאסיר לפרש את התנהגות הסגל באור פחות עוין ולפנות אליו כשקשה לו. העובדה שהפריט הקשור ביותר לרווחה הוא דווקא האפשרות לדבר עם הסוהרים כשמודאגים או עצובים מחזקת פירוש זה, ומתיישבת עם מחקר האורך של משוחררי כלא בבוסטון, שבו סביבה של כבוד ואמון בין אסירים לסגל הפחיתה את חוסר האושר בשנה שאחרי השחרור, ואסירים שחוו יחסים תומכים עם הסוהרים פיתחו יחסים תומכים יותר גם בחוץ </w:t>
      </w:r>
      <w:r>
        <w:rPr>
          <w:rFonts w:ascii="Times New Roman" w:cs="Times New Roman" w:eastAsia="Times New Roman" w:hAnsi="Times New Roman"/>
          <w:noProof/>
          <w:sz w:val="24"/>
          <w:szCs w:val="24"/>
          <w:lang w:val="en-US" w:bidi="he-IL"/>
        </w:rPr>
        <w:t xml:space="preserve">(Schnittker, 2025)</w:t>
      </w:r>
      <w:r>
        <w:rPr>
          <w:rFonts w:ascii="David" w:cs="David" w:eastAsia="David" w:hAnsi="David"/>
          <w:sz w:val="24"/>
          <w:szCs w:val="24"/>
          <w:rtl/>
          <w:lang w:val="en-US" w:bidi="he-IL"/>
        </w:rPr>
        <w:t xml:space="preserve">.</w:t>
      </w:r>
    </w:p>
    <w:p>
      <w:pPr>
        <w:bidi/>
        <w:spacing w:after="120" w:line="360"/>
        <w:jc w:val="both"/>
      </w:pPr>
      <w:r>
        <w:rPr>
          <w:rFonts w:ascii="David" w:cs="David" w:eastAsia="David" w:hAnsi="David"/>
          <w:sz w:val="24"/>
          <w:szCs w:val="24"/>
          <w:rtl/>
          <w:lang w:val="en-US" w:bidi="he-IL"/>
        </w:rPr>
        <w:t xml:space="preserve">הממצא מתיישב גם עם מסגרת איכות החיים המוסרית, שלפיה כבוד, אנושיות ויחסים עם הסגל הם הממדים שחשובים ביותר לאסירים (</w:t>
      </w:r>
      <w:r>
        <w:rPr>
          <w:rFonts w:ascii="Times New Roman" w:cs="Times New Roman" w:eastAsia="Times New Roman" w:hAnsi="Times New Roman"/>
          <w:noProof/>
          <w:sz w:val="24"/>
          <w:szCs w:val="24"/>
          <w:lang w:val="en-US" w:bidi="he-IL"/>
        </w:rPr>
        <w:t xml:space="preserve">Liebling, 2004</w:t>
      </w:r>
      <w:r>
        <w:rPr>
          <w:rFonts w:ascii="David" w:cs="David" w:eastAsia="David" w:hAnsi="David"/>
          <w:sz w:val="24"/>
          <w:szCs w:val="24"/>
          <w:rtl/>
          <w:lang w:val="en-US" w:bidi="he-IL"/>
        </w:rPr>
        <w:t xml:space="preserve">, מצוטט אצל </w:t>
      </w:r>
      <w:r>
        <w:rPr>
          <w:rFonts w:ascii="Times New Roman" w:cs="Times New Roman" w:eastAsia="Times New Roman" w:hAnsi="Times New Roman"/>
          <w:noProof/>
          <w:sz w:val="24"/>
          <w:szCs w:val="24"/>
          <w:lang w:val="en-US" w:bidi="he-IL"/>
        </w:rPr>
        <w:t xml:space="preserve">Auty &amp; Liebling, 2024</w:t>
      </w:r>
      <w:r>
        <w:rPr>
          <w:rFonts w:ascii="David" w:cs="David" w:eastAsia="David" w:hAnsi="David"/>
          <w:sz w:val="24"/>
          <w:szCs w:val="24"/>
          <w:rtl/>
          <w:lang w:val="en-US" w:bidi="he-IL"/>
        </w:rPr>
        <w:t xml:space="preserve">), ועם ממצאיהם של </w:t>
      </w:r>
      <w:r>
        <w:rPr>
          <w:rFonts w:ascii="David" w:cs="David" w:eastAsia="David" w:hAnsi="David"/>
          <w:noProof/>
          <w:sz w:val="24"/>
          <w:szCs w:val="24"/>
          <w:rtl/>
          <w:lang w:val="en-US" w:bidi="he-IL"/>
        </w:rPr>
        <w:t xml:space="preserve">פרנקה</w:t>
      </w:r>
      <w:r>
        <w:rPr>
          <w:rFonts w:ascii="David" w:cs="David" w:eastAsia="David" w:hAnsi="David"/>
          <w:sz w:val="24"/>
          <w:szCs w:val="24"/>
          <w:rtl/>
          <w:lang w:val="en-US" w:bidi="he-IL"/>
        </w:rPr>
        <w:t xml:space="preserve"> ואחרים (</w:t>
      </w:r>
      <w:r>
        <w:rPr>
          <w:rFonts w:ascii="Times New Roman" w:cs="Times New Roman" w:eastAsia="Times New Roman" w:hAnsi="Times New Roman"/>
          <w:noProof/>
          <w:sz w:val="24"/>
          <w:szCs w:val="24"/>
          <w:lang w:val="en-US" w:bidi="he-IL"/>
        </w:rPr>
        <w:t xml:space="preserve">2010</w:t>
      </w:r>
      <w:r>
        <w:rPr>
          <w:rFonts w:ascii="David" w:cs="David" w:eastAsia="David" w:hAnsi="David"/>
          <w:sz w:val="24"/>
          <w:szCs w:val="24"/>
          <w:rtl/>
          <w:lang w:val="en-US" w:bidi="he-IL"/>
        </w:rPr>
        <w:t xml:space="preserve">), שלפיהם דלות סביבתית וחוויות שליליות הן שמכרסמות בלגיטימיות. המדרג שנמצא בלוח </w:t>
      </w:r>
      <w:r>
        <w:rPr>
          <w:rFonts w:ascii="Times New Roman" w:cs="Times New Roman" w:eastAsia="Times New Roman" w:hAnsi="Times New Roman"/>
          <w:noProof/>
          <w:sz w:val="24"/>
          <w:szCs w:val="24"/>
          <w:lang w:val="en-US" w:bidi="he-IL"/>
        </w:rPr>
        <w:t xml:space="preserve">6,</w:t>
      </w:r>
      <w:r>
        <w:rPr>
          <w:rFonts w:ascii="David" w:cs="David" w:eastAsia="David" w:hAnsi="David"/>
          <w:sz w:val="24"/>
          <w:szCs w:val="24"/>
          <w:rtl/>
          <w:lang w:val="en-US" w:bidi="he-IL"/>
        </w:rPr>
        <w:t xml:space="preserve"> פער של כ</w:t>
      </w:r>
      <w:r>
        <w:rPr>
          <w:rFonts w:ascii="Times New Roman" w:cs="Times New Roman" w:eastAsia="Times New Roman" w:hAnsi="Times New Roman"/>
          <w:noProof/>
          <w:sz w:val="24"/>
          <w:szCs w:val="24"/>
          <w:lang w:val="en-US" w:bidi="he-IL"/>
        </w:rPr>
        <w:t xml:space="preserve">-0.7</w:t>
      </w:r>
      <w:r>
        <w:rPr>
          <w:rFonts w:ascii="David" w:cs="David" w:eastAsia="David" w:hAnsi="David"/>
          <w:sz w:val="24"/>
          <w:szCs w:val="24"/>
          <w:rtl/>
          <w:lang w:val="en-US" w:bidi="he-IL"/>
        </w:rPr>
        <w:t xml:space="preserve"> נקודות ברווחה בין השפוטים ברמת הלגיטימיות הנמוכה לאלו ברמה הגבוהה, מקבל משמעות מעשית לאור הספים שזיהו </w:t>
      </w:r>
      <w:r>
        <w:rPr>
          <w:rFonts w:ascii="David" w:cs="David" w:eastAsia="David" w:hAnsi="David"/>
          <w:noProof/>
          <w:sz w:val="24"/>
          <w:szCs w:val="24"/>
          <w:rtl/>
          <w:lang w:val="en-US" w:bidi="he-IL"/>
        </w:rPr>
        <w:t xml:space="preserve">אוטי</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וליבלינג</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מתחת לרמה מסוימת של יחסים בין סגל לאסירים עולים באופן חד שיעורי הפגיעה העצמית והאלימות. הממצא הישראלי שלפיו רווחה נפשית סובייקטיבית של אסירים עולה בעקבות התערבות קבוצתית (שני ואחרים,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מלמד שמדובר במשתנה שאפשר להשפיע עליו, ולא בתכונה קבועה של האסיר.</w:t>
      </w:r>
    </w:p>
    <w:p>
      <w:pPr>
        <w:bidi/>
        <w:spacing w:after="120" w:line="360"/>
        <w:jc w:val="both"/>
      </w:pPr>
      <w:r>
        <w:rPr>
          <w:rFonts w:ascii="David" w:cs="David" w:eastAsia="David" w:hAnsi="David"/>
          <w:sz w:val="24"/>
          <w:szCs w:val="24"/>
          <w:rtl/>
          <w:lang w:val="en-US" w:bidi="he-IL"/>
        </w:rPr>
        <w:t xml:space="preserve">עוצמת הקשר, בינונית ולא גבוהה, ראויה להתייחסות. הרווחה הנפשית חולקת עם הלגיטימיות כעשרה אחוזים מהשונות, ורוב השונות מוסברת על ידי גורמים אחרים. </w:t>
      </w:r>
      <w:r>
        <w:rPr>
          <w:rFonts w:ascii="David" w:cs="David" w:eastAsia="David" w:hAnsi="David"/>
          <w:noProof/>
          <w:sz w:val="24"/>
          <w:szCs w:val="24"/>
          <w:rtl/>
          <w:lang w:val="en-US" w:bidi="he-IL"/>
        </w:rPr>
        <w:t xml:space="preserve">ברנטון-סמית</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ומקארתי</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2016</w:t>
      </w:r>
      <w:r>
        <w:rPr>
          <w:rFonts w:ascii="David" w:cs="David" w:eastAsia="David" w:hAnsi="David"/>
          <w:sz w:val="24"/>
          <w:szCs w:val="24"/>
          <w:rtl/>
          <w:lang w:val="en-US" w:bidi="he-IL"/>
        </w:rPr>
        <w:t xml:space="preserve">) הראו שהמנבא החזק ביותר של לגיטימיות הוא ההוגנות הפרוצדורלית עצמה, כלומר האופן שבו הסגל מקבל החלטות ומסביר אותן, ושחלק מהשונות נמצא ברמת בית הסוהר ולא ברמת האסיר. </w:t>
      </w:r>
      <w:r>
        <w:rPr>
          <w:rFonts w:ascii="David" w:cs="David" w:eastAsia="David" w:hAnsi="David"/>
          <w:noProof/>
          <w:sz w:val="24"/>
          <w:szCs w:val="24"/>
          <w:rtl/>
          <w:lang w:val="en-US" w:bidi="he-IL"/>
        </w:rPr>
        <w:t xml:space="preserve">בייארסברגן</w:t>
      </w:r>
      <w:r>
        <w:rPr>
          <w:rFonts w:ascii="David" w:cs="David" w:eastAsia="David" w:hAnsi="David"/>
          <w:sz w:val="24"/>
          <w:szCs w:val="24"/>
          <w:rtl/>
          <w:lang w:val="en-US" w:bidi="he-IL"/>
        </w:rPr>
        <w:t xml:space="preserve"> ואחרים (</w:t>
      </w:r>
      <w:r>
        <w:rPr>
          <w:rFonts w:ascii="Times New Roman" w:cs="Times New Roman" w:eastAsia="Times New Roman" w:hAnsi="Times New Roman"/>
          <w:noProof/>
          <w:sz w:val="24"/>
          <w:szCs w:val="24"/>
          <w:lang w:val="en-US" w:bidi="he-IL"/>
        </w:rPr>
        <w:t xml:space="preserve">2015</w:t>
      </w:r>
      <w:r>
        <w:rPr>
          <w:rFonts w:ascii="David" w:cs="David" w:eastAsia="David" w:hAnsi="David"/>
          <w:sz w:val="24"/>
          <w:szCs w:val="24"/>
          <w:rtl/>
          <w:lang w:val="en-US" w:bidi="he-IL"/>
        </w:rPr>
        <w:t xml:space="preserve">) הוסיפו שמאפייני הסגל ביחידה משפיעים על תפיסת ההוגנות. בקובץ הסינתטי לא ניתן להפריד בין בתי סוהר ובין אגפים, ולכן חלק זה של השונות נותר מחוץ לניתוח. בסקר המקורי הסביר המודל </w:t>
      </w:r>
      <w:r>
        <w:rPr>
          <w:rFonts w:ascii="Times New Roman" w:cs="Times New Roman" w:eastAsia="Times New Roman" w:hAnsi="Times New Roman"/>
          <w:noProof/>
          <w:sz w:val="24"/>
          <w:szCs w:val="24"/>
          <w:lang w:val="en-US" w:bidi="he-IL"/>
        </w:rPr>
        <w:t xml:space="preserve">30</w:t>
      </w:r>
      <w:r>
        <w:rPr>
          <w:rFonts w:ascii="David" w:cs="David" w:eastAsia="David" w:hAnsi="David"/>
          <w:sz w:val="24"/>
          <w:szCs w:val="24"/>
          <w:rtl/>
          <w:lang w:val="en-US" w:bidi="he-IL"/>
        </w:rPr>
        <w:t xml:space="preserve"> אחוזים משביעות הרצון מפעילויות השיקום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אך שם המנבא המרכזי היה שביעות הרצון מתנאי המחיה, שהיא קרובה מושגית למשתנה המוסבר יותר משהרווחה הנפשית קרובה ללגיטימיות.</w:t>
      </w:r>
    </w:p>
    <w:p>
      <w:pPr>
        <w:pStyle w:val="Heading2"/>
        <w:keepNext/>
        <w:bidi/>
        <w:spacing w:after="120" w:before="240" w:line="360"/>
        <w:jc w:val="right"/>
      </w:pPr>
      <w:r>
        <w:rPr>
          <w:rFonts w:ascii="David" w:cs="David" w:eastAsia="David" w:hAnsi="David"/>
          <w:b/>
          <w:bCs/>
          <w:sz w:val="28"/>
          <w:szCs w:val="28"/>
          <w:rtl/>
          <w:lang w:val="en-US" w:bidi="he-IL"/>
        </w:rPr>
        <w:t xml:space="preserve">לגיטימיות בהקשר הישראלי</w:t>
      </w:r>
    </w:p>
    <w:p>
      <w:pPr>
        <w:bidi/>
        <w:spacing w:after="120" w:line="360"/>
        <w:jc w:val="both"/>
      </w:pPr>
      <w:r>
        <w:rPr>
          <w:rFonts w:ascii="David" w:cs="David" w:eastAsia="David" w:hAnsi="David"/>
          <w:sz w:val="24"/>
          <w:szCs w:val="24"/>
          <w:rtl/>
          <w:lang w:val="en-US" w:bidi="he-IL"/>
        </w:rPr>
        <w:t xml:space="preserve">ממצאי הסקר המקורי הצביעו על הלגיטימיות כמשתנה שממתן את הקשר בין תנאי המחיה לשביעות הרצון מפעילויות השיקום, והמחבר הציע לשירות בתי הסוהר לראות בה כלי ניהולי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המחקר הנוכחי מחזק את ההצעה מכיוון אחר: לא רק תנאי המחיה הפיזיים אלא גם המצב הנפשי של השפוט קשור לאופן שבו הוא שופט את הסגל. הממוצע הגבוה של הלגיטימיות שנמצא, </w:t>
      </w:r>
      <w:r>
        <w:rPr>
          <w:rFonts w:ascii="Times New Roman" w:cs="Times New Roman" w:eastAsia="Times New Roman" w:hAnsi="Times New Roman"/>
          <w:noProof/>
          <w:sz w:val="24"/>
          <w:szCs w:val="24"/>
          <w:lang w:val="en-US" w:bidi="he-IL"/>
        </w:rPr>
        <w:t xml:space="preserve">4.24</w:t>
      </w:r>
      <w:r>
        <w:rPr>
          <w:rFonts w:ascii="David" w:cs="David" w:eastAsia="David" w:hAnsi="David"/>
          <w:sz w:val="24"/>
          <w:szCs w:val="24"/>
          <w:rtl/>
          <w:lang w:val="en-US" w:bidi="he-IL"/>
        </w:rPr>
        <w:t xml:space="preserve"> בסולם של </w:t>
      </w:r>
      <w:r>
        <w:rPr>
          <w:rFonts w:ascii="Times New Roman" w:cs="Times New Roman" w:eastAsia="Times New Roman" w:hAnsi="Times New Roman"/>
          <w:noProof/>
          <w:sz w:val="24"/>
          <w:szCs w:val="24"/>
          <w:lang w:val="en-US" w:bidi="he-IL"/>
        </w:rPr>
        <w:t xml:space="preserve">1</w:t>
      </w:r>
      <w:r>
        <w:rPr>
          <w:rFonts w:ascii="David" w:cs="David" w:eastAsia="David" w:hAnsi="David"/>
          <w:sz w:val="24"/>
          <w:szCs w:val="24"/>
          <w:rtl/>
          <w:lang w:val="en-US" w:bidi="he-IL"/>
        </w:rPr>
        <w:t xml:space="preserve"> עד </w:t>
      </w:r>
      <w:r>
        <w:rPr>
          <w:rFonts w:ascii="Times New Roman" w:cs="Times New Roman" w:eastAsia="Times New Roman" w:hAnsi="Times New Roman"/>
          <w:noProof/>
          <w:sz w:val="24"/>
          <w:szCs w:val="24"/>
          <w:lang w:val="en-US" w:bidi="he-IL"/>
        </w:rPr>
        <w:t xml:space="preserve">5,</w:t>
      </w:r>
      <w:r>
        <w:rPr>
          <w:rFonts w:ascii="David" w:cs="David" w:eastAsia="David" w:hAnsi="David"/>
          <w:sz w:val="24"/>
          <w:szCs w:val="24"/>
          <w:rtl/>
          <w:lang w:val="en-US" w:bidi="he-IL"/>
        </w:rPr>
        <w:t xml:space="preserve"> שונה מהתמונה בסלובניה, שם יותר ממחצית האסירים לא נתנו אמון בסגל </w:t>
      </w:r>
      <w:r>
        <w:rPr>
          <w:rFonts w:ascii="Times New Roman" w:cs="Times New Roman" w:eastAsia="Times New Roman" w:hAnsi="Times New Roman"/>
          <w:noProof/>
          <w:sz w:val="24"/>
          <w:szCs w:val="24"/>
          <w:lang w:val="en-US" w:bidi="he-IL"/>
        </w:rPr>
        <w:t xml:space="preserve">(Hacin &amp; Meško, 2018)</w:t>
      </w:r>
      <w:r>
        <w:rPr>
          <w:rFonts w:ascii="David" w:cs="David" w:eastAsia="David" w:hAnsi="David"/>
          <w:sz w:val="24"/>
          <w:szCs w:val="24"/>
          <w:rtl/>
          <w:lang w:val="en-US" w:bidi="he-IL"/>
        </w:rPr>
        <w:t xml:space="preserve">. ייתכן שההבדל משקף מדיניות של יחס מכבד באגפים הפליליים בישראל, וייתכן שהוא משקף רצייה חברתית בשאלון שהועבר על ידי מנהלי האגפים עצמם. שני ההסברים אינם מוציאים זה את זה. ממצא ישראלי תומך בהסבר הראשון: בראיונות עם </w:t>
      </w:r>
      <w:r>
        <w:rPr>
          <w:rFonts w:ascii="Times New Roman" w:cs="Times New Roman" w:eastAsia="Times New Roman" w:hAnsi="Times New Roman"/>
          <w:noProof/>
          <w:sz w:val="24"/>
          <w:szCs w:val="24"/>
          <w:lang w:val="en-US" w:bidi="he-IL"/>
        </w:rPr>
        <w:t xml:space="preserve">17</w:t>
      </w:r>
      <w:r>
        <w:rPr>
          <w:rFonts w:ascii="David" w:cs="David" w:eastAsia="David" w:hAnsi="David"/>
          <w:sz w:val="24"/>
          <w:szCs w:val="24"/>
          <w:rtl/>
          <w:lang w:val="en-US" w:bidi="he-IL"/>
        </w:rPr>
        <w:t xml:space="preserve"> אסירים משוחררים שסיימו בהצלחה פיקוח ברשות לשיקום האסיר, חלקם תיארו את הכלא עצמו כמסגרת משקמת, וההתייחסות של רובם לעתיד הייתה אופטימית (</w:t>
      </w:r>
      <w:r>
        <w:rPr>
          <w:rFonts w:ascii="David" w:cs="David" w:eastAsia="David" w:hAnsi="David"/>
          <w:noProof/>
          <w:sz w:val="24"/>
          <w:szCs w:val="24"/>
          <w:rtl/>
          <w:lang w:val="en-US" w:bidi="he-IL"/>
        </w:rPr>
        <w:t xml:space="preserve">פלד-לסקוב</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ותימור</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ההקשר המשפטי מחזק את משמעות הממצא: כשמועד השחרור נקבע למעשה לפי מקום פנוי ולא לפי גזר הדין (</w:t>
      </w:r>
      <w:r>
        <w:rPr>
          <w:rFonts w:ascii="David" w:cs="David" w:eastAsia="David" w:hAnsi="David"/>
          <w:noProof/>
          <w:sz w:val="24"/>
          <w:szCs w:val="24"/>
          <w:rtl/>
          <w:lang w:val="en-US" w:bidi="he-IL"/>
        </w:rPr>
        <w:t xml:space="preserve">גזל-אייל</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ומרזוק-מקלדה</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2023</w:t>
      </w:r>
      <w:r>
        <w:rPr>
          <w:rFonts w:ascii="David" w:cs="David" w:eastAsia="David" w:hAnsi="David"/>
          <w:sz w:val="24"/>
          <w:szCs w:val="24"/>
          <w:rtl/>
          <w:lang w:val="en-US" w:bidi="he-IL"/>
        </w:rPr>
        <w:t xml:space="preserve">), וכשתכליות הכליאה אינן קבועות בחקיקה (</w:t>
      </w:r>
      <w:r>
        <w:rPr>
          <w:rFonts w:ascii="David" w:cs="David" w:eastAsia="David" w:hAnsi="David"/>
          <w:noProof/>
          <w:sz w:val="24"/>
          <w:szCs w:val="24"/>
          <w:rtl/>
          <w:lang w:val="en-US" w:bidi="he-IL"/>
        </w:rPr>
        <w:t xml:space="preserve">דגן</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2021</w:t>
      </w:r>
      <w:r>
        <w:rPr>
          <w:rFonts w:ascii="David" w:cs="David" w:eastAsia="David" w:hAnsi="David"/>
          <w:sz w:val="24"/>
          <w:szCs w:val="24"/>
          <w:rtl/>
          <w:lang w:val="en-US" w:bidi="he-IL"/>
        </w:rPr>
        <w:t xml:space="preserve">), יחס הסגל באגף נותר אחד ממרכיבי ההוגנות המעטים שהאסיר חווה ישירות. הממצא שלפיו יחסי כבוד ואמון עם הסגל ממשיכים להשפיע על הרווחה גם בשנה שאחרי השחרור </w:t>
      </w:r>
      <w:r>
        <w:rPr>
          <w:rFonts w:ascii="Times New Roman" w:cs="Times New Roman" w:eastAsia="Times New Roman" w:hAnsi="Times New Roman"/>
          <w:noProof/>
          <w:sz w:val="24"/>
          <w:szCs w:val="24"/>
          <w:lang w:val="en-US" w:bidi="he-IL"/>
        </w:rPr>
        <w:t xml:space="preserve">(Schnittker, 2025)</w:t>
      </w:r>
      <w:r>
        <w:rPr>
          <w:rFonts w:ascii="David" w:cs="David" w:eastAsia="David" w:hAnsi="David"/>
          <w:sz w:val="24"/>
          <w:szCs w:val="24"/>
          <w:rtl/>
          <w:lang w:val="en-US" w:bidi="he-IL"/>
        </w:rPr>
        <w:t xml:space="preserve">, יחד עם הממצא הישראלי על תרומת התמיכה החברתית לרווחתם של אסירים משוחררים (</w:t>
      </w:r>
      <w:r>
        <w:rPr>
          <w:rFonts w:ascii="David" w:cs="David" w:eastAsia="David" w:hAnsi="David"/>
          <w:noProof/>
          <w:sz w:val="24"/>
          <w:szCs w:val="24"/>
          <w:rtl/>
          <w:lang w:val="en-US" w:bidi="he-IL"/>
        </w:rPr>
        <w:t xml:space="preserve">מורלי</w:t>
      </w:r>
      <w:r>
        <w:rPr>
          <w:rFonts w:ascii="David" w:cs="David" w:eastAsia="David" w:hAnsi="David"/>
          <w:sz w:val="24"/>
          <w:szCs w:val="24"/>
          <w:rtl/>
          <w:lang w:val="en-US" w:bidi="he-IL"/>
        </w:rPr>
        <w:t xml:space="preserve"> ואחרים, </w:t>
      </w:r>
      <w:r>
        <w:rPr>
          <w:rFonts w:ascii="Times New Roman" w:cs="Times New Roman" w:eastAsia="Times New Roman" w:hAnsi="Times New Roman"/>
          <w:noProof/>
          <w:sz w:val="24"/>
          <w:szCs w:val="24"/>
          <w:lang w:val="en-US" w:bidi="he-IL"/>
        </w:rPr>
        <w:t xml:space="preserve">2019</w:t>
      </w:r>
      <w:r>
        <w:rPr>
          <w:rFonts w:ascii="David" w:cs="David" w:eastAsia="David" w:hAnsi="David"/>
          <w:sz w:val="24"/>
          <w:szCs w:val="24"/>
          <w:rtl/>
          <w:lang w:val="en-US" w:bidi="he-IL"/>
        </w:rPr>
        <w:t xml:space="preserve">), מלמדים שהשקעה בלגיטימיות באגף היא גם השקעה בשיקום, וזהו בדיוק הקשר שהסקר הישראלי זיהה בין לגיטימיות לפעילויות השיקום.</w:t>
      </w:r>
    </w:p>
    <w:p>
      <w:pPr>
        <w:pStyle w:val="Heading2"/>
        <w:keepNext/>
        <w:bidi/>
        <w:spacing w:after="120" w:before="240" w:line="360"/>
        <w:jc w:val="right"/>
      </w:pPr>
      <w:r>
        <w:rPr>
          <w:rFonts w:ascii="David" w:cs="David" w:eastAsia="David" w:hAnsi="David"/>
          <w:b/>
          <w:bCs/>
          <w:sz w:val="28"/>
          <w:szCs w:val="28"/>
          <w:rtl/>
          <w:lang w:val="en-US" w:bidi="he-IL"/>
        </w:rPr>
        <w:t xml:space="preserve">השלכות יישומיות</w:t>
      </w:r>
    </w:p>
    <w:p>
      <w:pPr>
        <w:bidi/>
        <w:spacing w:after="120" w:line="360"/>
        <w:jc w:val="both"/>
      </w:pPr>
      <w:r>
        <w:rPr>
          <w:rFonts w:ascii="David" w:cs="David" w:eastAsia="David" w:hAnsi="David"/>
          <w:sz w:val="24"/>
          <w:szCs w:val="24"/>
          <w:rtl/>
          <w:lang w:val="en-US" w:bidi="he-IL"/>
        </w:rPr>
        <w:t xml:space="preserve">מהממצאים נגזרות כמה המלצות מעשיות. הראשונה היא סינון שגרתי של רווחה נפשית בשתי נקודות זמן, בקליטה לאגף ושלושה חודשים לאחריה, שהן נקודות הזמן שבהן נמדדה המצוקה במחקר ההולנדי שעליו נשענו </w:t>
      </w:r>
      <w:r>
        <w:rPr>
          <w:rFonts w:ascii="David" w:cs="David" w:eastAsia="David" w:hAnsi="David"/>
          <w:noProof/>
          <w:sz w:val="24"/>
          <w:szCs w:val="24"/>
          <w:rtl/>
          <w:lang w:val="en-US" w:bidi="he-IL"/>
        </w:rPr>
        <w:t xml:space="preserve">סרג'נט</w:t>
      </w:r>
      <w:r>
        <w:rPr>
          <w:rFonts w:ascii="David" w:cs="David" w:eastAsia="David" w:hAnsi="David"/>
          <w:sz w:val="24"/>
          <w:szCs w:val="24"/>
          <w:rtl/>
          <w:lang w:val="en-US" w:bidi="he-IL"/>
        </w:rPr>
        <w:t xml:space="preserve"> ואחרים (</w:t>
      </w:r>
      <w:r>
        <w:rPr>
          <w:rFonts w:ascii="Times New Roman" w:cs="Times New Roman" w:eastAsia="Times New Roman" w:hAnsi="Times New Roman"/>
          <w:noProof/>
          <w:sz w:val="24"/>
          <w:szCs w:val="24"/>
          <w:lang w:val="en-US" w:bidi="he-IL"/>
        </w:rPr>
        <w:t xml:space="preserve">2026</w:t>
      </w:r>
      <w:r>
        <w:rPr>
          <w:rFonts w:ascii="David" w:cs="David" w:eastAsia="David" w:hAnsi="David"/>
          <w:sz w:val="24"/>
          <w:szCs w:val="24"/>
          <w:rtl/>
          <w:lang w:val="en-US" w:bidi="he-IL"/>
        </w:rPr>
        <w:t xml:space="preserve">). חמשת פריטי הרווחה שבשאלון הנוכחי, שמהימנותם </w:t>
      </w:r>
      <w:r>
        <w:rPr>
          <w:rFonts w:ascii="Times New Roman" w:cs="Times New Roman" w:eastAsia="Times New Roman" w:hAnsi="Times New Roman"/>
          <w:noProof/>
          <w:sz w:val="24"/>
          <w:szCs w:val="24"/>
          <w:lang w:val="en-US" w:bidi="he-IL"/>
        </w:rPr>
        <w:t xml:space="preserve">0.81,</w:t>
      </w:r>
      <w:r>
        <w:rPr>
          <w:rFonts w:ascii="David" w:cs="David" w:eastAsia="David" w:hAnsi="David"/>
          <w:sz w:val="24"/>
          <w:szCs w:val="24"/>
          <w:rtl/>
          <w:lang w:val="en-US" w:bidi="he-IL"/>
        </w:rPr>
        <w:t xml:space="preserve"> יכולים לשמש לכך כפי שהם. השנייה נובעת מהממצא שהפריט הקשור ביותר לרווחה הוא האפשרות לדבר עם הסוהרים: לקבוע לכל סוהר אגף שעת קבלה שבועית קבועה שבה אסירים יכולים לפנות אליו שלא בדחיפות, ולתעד את הפניות. השלישית היא הכשרת סוהרי אגף בעקרונות הצדק הפרוצדורלי, לתת לאסיר לומר את דברו לפני החלטה ולהסביר את ההחלטה גם כשהיא שלילית, בהתאם לתנאים שזיהו </w:t>
      </w:r>
      <w:r>
        <w:rPr>
          <w:rFonts w:ascii="David" w:cs="David" w:eastAsia="David" w:hAnsi="David"/>
          <w:noProof/>
          <w:sz w:val="24"/>
          <w:szCs w:val="24"/>
          <w:rtl/>
          <w:lang w:val="en-US" w:bidi="he-IL"/>
        </w:rPr>
        <w:t xml:space="preserve">ספרקס</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ובוטומס</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1995</w:t>
      </w:r>
      <w:r>
        <w:rPr>
          <w:rFonts w:ascii="David" w:cs="David" w:eastAsia="David" w:hAnsi="David"/>
          <w:sz w:val="24"/>
          <w:szCs w:val="24"/>
          <w:rtl/>
          <w:lang w:val="en-US" w:bidi="he-IL"/>
        </w:rPr>
        <w:t xml:space="preserve">). הרביעית היא מדידה שנתית של הלגיטימיות והרווחה ברמת האגף באמצעות שלושת פריטי הלגיטימיות וחמשת פריטי הרווחה, כך שאגפים שבהם הציונים נמוכים מסף מוגדר, למשל </w:t>
      </w:r>
      <w:r>
        <w:rPr>
          <w:rFonts w:ascii="Times New Roman" w:cs="Times New Roman" w:eastAsia="Times New Roman" w:hAnsi="Times New Roman"/>
          <w:noProof/>
          <w:sz w:val="24"/>
          <w:szCs w:val="24"/>
          <w:lang w:val="en-US" w:bidi="he-IL"/>
        </w:rPr>
        <w:t xml:space="preserve">3.5,</w:t>
      </w:r>
      <w:r>
        <w:rPr>
          <w:rFonts w:ascii="David" w:cs="David" w:eastAsia="David" w:hAnsi="David"/>
          <w:sz w:val="24"/>
          <w:szCs w:val="24"/>
          <w:rtl/>
          <w:lang w:val="en-US" w:bidi="he-IL"/>
        </w:rPr>
        <w:t xml:space="preserve"> יזוהו ויקבלו ליווי, בדומה לסף שהציעו </w:t>
      </w:r>
      <w:r>
        <w:rPr>
          <w:rFonts w:ascii="David" w:cs="David" w:eastAsia="David" w:hAnsi="David"/>
          <w:noProof/>
          <w:sz w:val="24"/>
          <w:szCs w:val="24"/>
          <w:rtl/>
          <w:lang w:val="en-US" w:bidi="he-IL"/>
        </w:rPr>
        <w:t xml:space="preserve">אוטי</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וליבלינג</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2024</w:t>
      </w:r>
      <w:r>
        <w:rPr>
          <w:rFonts w:ascii="David" w:cs="David" w:eastAsia="David" w:hAnsi="David"/>
          <w:sz w:val="24"/>
          <w:szCs w:val="24"/>
          <w:rtl/>
          <w:lang w:val="en-US" w:bidi="he-IL"/>
        </w:rPr>
        <w:t xml:space="preserve">). החמישית, בעקבות הביקורת על הגישה הפרוצדורלית </w:t>
      </w:r>
      <w:r>
        <w:rPr>
          <w:rFonts w:ascii="Times New Roman" w:cs="Times New Roman" w:eastAsia="Times New Roman" w:hAnsi="Times New Roman"/>
          <w:noProof/>
          <w:sz w:val="24"/>
          <w:szCs w:val="24"/>
          <w:lang w:val="en-US" w:bidi="he-IL"/>
        </w:rPr>
        <w:t xml:space="preserve">(Deambrogio, 2025)</w:t>
      </w:r>
      <w:r>
        <w:rPr>
          <w:rFonts w:ascii="David" w:cs="David" w:eastAsia="David" w:hAnsi="David"/>
          <w:sz w:val="24"/>
          <w:szCs w:val="24"/>
          <w:rtl/>
          <w:lang w:val="en-US" w:bidi="he-IL"/>
        </w:rPr>
        <w:t xml:space="preserve">, היא הקמת נציגות אסירים של האגף שנפגשת עם מנהל האגף אחת לחודש ומעלה נושאים לשיפור, כך שהלגיטימיות תישען לא רק על יחס הוגן של הסגל אלא גם על השתתפות.</w:t>
      </w:r>
    </w:p>
    <w:p>
      <w:pPr>
        <w:pStyle w:val="Heading1"/>
        <w:pageBreakBefore/>
        <w:bidi/>
        <w:spacing w:after="240" w:before="0" w:line="360"/>
        <w:jc w:val="right"/>
      </w:pPr>
      <w:r>
        <w:rPr>
          <w:rFonts w:ascii="David" w:cs="David" w:eastAsia="David" w:hAnsi="David"/>
          <w:b/>
          <w:bCs/>
          <w:sz w:val="32"/>
          <w:szCs w:val="32"/>
          <w:rtl/>
          <w:lang w:val="en-US" w:bidi="he-IL"/>
        </w:rPr>
        <w:t xml:space="preserve">מגבלות המחקר</w:t>
      </w:r>
    </w:p>
    <w:p>
      <w:pPr>
        <w:bidi/>
        <w:spacing w:after="120" w:line="360"/>
        <w:jc w:val="both"/>
      </w:pPr>
      <w:r>
        <w:rPr>
          <w:rFonts w:ascii="David" w:cs="David" w:eastAsia="David" w:hAnsi="David"/>
          <w:sz w:val="24"/>
          <w:szCs w:val="24"/>
          <w:rtl/>
          <w:lang w:val="en-US" w:bidi="he-IL"/>
        </w:rPr>
        <w:t xml:space="preserve">המגבלה הראשונה והמרכזית היא שהנתונים סינתטיים. הם נבנו על פי המבנה של סקר תנאי המחיה בשירות בתי הסוהר, אך אינם נתוני האסירים עצמם, ואומדנים מדויקים וערכי </w:t>
      </w:r>
      <w:r>
        <w:rPr>
          <w:rFonts w:ascii="Times New Roman" w:cs="Times New Roman" w:eastAsia="Times New Roman" w:hAnsi="Times New Roman"/>
          <w:noProof/>
          <w:sz w:val="24"/>
          <w:szCs w:val="24"/>
          <w:lang w:val="en-US" w:bidi="he-IL"/>
        </w:rPr>
        <w:t xml:space="preserve">p</w:t>
      </w:r>
      <w:r>
        <w:rPr>
          <w:rFonts w:ascii="David" w:cs="David" w:eastAsia="David" w:hAnsi="David"/>
          <w:sz w:val="24"/>
          <w:szCs w:val="24"/>
          <w:rtl/>
          <w:lang w:val="en-US" w:bidi="he-IL"/>
        </w:rPr>
        <w:t xml:space="preserve"> מושפעים מרעש הסינתזה (י' </w:t>
      </w:r>
      <w:r>
        <w:rPr>
          <w:rFonts w:ascii="David" w:cs="David" w:eastAsia="David" w:hAnsi="David"/>
          <w:noProof/>
          <w:sz w:val="24"/>
          <w:szCs w:val="24"/>
          <w:rtl/>
          <w:lang w:val="en-US" w:bidi="he-IL"/>
        </w:rPr>
        <w:t xml:space="preserve">ועקנין</w:t>
      </w:r>
      <w:r>
        <w:rPr>
          <w:rFonts w:ascii="David" w:cs="David" w:eastAsia="David" w:hAnsi="David"/>
          <w:sz w:val="24"/>
          <w:szCs w:val="24"/>
          <w:rtl/>
          <w:lang w:val="en-US" w:bidi="he-IL"/>
        </w:rPr>
        <w:t xml:space="preserve">, חומרי הקורס, יולי </w:t>
      </w:r>
      <w:r>
        <w:rPr>
          <w:rFonts w:ascii="Times New Roman" w:cs="Times New Roman" w:eastAsia="Times New Roman" w:hAnsi="Times New Roman"/>
          <w:noProof/>
          <w:sz w:val="24"/>
          <w:szCs w:val="24"/>
          <w:lang w:val="en-US" w:bidi="he-IL"/>
        </w:rPr>
        <w:t xml:space="preserve">2026</w:t>
      </w:r>
      <w:r>
        <w:rPr>
          <w:rFonts w:ascii="David" w:cs="David" w:eastAsia="David" w:hAnsi="David"/>
          <w:sz w:val="24"/>
          <w:szCs w:val="24"/>
          <w:rtl/>
          <w:lang w:val="en-US" w:bidi="he-IL"/>
        </w:rPr>
        <w:t xml:space="preserve">). לכן הממצאים מלמדים על השיטה ועל אופן הניתוח, ואין להסיק מהם מסקנות ישירות על אוכלוסיית השפוטים בישראל. כל המלצה יישומית שהוצגה בדיון היא בגדר השערה שדורשת בדיקה בנתונים ממשיים.</w:t>
      </w:r>
    </w:p>
    <w:p>
      <w:pPr>
        <w:bidi/>
        <w:spacing w:after="120" w:line="360"/>
        <w:jc w:val="both"/>
      </w:pPr>
      <w:r>
        <w:rPr>
          <w:rFonts w:ascii="David" w:cs="David" w:eastAsia="David" w:hAnsi="David"/>
          <w:sz w:val="24"/>
          <w:szCs w:val="24"/>
          <w:rtl/>
          <w:lang w:val="en-US" w:bidi="he-IL"/>
        </w:rPr>
        <w:t xml:space="preserve">המגבלה השנייה נוגעת למערך. המחקר הוא מחקר חתך מתאמי, ולכן אינו יכול להכריע בכיוון הקשר: האם הרווחה הנפשית משפיעה על תפיסת הלגיטימיות, האם יחס לגיטימי משפר את הרווחה, או האם משתנה שלישי כמו תנאי האגף מסביר את שניהם. המחקר האוסטרלי הראה שאפשר לענות על שאלה זו רק במערך אורך עם שתי מדידות לפחות </w:t>
      </w:r>
      <w:r>
        <w:rPr>
          <w:rFonts w:ascii="Times New Roman" w:cs="Times New Roman" w:eastAsia="Times New Roman" w:hAnsi="Times New Roman"/>
          <w:noProof/>
          <w:sz w:val="24"/>
          <w:szCs w:val="24"/>
          <w:lang w:val="en-US" w:bidi="he-IL"/>
        </w:rPr>
        <w:t xml:space="preserve">(Sargeant et al., 2026)</w:t>
      </w:r>
      <w:r>
        <w:rPr>
          <w:rFonts w:ascii="David" w:cs="David" w:eastAsia="David" w:hAnsi="David"/>
          <w:sz w:val="24"/>
          <w:szCs w:val="24"/>
          <w:rtl/>
          <w:lang w:val="en-US" w:bidi="he-IL"/>
        </w:rPr>
        <w:t xml:space="preserve">. מאחר שמדובר בניתוח משני, לא ניתן היה להוסיף פריטים לשאלון או לשלב ראיונות, ולכן לא התאפשר מחקר משולב שהיה יכול להסביר מדוע אסירים במצוקה תופסים את הסגל כפחות לגיטימי. הקובץ גם אינו מאפשר להבחין בין בתי סוהר ובין אגפים, ואילו המחקר האנגלי הראה שחלק מהשונות בלגיטימיות נמצא ברמת המוסד </w:t>
      </w:r>
      <w:r>
        <w:rPr>
          <w:rFonts w:ascii="Times New Roman" w:cs="Times New Roman" w:eastAsia="Times New Roman" w:hAnsi="Times New Roman"/>
          <w:noProof/>
          <w:sz w:val="24"/>
          <w:szCs w:val="24"/>
          <w:lang w:val="en-US" w:bidi="he-IL"/>
        </w:rPr>
        <w:t xml:space="preserve">(Brunton-Smith &amp; McCarthy, 2016)</w:t>
      </w:r>
      <w:r>
        <w:rPr>
          <w:rFonts w:ascii="David" w:cs="David" w:eastAsia="David" w:hAnsi="David"/>
          <w:sz w:val="24"/>
          <w:szCs w:val="24"/>
          <w:rtl/>
          <w:lang w:val="en-US" w:bidi="he-IL"/>
        </w:rPr>
        <w:t xml:space="preserve">. המחקר גם לא פיקח על משתני רקע כמו גיל ומספר מאסרים, שעשויים להיות קשורים לשני המשתנים. לבסוף, מהימנות סולם הלגיטימיות (</w:t>
      </w:r>
      <w:r>
        <w:rPr>
          <w:rFonts w:ascii="Times New Roman" w:cs="Times New Roman" w:eastAsia="Times New Roman" w:hAnsi="Times New Roman"/>
          <w:noProof/>
          <w:sz w:val="24"/>
          <w:szCs w:val="24"/>
          <w:lang w:val="en-US" w:bidi="he-IL"/>
        </w:rPr>
        <w:t xml:space="preserve">0.67</w:t>
      </w:r>
      <w:r>
        <w:rPr>
          <w:rFonts w:ascii="David" w:cs="David" w:eastAsia="David" w:hAnsi="David"/>
          <w:sz w:val="24"/>
          <w:szCs w:val="24"/>
          <w:rtl/>
          <w:lang w:val="en-US" w:bidi="he-IL"/>
        </w:rPr>
        <w:t xml:space="preserve">) נמוכה מעט מהמקובל, וסולם של שלושה פריטים אינו מכסה את כל מרכיבי הצדק הפרוצדורלי.</w:t>
      </w:r>
    </w:p>
    <w:p>
      <w:pPr>
        <w:bidi/>
        <w:spacing w:after="120" w:line="360"/>
        <w:jc w:val="both"/>
      </w:pPr>
      <w:r>
        <w:rPr>
          <w:rFonts w:ascii="David" w:cs="David" w:eastAsia="David" w:hAnsi="David"/>
          <w:sz w:val="24"/>
          <w:szCs w:val="24"/>
          <w:rtl/>
          <w:lang w:val="en-US" w:bidi="he-IL"/>
        </w:rPr>
        <w:t xml:space="preserve">המגבלה השלישית היא היקף האוכלוסייה והמדידה. המחקר עוסק באסירים פליליים ישראלים שפוטים בלבד, ואינו מייצג עצורים, אסירים ביטחוניים או אסירות, שמספרן במדגם קטן מכדי לנתחן בנפרד. שני המשתנים נמדדו בדיווח עצמי בשאלון שהועבר על ידי מנהלי האגפים וקציני החינוך, ובסביבת כליאה יש לחשוש מרצייה חברתית ומחשש של אסירים לדווח על יחס הסגל, גם כשהשאלון אנונימי. הממוצע הגבוה של הלגיטימיות והטיית ההתפלגות שמאלה עשויים לשקף חשש כזה. </w:t>
      </w:r>
      <w:r>
        <w:rPr>
          <w:rFonts w:ascii="David" w:cs="David" w:eastAsia="David" w:hAnsi="David"/>
          <w:noProof/>
          <w:sz w:val="24"/>
          <w:szCs w:val="24"/>
          <w:rtl/>
          <w:lang w:val="en-US" w:bidi="he-IL"/>
        </w:rPr>
        <w:t xml:space="preserve">האצין</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ומשקו</w:t>
      </w:r>
      <w:r>
        <w:rPr>
          <w:rFonts w:ascii="David" w:cs="David" w:eastAsia="David" w:hAnsi="David"/>
          <w:sz w:val="24"/>
          <w:szCs w:val="24"/>
          <w:rtl/>
          <w:lang w:val="en-US" w:bidi="he-IL"/>
        </w:rPr>
        <w:t xml:space="preserve"> (</w:t>
      </w:r>
      <w:r>
        <w:rPr>
          <w:rFonts w:ascii="Times New Roman" w:cs="Times New Roman" w:eastAsia="Times New Roman" w:hAnsi="Times New Roman"/>
          <w:noProof/>
          <w:sz w:val="24"/>
          <w:szCs w:val="24"/>
          <w:lang w:val="en-US" w:bidi="he-IL"/>
        </w:rPr>
        <w:t xml:space="preserve">2018</w:t>
      </w:r>
      <w:r>
        <w:rPr>
          <w:rFonts w:ascii="David" w:cs="David" w:eastAsia="David" w:hAnsi="David"/>
          <w:sz w:val="24"/>
          <w:szCs w:val="24"/>
          <w:rtl/>
          <w:lang w:val="en-US" w:bidi="he-IL"/>
        </w:rPr>
        <w:t xml:space="preserve">) הצביעו על חוסר אמון בסגל כתופעה רווחת, וייתכן שאותו חוסר אמון משפיע גם על הנכונות להשיב בכנות.</w:t>
      </w:r>
    </w:p>
    <w:p>
      <w:pPr>
        <w:pStyle w:val="Heading1"/>
        <w:pageBreakBefore/>
        <w:bidi/>
        <w:spacing w:after="240" w:before="0" w:line="360"/>
        <w:jc w:val="right"/>
      </w:pPr>
      <w:r>
        <w:rPr>
          <w:rFonts w:ascii="David" w:cs="David" w:eastAsia="David" w:hAnsi="David"/>
          <w:b/>
          <w:bCs/>
          <w:sz w:val="32"/>
          <w:szCs w:val="32"/>
          <w:rtl/>
          <w:lang w:val="en-US" w:bidi="he-IL"/>
        </w:rPr>
        <w:t xml:space="preserve">סיכום</w:t>
      </w:r>
    </w:p>
    <w:p>
      <w:pPr>
        <w:bidi/>
        <w:spacing w:after="120" w:line="360"/>
        <w:jc w:val="both"/>
      </w:pPr>
      <w:r>
        <w:rPr>
          <w:rFonts w:ascii="David" w:cs="David" w:eastAsia="David" w:hAnsi="David"/>
          <w:sz w:val="24"/>
          <w:szCs w:val="24"/>
          <w:rtl/>
          <w:lang w:val="en-US" w:bidi="he-IL"/>
        </w:rPr>
        <w:t xml:space="preserve">העבודה בחנה את הקשר בין רווחה נפשית לבין תפיסת הלגיטימיות של סגל הכליאה בקרב </w:t>
      </w:r>
      <w:r>
        <w:rPr>
          <w:rFonts w:ascii="Times New Roman" w:cs="Times New Roman" w:eastAsia="Times New Roman" w:hAnsi="Times New Roman"/>
          <w:noProof/>
          <w:sz w:val="24"/>
          <w:szCs w:val="24"/>
          <w:lang w:val="en-US" w:bidi="he-IL"/>
        </w:rPr>
        <w:t xml:space="preserve">2,379</w:t>
      </w:r>
      <w:r>
        <w:rPr>
          <w:rFonts w:ascii="David" w:cs="David" w:eastAsia="David" w:hAnsi="David"/>
          <w:sz w:val="24"/>
          <w:szCs w:val="24"/>
          <w:rtl/>
          <w:lang w:val="en-US" w:bidi="he-IL"/>
        </w:rPr>
        <w:t xml:space="preserve"> אסירים שפוטים, על בסיס נתונים סינתטיים המבוססים על סקר תנאי המחיה של שירות בתי הסוהר. סקירת הספרות הציגה את המודל של הצדק הפרוצדורלי ואת ספרות ההסתגלות למאסר, ומהן נגזרה השערת המחקר. הניתוח כלל סטטיסטיקה תיאורית, בדיקת מהימנות, מתאמים והשוואת ממוצעים בין רמות לגיטימיות. נמצא קשר חיובי מובהק ברמה בינונית בין רווחה נפשית ללגיטימיות, בכל שלושת פריטי הסולם, ופער של כ</w:t>
      </w:r>
      <w:r>
        <w:rPr>
          <w:rFonts w:ascii="Times New Roman" w:cs="Times New Roman" w:eastAsia="Times New Roman" w:hAnsi="Times New Roman"/>
          <w:noProof/>
          <w:sz w:val="24"/>
          <w:szCs w:val="24"/>
          <w:lang w:val="en-US" w:bidi="he-IL"/>
        </w:rPr>
        <w:t xml:space="preserve">-0.7</w:t>
      </w:r>
      <w:r>
        <w:rPr>
          <w:rFonts w:ascii="David" w:cs="David" w:eastAsia="David" w:hAnsi="David"/>
          <w:sz w:val="24"/>
          <w:szCs w:val="24"/>
          <w:rtl/>
          <w:lang w:val="en-US" w:bidi="he-IL"/>
        </w:rPr>
        <w:t xml:space="preserve"> נקודות ברווחה בין רמת הלגיטימיות הנמוכה לגבוהה. הממצאים תואמים את המחקרים מהולנד, מאנגליה, מאוסטרליה ומארצות הברית, ומצביעים על כך שרווחתו הנפשית של השפוט אינה עניין טיפולי בלבד אלא מרכיב בסדר ובציות באגף. ההמלצות המעשיות, סינון רווחה נפשית בקליטה ואחריה, שעת קבלה שבועית של סוהרי האגף, הכשרה בצדק פרוצדורלי, מדידה שנתית ברמת האגף ונציגות אסירים של האגף, ממתינות לבדיקה בנתונים ממשיים ובמערך אורך.</w:t>
      </w:r>
    </w:p>
    <w:p>
      <w:pPr>
        <w:pStyle w:val="Heading1"/>
        <w:pageBreakBefore/>
        <w:bidi/>
        <w:spacing w:after="240" w:before="0" w:line="360"/>
        <w:jc w:val="right"/>
      </w:pPr>
      <w:r>
        <w:rPr>
          <w:rFonts w:ascii="David" w:cs="David" w:eastAsia="David" w:hAnsi="David"/>
          <w:b/>
          <w:bCs/>
          <w:sz w:val="32"/>
          <w:szCs w:val="32"/>
          <w:rtl/>
          <w:lang w:val="en-US" w:bidi="he-IL"/>
        </w:rPr>
        <w:t xml:space="preserve">גילוי נאות</w:t>
      </w:r>
    </w:p>
    <w:p>
      <w:pPr>
        <w:bidi/>
        <w:spacing w:after="120" w:line="360"/>
        <w:jc w:val="both"/>
      </w:pPr>
      <w:r>
        <w:rPr>
          <w:rFonts w:ascii="David" w:cs="David" w:eastAsia="David" w:hAnsi="David"/>
          <w:sz w:val="24"/>
          <w:szCs w:val="24"/>
          <w:rtl/>
          <w:lang w:val="en-US" w:bidi="he-IL"/>
        </w:rPr>
        <w:t xml:space="preserve">בהתאם להנחיית מרצה הקורס, קובץ הנתונים הסינתטי וספר המשתנים הועלו ל-</w:t>
      </w:r>
      <w:r>
        <w:rPr>
          <w:rFonts w:ascii="Times New Roman" w:cs="Times New Roman" w:eastAsia="Times New Roman" w:hAnsi="Times New Roman"/>
          <w:noProof/>
          <w:sz w:val="24"/>
          <w:szCs w:val="24"/>
          <w:lang w:val="en-US" w:bidi="he-IL"/>
        </w:rPr>
        <w:t xml:space="preserve">ChatGPT</w:t>
      </w:r>
      <w:r>
        <w:rPr>
          <w:rFonts w:ascii="David" w:cs="David" w:eastAsia="David" w:hAnsi="David"/>
          <w:sz w:val="24"/>
          <w:szCs w:val="24"/>
          <w:rtl/>
          <w:lang w:val="en-US" w:bidi="he-IL"/>
        </w:rPr>
        <w:t xml:space="preserve">, והוזנה בו הפקודה שנמסרה בקורס: כתיבת </w:t>
      </w:r>
      <w:r>
        <w:rPr>
          <w:rFonts w:ascii="David" w:cs="David" w:eastAsia="David" w:hAnsi="David"/>
          <w:noProof/>
          <w:sz w:val="24"/>
          <w:szCs w:val="24"/>
          <w:rtl/>
          <w:lang w:val="en-US" w:bidi="he-IL"/>
        </w:rPr>
        <w:t xml:space="preserve">סינטקס</w:t>
      </w:r>
      <w:r>
        <w:rPr>
          <w:rFonts w:ascii="David" w:cs="David" w:eastAsia="David" w:hAnsi="David"/>
          <w:sz w:val="24"/>
          <w:szCs w:val="24"/>
          <w:rtl/>
          <w:lang w:val="en-US" w:bidi="he-IL"/>
        </w:rPr>
        <w:t xml:space="preserve"> פשוט ל-</w:t>
      </w:r>
      <w:r>
        <w:rPr>
          <w:rFonts w:ascii="Times New Roman" w:cs="Times New Roman" w:eastAsia="Times New Roman" w:hAnsi="Times New Roman"/>
          <w:noProof/>
          <w:sz w:val="24"/>
          <w:szCs w:val="24"/>
          <w:lang w:val="en-US" w:bidi="he-IL"/>
        </w:rPr>
        <w:t xml:space="preserve">SPSS</w:t>
      </w:r>
      <w:r>
        <w:rPr>
          <w:rFonts w:ascii="David" w:cs="David" w:eastAsia="David" w:hAnsi="David"/>
          <w:sz w:val="24"/>
          <w:szCs w:val="24"/>
          <w:rtl/>
          <w:lang w:val="en-US" w:bidi="he-IL"/>
        </w:rPr>
        <w:t xml:space="preserve"> לבחינת שאלת המחקר, הכולל סטטיסטיקה תיאורית של המשתנים, פירוט הרכב משתנה הלגיטימיות, מתאמים או ניתוח שונות, רגרסיה וקידוד מחדש של משתני טקסט במידת הצורך, תוך הבחנה בין מתאם </w:t>
      </w:r>
      <w:r>
        <w:rPr>
          <w:rFonts w:ascii="David" w:cs="David" w:eastAsia="David" w:hAnsi="David"/>
          <w:noProof/>
          <w:sz w:val="24"/>
          <w:szCs w:val="24"/>
          <w:rtl/>
          <w:lang w:val="en-US" w:bidi="he-IL"/>
        </w:rPr>
        <w:t xml:space="preserve">פירסון</w:t>
      </w:r>
      <w:r>
        <w:rPr>
          <w:rFonts w:ascii="David" w:cs="David" w:eastAsia="David" w:hAnsi="David"/>
          <w:sz w:val="24"/>
          <w:szCs w:val="24"/>
          <w:rtl/>
          <w:lang w:val="en-US" w:bidi="he-IL"/>
        </w:rPr>
        <w:t xml:space="preserve"> </w:t>
      </w:r>
      <w:r>
        <w:rPr>
          <w:rFonts w:ascii="David" w:cs="David" w:eastAsia="David" w:hAnsi="David"/>
          <w:noProof/>
          <w:sz w:val="24"/>
          <w:szCs w:val="24"/>
          <w:rtl/>
          <w:lang w:val="en-US" w:bidi="he-IL"/>
        </w:rPr>
        <w:t xml:space="preserve">לספירמן</w:t>
      </w:r>
      <w:r>
        <w:rPr>
          <w:rFonts w:ascii="David" w:cs="David" w:eastAsia="David" w:hAnsi="David"/>
          <w:sz w:val="24"/>
          <w:szCs w:val="24"/>
          <w:rtl/>
          <w:lang w:val="en-US" w:bidi="he-IL"/>
        </w:rPr>
        <w:t xml:space="preserve"> לפי סוג המשתנים, ובלי מבחנים מיותרים ובלי פקודות טעינה או שמירה של קבצים. </w:t>
      </w:r>
      <w:r>
        <w:rPr>
          <w:rFonts w:ascii="David" w:cs="David" w:eastAsia="David" w:hAnsi="David"/>
          <w:noProof/>
          <w:sz w:val="24"/>
          <w:szCs w:val="24"/>
          <w:rtl/>
          <w:lang w:val="en-US" w:bidi="he-IL"/>
        </w:rPr>
        <w:t xml:space="preserve">הסינטקס</w:t>
      </w:r>
      <w:r>
        <w:rPr>
          <w:rFonts w:ascii="David" w:cs="David" w:eastAsia="David" w:hAnsi="David"/>
          <w:sz w:val="24"/>
          <w:szCs w:val="24"/>
          <w:rtl/>
          <w:lang w:val="en-US" w:bidi="he-IL"/>
        </w:rPr>
        <w:t xml:space="preserve"> שהתקבל הורץ ב-</w:t>
      </w:r>
      <w:r>
        <w:rPr>
          <w:rFonts w:ascii="Times New Roman" w:cs="Times New Roman" w:eastAsia="Times New Roman" w:hAnsi="Times New Roman"/>
          <w:noProof/>
          <w:sz w:val="24"/>
          <w:szCs w:val="24"/>
          <w:lang w:val="en-US" w:bidi="he-IL"/>
        </w:rPr>
        <w:t xml:space="preserve">SPSS</w:t>
      </w:r>
      <w:r>
        <w:rPr>
          <w:rFonts w:ascii="David" w:cs="David" w:eastAsia="David" w:hAnsi="David"/>
          <w:sz w:val="24"/>
          <w:szCs w:val="24"/>
          <w:rtl/>
          <w:lang w:val="en-US" w:bidi="he-IL"/>
        </w:rPr>
        <w:t xml:space="preserve"> על ידי הכותבות, והפלטים שבנספח א' הם תוצריו.</w:t>
      </w:r>
    </w:p>
    <w:p>
      <w:pPr>
        <w:bidi/>
        <w:spacing w:after="120" w:line="360"/>
        <w:jc w:val="both"/>
      </w:pPr>
      <w:r>
        <w:rPr>
          <w:rFonts w:ascii="David" w:cs="David" w:eastAsia="David" w:hAnsi="David"/>
          <w:sz w:val="24"/>
          <w:szCs w:val="24"/>
          <w:rtl/>
          <w:lang w:val="en-US" w:bidi="he-IL"/>
        </w:rPr>
        <w:t xml:space="preserve">נוסף על כך נעשה שימוש בכלי בינה מלאכותית לצורכי עריכה לשונית, תרגום התקציר לאנגלית ועיצוב המסמך. בחירת שאלת המחקר, קריאת המקורות, פירוש הממצאים והמסקנות הם של הכותבות.</w:t>
      </w:r>
    </w:p>
    <w:p>
      <w:pPr>
        <w:bidi/>
        <w:spacing w:after="120" w:line="360"/>
        <w:jc w:val="both"/>
      </w:pPr>
      <w:r>
        <w:rPr>
          <w:rFonts w:ascii="David" w:cs="David" w:eastAsia="David" w:hAnsi="David"/>
          <w:sz w:val="24"/>
          <w:szCs w:val="24"/>
          <w:rtl/>
          <w:lang w:val="en-US" w:bidi="he-IL"/>
        </w:rPr>
        <w:t xml:space="preserve">חלוקת העבודה: </w:t>
      </w:r>
      <w:r>
        <w:rPr>
          <w:rFonts w:ascii="David" w:cs="David" w:eastAsia="David" w:hAnsi="David"/>
          <w:sz w:val="24"/>
          <w:szCs w:val="24"/>
          <w:highlight w:val="yellow"/>
          <w:rtl/>
          <w:lang w:val="en-US" w:bidi="he-IL"/>
        </w:rPr>
        <w:t xml:space="preserve">שם</w:t>
      </w:r>
      <w:r>
        <w:rPr>
          <w:rFonts w:ascii="David" w:cs="David" w:eastAsia="David" w:hAnsi="David"/>
          <w:sz w:val="24"/>
          <w:szCs w:val="24"/>
          <w:rtl/>
          <w:lang w:val="en-US" w:bidi="he-IL"/>
        </w:rPr>
        <w:t xml:space="preserve"> כתבה את המבוא ואת סקירת הספרות; </w:t>
      </w:r>
      <w:r>
        <w:rPr>
          <w:rFonts w:ascii="David" w:cs="David" w:eastAsia="David" w:hAnsi="David"/>
          <w:sz w:val="24"/>
          <w:szCs w:val="24"/>
          <w:highlight w:val="yellow"/>
          <w:rtl/>
          <w:lang w:val="en-US" w:bidi="he-IL"/>
        </w:rPr>
        <w:t xml:space="preserve">שם</w:t>
      </w:r>
      <w:r>
        <w:rPr>
          <w:rFonts w:ascii="David" w:cs="David" w:eastAsia="David" w:hAnsi="David"/>
          <w:sz w:val="24"/>
          <w:szCs w:val="24"/>
          <w:rtl/>
          <w:lang w:val="en-US" w:bidi="he-IL"/>
        </w:rPr>
        <w:t xml:space="preserve"> כתבה את פרק השיטה ואת פרק הממצאים והריצה את הניתוחים ב-</w:t>
      </w:r>
      <w:r>
        <w:rPr>
          <w:rFonts w:ascii="Times New Roman" w:cs="Times New Roman" w:eastAsia="Times New Roman" w:hAnsi="Times New Roman"/>
          <w:noProof/>
          <w:sz w:val="24"/>
          <w:szCs w:val="24"/>
          <w:lang w:val="en-US" w:bidi="he-IL"/>
        </w:rPr>
        <w:t xml:space="preserve">SPSS</w:t>
      </w:r>
      <w:r>
        <w:rPr>
          <w:rFonts w:ascii="David" w:cs="David" w:eastAsia="David" w:hAnsi="David"/>
          <w:sz w:val="24"/>
          <w:szCs w:val="24"/>
          <w:rtl/>
          <w:lang w:val="en-US" w:bidi="he-IL"/>
        </w:rPr>
        <w:t xml:space="preserve">; הדיון, המגבלות והסיכום נכתבו במשותף. </w:t>
      </w:r>
      <w:r>
        <w:rPr>
          <w:rFonts w:ascii="David" w:cs="David" w:eastAsia="David" w:hAnsi="David"/>
          <w:sz w:val="24"/>
          <w:szCs w:val="24"/>
          <w:highlight w:val="yellow"/>
          <w:rtl/>
          <w:lang w:val="en-US" w:bidi="he-IL"/>
        </w:rPr>
        <w:t xml:space="preserve">להתאים לחלוקה בפועל.</w:t>
      </w:r>
    </w:p>
    <w:p>
      <w:pPr>
        <w:pStyle w:val="Heading1"/>
        <w:pageBreakBefore/>
        <w:bidi/>
        <w:spacing w:after="240" w:before="0" w:line="360"/>
        <w:jc w:val="right"/>
      </w:pPr>
      <w:r>
        <w:rPr>
          <w:rFonts w:ascii="David" w:cs="David" w:eastAsia="David" w:hAnsi="David"/>
          <w:b/>
          <w:bCs/>
          <w:noProof/>
          <w:sz w:val="32"/>
          <w:szCs w:val="32"/>
          <w:rtl/>
          <w:lang w:val="en-US" w:bidi="he-IL"/>
        </w:rPr>
        <w:t xml:space="preserve">ביבליוגרפיה</w:t>
      </w:r>
    </w:p>
    <w:p>
      <w:pPr>
        <w:bidi/>
        <w:spacing w:after="120" w:line="360"/>
        <w:ind w:start="709" w:hanging="709"/>
        <w:jc w:val="right"/>
      </w:pPr>
      <w:r>
        <w:rPr>
          <w:rFonts w:ascii="David" w:cs="David" w:eastAsia="David" w:hAnsi="David"/>
          <w:b w:val="false"/>
          <w:bCs w:val="false"/>
          <w:noProof/>
          <w:sz w:val="24"/>
          <w:szCs w:val="24"/>
          <w:rtl/>
          <w:lang w:val="en-US" w:bidi="he-IL"/>
        </w:rPr>
        <w:t xml:space="preserve">גזל-אייל</w:t>
      </w:r>
      <w:r>
        <w:rPr>
          <w:rFonts w:ascii="David" w:cs="David" w:eastAsia="David" w:hAnsi="David"/>
          <w:b w:val="false"/>
          <w:bCs w:val="false"/>
          <w:noProof/>
          <w:sz w:val="24"/>
          <w:szCs w:val="24"/>
          <w:rtl/>
          <w:lang w:val="en-US" w:bidi="he-IL"/>
        </w:rPr>
        <w:t xml:space="preserve">, א' </w:t>
      </w:r>
      <w:r>
        <w:rPr>
          <w:rFonts w:ascii="David" w:cs="David" w:eastAsia="David" w:hAnsi="David"/>
          <w:b w:val="false"/>
          <w:bCs w:val="false"/>
          <w:noProof/>
          <w:sz w:val="24"/>
          <w:szCs w:val="24"/>
          <w:rtl/>
          <w:lang w:val="en-US" w:bidi="he-IL"/>
        </w:rPr>
        <w:t xml:space="preserve">ומרזוק-מקלדה</w:t>
      </w:r>
      <w:r>
        <w:rPr>
          <w:rFonts w:ascii="David" w:cs="David" w:eastAsia="David" w:hAnsi="David"/>
          <w:b w:val="false"/>
          <w:bCs w:val="false"/>
          <w:noProof/>
          <w:sz w:val="24"/>
          <w:szCs w:val="24"/>
          <w:rtl/>
          <w:lang w:val="en-US" w:bidi="he-IL"/>
        </w:rPr>
        <w:t xml:space="preserve">, פ' (</w:t>
      </w:r>
      <w:r>
        <w:rPr>
          <w:rFonts w:ascii="Times New Roman" w:cs="Times New Roman" w:eastAsia="Times New Roman" w:hAnsi="Times New Roman"/>
          <w:b w:val="false"/>
          <w:bCs w:val="false"/>
          <w:noProof/>
          <w:sz w:val="24"/>
          <w:szCs w:val="24"/>
          <w:lang w:val="en-US" w:bidi="he-IL"/>
        </w:rPr>
        <w:t xml:space="preserve">2023</w:t>
      </w:r>
      <w:r>
        <w:rPr>
          <w:rFonts w:ascii="David" w:cs="David" w:eastAsia="David" w:hAnsi="David"/>
          <w:b w:val="false"/>
          <w:bCs w:val="false"/>
          <w:noProof/>
          <w:sz w:val="24"/>
          <w:szCs w:val="24"/>
          <w:rtl/>
          <w:lang w:val="en-US" w:bidi="he-IL"/>
        </w:rPr>
        <w:t xml:space="preserve">). מהפכת השחרור המנהלי: ממדיניות כליאה מבוססת ביקוש למדיניות מבוססת היצע. </w:t>
      </w:r>
      <w:r>
        <w:rPr>
          <w:rFonts w:ascii="David" w:cs="David" w:eastAsia="David" w:hAnsi="David"/>
          <w:b/>
          <w:bCs/>
          <w:noProof/>
          <w:sz w:val="24"/>
          <w:szCs w:val="24"/>
          <w:rtl/>
          <w:lang w:val="en-US" w:bidi="he-IL"/>
        </w:rPr>
        <w:t xml:space="preserve">עיוני משפט, מז</w:t>
      </w:r>
      <w:r>
        <w:rPr>
          <w:rFonts w:ascii="Times New Roman" w:cs="Times New Roman" w:eastAsia="Times New Roman" w:hAnsi="Times New Roman"/>
          <w:b w:val="false"/>
          <w:bCs w:val="false"/>
          <w:noProof/>
          <w:sz w:val="24"/>
          <w:szCs w:val="24"/>
          <w:lang w:val="en-US" w:bidi="he-IL"/>
        </w:rPr>
        <w:t xml:space="preserve">, 57-123. https://www.taulawreview.sites.tau.ac.il/mz1/gazalayal_makalda</w:t>
      </w:r>
    </w:p>
    <w:p>
      <w:pPr>
        <w:bidi/>
        <w:spacing w:after="120" w:line="360"/>
        <w:ind w:start="709" w:hanging="709"/>
        <w:jc w:val="right"/>
      </w:pPr>
      <w:r>
        <w:rPr>
          <w:rFonts w:ascii="David" w:cs="David" w:eastAsia="David" w:hAnsi="David"/>
          <w:b w:val="false"/>
          <w:bCs w:val="false"/>
          <w:noProof/>
          <w:sz w:val="24"/>
          <w:szCs w:val="24"/>
          <w:rtl/>
          <w:lang w:val="en-US" w:bidi="he-IL"/>
        </w:rPr>
        <w:t xml:space="preserve">דגן</w:t>
      </w:r>
      <w:r>
        <w:rPr>
          <w:rFonts w:ascii="David" w:cs="David" w:eastAsia="David" w:hAnsi="David"/>
          <w:b w:val="false"/>
          <w:bCs w:val="false"/>
          <w:noProof/>
          <w:sz w:val="24"/>
          <w:szCs w:val="24"/>
          <w:rtl/>
          <w:lang w:val="en-US" w:bidi="he-IL"/>
        </w:rPr>
        <w:t xml:space="preserve">, נ' (</w:t>
      </w:r>
      <w:r>
        <w:rPr>
          <w:rFonts w:ascii="Times New Roman" w:cs="Times New Roman" w:eastAsia="Times New Roman" w:hAnsi="Times New Roman"/>
          <w:b w:val="false"/>
          <w:bCs w:val="false"/>
          <w:noProof/>
          <w:sz w:val="24"/>
          <w:szCs w:val="24"/>
          <w:lang w:val="en-US" w:bidi="he-IL"/>
        </w:rPr>
        <w:t xml:space="preserve">2021</w:t>
      </w:r>
      <w:r>
        <w:rPr>
          <w:rFonts w:ascii="David" w:cs="David" w:eastAsia="David" w:hAnsi="David"/>
          <w:b w:val="false"/>
          <w:bCs w:val="false"/>
          <w:noProof/>
          <w:sz w:val="24"/>
          <w:szCs w:val="24"/>
          <w:rtl/>
          <w:lang w:val="en-US" w:bidi="he-IL"/>
        </w:rPr>
        <w:t xml:space="preserve">). שני מושגים של שלילת חירות: היחס בין שיקולי הענישה לתכליות הכליאה והשפעתו על זכויות האסיר. </w:t>
      </w:r>
      <w:r>
        <w:rPr>
          <w:rFonts w:ascii="David" w:cs="David" w:eastAsia="David" w:hAnsi="David"/>
          <w:b/>
          <w:bCs/>
          <w:noProof/>
          <w:sz w:val="24"/>
          <w:szCs w:val="24"/>
          <w:rtl/>
          <w:lang w:val="en-US" w:bidi="he-IL"/>
        </w:rPr>
        <w:t xml:space="preserve">חוקים, טו</w:t>
      </w:r>
      <w:r>
        <w:rPr>
          <w:rFonts w:ascii="Times New Roman" w:cs="Times New Roman" w:eastAsia="Times New Roman" w:hAnsi="Times New Roman"/>
          <w:b w:val="false"/>
          <w:bCs w:val="false"/>
          <w:noProof/>
          <w:sz w:val="24"/>
          <w:szCs w:val="24"/>
          <w:lang w:val="en-US" w:bidi="he-IL"/>
        </w:rPr>
        <w:t xml:space="preserve">, 9-48. https://law.huji.ac.il/sites/default/files/law/files/shny_mvshgym_shl_shlylt_khyrvt.pdf</w:t>
      </w:r>
    </w:p>
    <w:p>
      <w:pPr>
        <w:bidi/>
        <w:spacing w:after="120" w:line="360"/>
        <w:ind w:start="709" w:hanging="709"/>
        <w:jc w:val="right"/>
      </w:pPr>
      <w:r>
        <w:rPr>
          <w:rFonts w:ascii="David" w:cs="David" w:eastAsia="David" w:hAnsi="David"/>
          <w:b w:val="false"/>
          <w:bCs w:val="false"/>
          <w:noProof/>
          <w:sz w:val="24"/>
          <w:szCs w:val="24"/>
          <w:rtl/>
          <w:lang w:val="en-US" w:bidi="he-IL"/>
        </w:rPr>
        <w:t xml:space="preserve">דוידסקו</w:t>
      </w:r>
      <w:r>
        <w:rPr>
          <w:rFonts w:ascii="David" w:cs="David" w:eastAsia="David" w:hAnsi="David"/>
          <w:b w:val="false"/>
          <w:bCs w:val="false"/>
          <w:noProof/>
          <w:sz w:val="24"/>
          <w:szCs w:val="24"/>
          <w:rtl/>
          <w:lang w:val="en-US" w:bidi="he-IL"/>
        </w:rPr>
        <w:t xml:space="preserve">, ע' </w:t>
      </w:r>
      <w:r>
        <w:rPr>
          <w:rFonts w:ascii="David" w:cs="David" w:eastAsia="David" w:hAnsi="David"/>
          <w:b w:val="false"/>
          <w:bCs w:val="false"/>
          <w:noProof/>
          <w:sz w:val="24"/>
          <w:szCs w:val="24"/>
          <w:rtl/>
          <w:lang w:val="en-US" w:bidi="he-IL"/>
        </w:rPr>
        <w:t xml:space="preserve">וולק</w:t>
      </w:r>
      <w:r>
        <w:rPr>
          <w:rFonts w:ascii="David" w:cs="David" w:eastAsia="David" w:hAnsi="David"/>
          <w:b w:val="false"/>
          <w:bCs w:val="false"/>
          <w:noProof/>
          <w:sz w:val="24"/>
          <w:szCs w:val="24"/>
          <w:rtl/>
          <w:lang w:val="en-US" w:bidi="he-IL"/>
        </w:rPr>
        <w:t xml:space="preserve">, ד' (</w:t>
      </w:r>
      <w:r>
        <w:rPr>
          <w:rFonts w:ascii="Times New Roman" w:cs="Times New Roman" w:eastAsia="Times New Roman" w:hAnsi="Times New Roman"/>
          <w:b w:val="false"/>
          <w:bCs w:val="false"/>
          <w:noProof/>
          <w:sz w:val="24"/>
          <w:szCs w:val="24"/>
          <w:lang w:val="en-US" w:bidi="he-IL"/>
        </w:rPr>
        <w:t xml:space="preserve">2015</w:t>
      </w:r>
      <w:r>
        <w:rPr>
          <w:rFonts w:ascii="David" w:cs="David" w:eastAsia="David" w:hAnsi="David"/>
          <w:b w:val="false"/>
          <w:bCs w:val="false"/>
          <w:noProof/>
          <w:sz w:val="24"/>
          <w:szCs w:val="24"/>
          <w:rtl/>
          <w:lang w:val="en-US" w:bidi="he-IL"/>
        </w:rPr>
        <w:t xml:space="preserve">). </w:t>
      </w:r>
      <w:r>
        <w:rPr>
          <w:rFonts w:ascii="David" w:cs="David" w:eastAsia="David" w:hAnsi="David"/>
          <w:b/>
          <w:bCs/>
          <w:noProof/>
          <w:sz w:val="24"/>
          <w:szCs w:val="24"/>
          <w:rtl/>
          <w:lang w:val="en-US" w:bidi="he-IL"/>
        </w:rPr>
        <w:t xml:space="preserve">תנאי כליאה של אסירים: בין רווחה לנוקשות</w:t>
      </w:r>
      <w:r>
        <w:rPr>
          <w:rFonts w:ascii="David" w:cs="David" w:eastAsia="David" w:hAnsi="David"/>
          <w:b w:val="false"/>
          <w:bCs w:val="false"/>
          <w:noProof/>
          <w:sz w:val="24"/>
          <w:szCs w:val="24"/>
          <w:rtl/>
          <w:lang w:val="en-US" w:bidi="he-IL"/>
        </w:rPr>
        <w:t xml:space="preserve"> (סקירת ספרות, פרסום מס' </w:t>
      </w:r>
      <w:r>
        <w:rPr>
          <w:rFonts w:ascii="Times New Roman" w:cs="Times New Roman" w:eastAsia="Times New Roman" w:hAnsi="Times New Roman"/>
          <w:b w:val="false"/>
          <w:bCs w:val="false"/>
          <w:noProof/>
          <w:sz w:val="24"/>
          <w:szCs w:val="24"/>
          <w:lang w:val="en-US" w:bidi="he-IL"/>
        </w:rPr>
        <w:t xml:space="preserve">LR-02-2015</w:t>
      </w:r>
      <w:r>
        <w:rPr>
          <w:rFonts w:ascii="David" w:cs="David" w:eastAsia="David" w:hAnsi="David"/>
          <w:b w:val="false"/>
          <w:bCs w:val="false"/>
          <w:noProof/>
          <w:sz w:val="24"/>
          <w:szCs w:val="24"/>
          <w:rtl/>
          <w:lang w:val="en-US" w:bidi="he-IL"/>
        </w:rPr>
        <w:t xml:space="preserve">). שירות בתי הסוהר, מחלקת מחקר ואסטרטגיה.</w:t>
      </w:r>
    </w:p>
    <w:p>
      <w:pPr>
        <w:bidi/>
        <w:spacing w:after="120" w:line="360"/>
        <w:ind w:start="709" w:hanging="709"/>
        <w:jc w:val="right"/>
      </w:pPr>
      <w:r>
        <w:rPr>
          <w:rFonts w:ascii="David" w:cs="David" w:eastAsia="David" w:hAnsi="David"/>
          <w:b w:val="false"/>
          <w:bCs w:val="false"/>
          <w:noProof/>
          <w:sz w:val="24"/>
          <w:szCs w:val="24"/>
          <w:rtl/>
          <w:lang w:val="en-US" w:bidi="he-IL"/>
        </w:rPr>
        <w:t xml:space="preserve">ועקנין</w:t>
      </w:r>
      <w:r>
        <w:rPr>
          <w:rFonts w:ascii="David" w:cs="David" w:eastAsia="David" w:hAnsi="David"/>
          <w:b w:val="false"/>
          <w:bCs w:val="false"/>
          <w:noProof/>
          <w:sz w:val="24"/>
          <w:szCs w:val="24"/>
          <w:rtl/>
          <w:lang w:val="en-US" w:bidi="he-IL"/>
        </w:rPr>
        <w:t xml:space="preserve">, י' (</w:t>
      </w:r>
      <w:r>
        <w:rPr>
          <w:rFonts w:ascii="Times New Roman" w:cs="Times New Roman" w:eastAsia="Times New Roman" w:hAnsi="Times New Roman"/>
          <w:b w:val="false"/>
          <w:bCs w:val="false"/>
          <w:noProof/>
          <w:sz w:val="24"/>
          <w:szCs w:val="24"/>
          <w:lang w:val="en-US" w:bidi="he-IL"/>
        </w:rPr>
        <w:t xml:space="preserve">2024</w:t>
      </w:r>
      <w:r>
        <w:rPr>
          <w:rFonts w:ascii="David" w:cs="David" w:eastAsia="David" w:hAnsi="David"/>
          <w:b w:val="false"/>
          <w:bCs w:val="false"/>
          <w:noProof/>
          <w:sz w:val="24"/>
          <w:szCs w:val="24"/>
          <w:rtl/>
          <w:lang w:val="en-US" w:bidi="he-IL"/>
        </w:rPr>
        <w:t xml:space="preserve">). בין שיקום ללגיטימיות: התפקיד של לגיטימיות בקשר שבין שביעות רצון מתנאי המחיה לשביעות רצון מפעילות חטו"ש בקרב כלואים פליליים בישראל. </w:t>
      </w:r>
      <w:r>
        <w:rPr>
          <w:rFonts w:ascii="David" w:cs="David" w:eastAsia="David" w:hAnsi="David"/>
          <w:b/>
          <w:bCs/>
          <w:noProof/>
          <w:sz w:val="24"/>
          <w:szCs w:val="24"/>
          <w:rtl/>
          <w:lang w:val="en-US" w:bidi="he-IL"/>
        </w:rPr>
        <w:t xml:space="preserve">צוהר לבית הסוהר: מחקרים בכליאה, ביטחון ואכיפה, </w:t>
      </w:r>
      <w:r>
        <w:rPr>
          <w:rFonts w:ascii="Times New Roman" w:cs="Times New Roman" w:eastAsia="Times New Roman" w:hAnsi="Times New Roman"/>
          <w:b/>
          <w:bCs/>
          <w:noProof/>
          <w:sz w:val="24"/>
          <w:szCs w:val="24"/>
          <w:lang w:val="en-US" w:bidi="he-IL"/>
        </w:rPr>
        <w:t xml:space="preserve">22</w:t>
      </w:r>
      <w:r>
        <w:rPr>
          <w:rFonts w:ascii="Times New Roman" w:cs="Times New Roman" w:eastAsia="Times New Roman" w:hAnsi="Times New Roman"/>
          <w:b w:val="false"/>
          <w:bCs w:val="false"/>
          <w:noProof/>
          <w:sz w:val="24"/>
          <w:szCs w:val="24"/>
          <w:lang w:val="en-US" w:bidi="he-IL"/>
        </w:rPr>
        <w:t xml:space="preserve">, 62-77. https://www.gov.il/BlobFolder/guide/zohar/he/%D7%A6%D7%95%D7%94%D7%A8%2022.pdf</w:t>
      </w:r>
    </w:p>
    <w:p>
      <w:pPr>
        <w:bidi/>
        <w:spacing w:after="120" w:line="360"/>
        <w:ind w:start="709" w:hanging="709"/>
        <w:jc w:val="right"/>
      </w:pPr>
      <w:r>
        <w:rPr>
          <w:rFonts w:ascii="David" w:cs="David" w:eastAsia="David" w:hAnsi="David"/>
          <w:b w:val="false"/>
          <w:bCs w:val="false"/>
          <w:noProof/>
          <w:sz w:val="24"/>
          <w:szCs w:val="24"/>
          <w:rtl/>
          <w:lang w:val="en-US" w:bidi="he-IL"/>
        </w:rPr>
        <w:t xml:space="preserve">ועקנין</w:t>
      </w:r>
      <w:r>
        <w:rPr>
          <w:rFonts w:ascii="David" w:cs="David" w:eastAsia="David" w:hAnsi="David"/>
          <w:b w:val="false"/>
          <w:bCs w:val="false"/>
          <w:noProof/>
          <w:sz w:val="24"/>
          <w:szCs w:val="24"/>
          <w:rtl/>
          <w:lang w:val="en-US" w:bidi="he-IL"/>
        </w:rPr>
        <w:t xml:space="preserve">, י' (</w:t>
      </w:r>
      <w:r>
        <w:rPr>
          <w:rFonts w:ascii="Times New Roman" w:cs="Times New Roman" w:eastAsia="Times New Roman" w:hAnsi="Times New Roman"/>
          <w:b w:val="false"/>
          <w:bCs w:val="false"/>
          <w:noProof/>
          <w:sz w:val="24"/>
          <w:szCs w:val="24"/>
          <w:lang w:val="en-US" w:bidi="he-IL"/>
        </w:rPr>
        <w:t xml:space="preserve">2025,</w:t>
      </w:r>
      <w:r>
        <w:rPr>
          <w:rFonts w:ascii="Times New Roman" w:cs="Times New Roman" w:eastAsia="Times New Roman" w:hAnsi="Times New Roman"/>
          <w:b w:val="false"/>
          <w:bCs w:val="false"/>
          <w:noProof/>
          <w:sz w:val="24"/>
          <w:szCs w:val="24"/>
          <w:lang w:val="en-US" w:bidi="he-IL"/>
        </w:rPr>
        <w:t xml:space="preserve"> </w:t>
      </w:r>
      <w:r>
        <w:rPr>
          <w:rFonts w:ascii="Times New Roman" w:cs="Times New Roman" w:eastAsia="Times New Roman" w:hAnsi="Times New Roman"/>
          <w:b w:val="false"/>
          <w:bCs w:val="false"/>
          <w:noProof/>
          <w:sz w:val="24"/>
          <w:szCs w:val="24"/>
          <w:lang w:val="en-US" w:bidi="he-IL"/>
        </w:rPr>
        <w:t xml:space="preserve">8</w:t>
      </w:r>
      <w:r>
        <w:rPr>
          <w:rFonts w:ascii="David" w:cs="David" w:eastAsia="David" w:hAnsi="David"/>
          <w:b w:val="false"/>
          <w:bCs w:val="false"/>
          <w:noProof/>
          <w:sz w:val="24"/>
          <w:szCs w:val="24"/>
          <w:rtl/>
          <w:lang w:val="en-US" w:bidi="he-IL"/>
        </w:rPr>
        <w:t xml:space="preserve"> בינואר). </w:t>
      </w:r>
      <w:r>
        <w:rPr>
          <w:rFonts w:ascii="David" w:cs="David" w:eastAsia="David" w:hAnsi="David"/>
          <w:b/>
          <w:bCs/>
          <w:noProof/>
          <w:sz w:val="24"/>
          <w:szCs w:val="24"/>
          <w:rtl/>
          <w:lang w:val="en-US" w:bidi="he-IL"/>
        </w:rPr>
        <w:t xml:space="preserve">אפקטיביות תוכניות </w:t>
      </w:r>
      <w:r>
        <w:rPr>
          <w:rFonts w:ascii="David" w:cs="David" w:eastAsia="David" w:hAnsi="David"/>
          <w:b/>
          <w:bCs/>
          <w:noProof/>
          <w:sz w:val="24"/>
          <w:szCs w:val="24"/>
          <w:rtl/>
          <w:lang w:val="en-US" w:bidi="he-IL"/>
        </w:rPr>
        <w:t xml:space="preserve">התקון</w:t>
      </w:r>
      <w:r>
        <w:rPr>
          <w:rFonts w:ascii="David" w:cs="David" w:eastAsia="David" w:hAnsi="David"/>
          <w:b/>
          <w:bCs/>
          <w:noProof/>
          <w:sz w:val="24"/>
          <w:szCs w:val="24"/>
          <w:rtl/>
          <w:lang w:val="en-US" w:bidi="he-IL"/>
        </w:rPr>
        <w:t xml:space="preserve"> בשב"ס</w:t>
      </w:r>
      <w:r>
        <w:rPr>
          <w:rFonts w:ascii="David" w:cs="David" w:eastAsia="David" w:hAnsi="David"/>
          <w:b w:val="false"/>
          <w:bCs w:val="false"/>
          <w:noProof/>
          <w:sz w:val="24"/>
          <w:szCs w:val="24"/>
          <w:rtl/>
          <w:lang w:val="en-US" w:bidi="he-IL"/>
        </w:rPr>
        <w:t xml:space="preserve"> [מצגת בכנס]. כנס מחקר שב"ס, שירות בתי הסוהר.</w:t>
      </w:r>
    </w:p>
    <w:p>
      <w:pPr>
        <w:bidi/>
        <w:spacing w:after="120" w:line="360"/>
        <w:ind w:start="709" w:hanging="709"/>
        <w:jc w:val="right"/>
      </w:pPr>
      <w:r>
        <w:rPr>
          <w:rFonts w:ascii="David" w:cs="David" w:eastAsia="David" w:hAnsi="David"/>
          <w:b w:val="false"/>
          <w:bCs w:val="false"/>
          <w:noProof/>
          <w:sz w:val="24"/>
          <w:szCs w:val="24"/>
          <w:rtl/>
          <w:lang w:val="en-US" w:bidi="he-IL"/>
        </w:rPr>
        <w:t xml:space="preserve">יכימוביץ-כהן</w:t>
      </w:r>
      <w:r>
        <w:rPr>
          <w:rFonts w:ascii="David" w:cs="David" w:eastAsia="David" w:hAnsi="David"/>
          <w:b w:val="false"/>
          <w:bCs w:val="false"/>
          <w:noProof/>
          <w:sz w:val="24"/>
          <w:szCs w:val="24"/>
          <w:rtl/>
          <w:lang w:val="en-US" w:bidi="he-IL"/>
        </w:rPr>
        <w:t xml:space="preserve">, נ' (</w:t>
      </w:r>
      <w:r>
        <w:rPr>
          <w:rFonts w:ascii="Times New Roman" w:cs="Times New Roman" w:eastAsia="Times New Roman" w:hAnsi="Times New Roman"/>
          <w:b w:val="false"/>
          <w:bCs w:val="false"/>
          <w:noProof/>
          <w:sz w:val="24"/>
          <w:szCs w:val="24"/>
          <w:lang w:val="en-US" w:bidi="he-IL"/>
        </w:rPr>
        <w:t xml:space="preserve">2020</w:t>
      </w:r>
      <w:r>
        <w:rPr>
          <w:rFonts w:ascii="David" w:cs="David" w:eastAsia="David" w:hAnsi="David"/>
          <w:b w:val="false"/>
          <w:bCs w:val="false"/>
          <w:noProof/>
          <w:sz w:val="24"/>
          <w:szCs w:val="24"/>
          <w:rtl/>
          <w:lang w:val="en-US" w:bidi="he-IL"/>
        </w:rPr>
        <w:t xml:space="preserve">). </w:t>
      </w:r>
      <w:r>
        <w:rPr>
          <w:rFonts w:ascii="David" w:cs="David" w:eastAsia="David" w:hAnsi="David"/>
          <w:b/>
          <w:bCs/>
          <w:noProof/>
          <w:sz w:val="24"/>
          <w:szCs w:val="24"/>
          <w:rtl/>
          <w:lang w:val="en-US" w:bidi="he-IL"/>
        </w:rPr>
        <w:t xml:space="preserve">סוגיות בכליאה בישראל</w:t>
      </w:r>
      <w:r>
        <w:rPr>
          <w:rFonts w:ascii="David" w:cs="David" w:eastAsia="David" w:hAnsi="David"/>
          <w:b w:val="false"/>
          <w:bCs w:val="false"/>
          <w:noProof/>
          <w:sz w:val="24"/>
          <w:szCs w:val="24"/>
          <w:rtl/>
          <w:lang w:val="en-US" w:bidi="he-IL"/>
        </w:rPr>
        <w:t xml:space="preserve">. הכנסת, מרכז המחקר והמידע. </w:t>
      </w:r>
      <w:r>
        <w:rPr>
          <w:rFonts w:ascii="Times New Roman" w:cs="Times New Roman" w:eastAsia="Times New Roman" w:hAnsi="Times New Roman"/>
          <w:b w:val="false"/>
          <w:bCs w:val="false"/>
          <w:noProof/>
          <w:sz w:val="24"/>
          <w:szCs w:val="24"/>
          <w:lang w:val="en-US" w:bidi="he-IL"/>
        </w:rPr>
        <w:t xml:space="preserve">https://fs.knesset.gov.il/globaldocs/MMM/78db42ca-8119-e911-80e1-00155d0a98a9/2_78db42ca-8119-e911-80e1-00155d0a98a9_11_15096.pdf</w:t>
      </w:r>
    </w:p>
    <w:p>
      <w:pPr>
        <w:bidi/>
        <w:spacing w:after="120" w:line="360"/>
        <w:ind w:start="709" w:hanging="709"/>
        <w:jc w:val="right"/>
      </w:pPr>
      <w:r>
        <w:rPr>
          <w:rFonts w:ascii="David" w:cs="David" w:eastAsia="David" w:hAnsi="David"/>
          <w:b w:val="false"/>
          <w:bCs w:val="false"/>
          <w:noProof/>
          <w:sz w:val="24"/>
          <w:szCs w:val="24"/>
          <w:rtl/>
          <w:lang w:val="en-US" w:bidi="he-IL"/>
        </w:rPr>
        <w:t xml:space="preserve">יפתח-שרצקי</w:t>
      </w:r>
      <w:r>
        <w:rPr>
          <w:rFonts w:ascii="David" w:cs="David" w:eastAsia="David" w:hAnsi="David"/>
          <w:b w:val="false"/>
          <w:bCs w:val="false"/>
          <w:noProof/>
          <w:sz w:val="24"/>
          <w:szCs w:val="24"/>
          <w:rtl/>
          <w:lang w:val="en-US" w:bidi="he-IL"/>
        </w:rPr>
        <w:t xml:space="preserve">, א' </w:t>
      </w:r>
      <w:r>
        <w:rPr>
          <w:rFonts w:ascii="David" w:cs="David" w:eastAsia="David" w:hAnsi="David"/>
          <w:b w:val="false"/>
          <w:bCs w:val="false"/>
          <w:noProof/>
          <w:sz w:val="24"/>
          <w:szCs w:val="24"/>
          <w:rtl/>
          <w:lang w:val="en-US" w:bidi="he-IL"/>
        </w:rPr>
        <w:t xml:space="preserve">והראל</w:t>
      </w:r>
      <w:r>
        <w:rPr>
          <w:rFonts w:ascii="David" w:cs="David" w:eastAsia="David" w:hAnsi="David"/>
          <w:b w:val="false"/>
          <w:bCs w:val="false"/>
          <w:noProof/>
          <w:sz w:val="24"/>
          <w:szCs w:val="24"/>
          <w:rtl/>
          <w:lang w:val="en-US" w:bidi="he-IL"/>
        </w:rPr>
        <w:t xml:space="preserve">, ש' (</w:t>
      </w:r>
      <w:r>
        <w:rPr>
          <w:rFonts w:ascii="Times New Roman" w:cs="Times New Roman" w:eastAsia="Times New Roman" w:hAnsi="Times New Roman"/>
          <w:b w:val="false"/>
          <w:bCs w:val="false"/>
          <w:noProof/>
          <w:sz w:val="24"/>
          <w:szCs w:val="24"/>
          <w:lang w:val="en-US" w:bidi="he-IL"/>
        </w:rPr>
        <w:t xml:space="preserve">2024</w:t>
      </w:r>
      <w:r>
        <w:rPr>
          <w:rFonts w:ascii="David" w:cs="David" w:eastAsia="David" w:hAnsi="David"/>
          <w:b w:val="false"/>
          <w:bCs w:val="false"/>
          <w:noProof/>
          <w:sz w:val="24"/>
          <w:szCs w:val="24"/>
          <w:rtl/>
          <w:lang w:val="en-US" w:bidi="he-IL"/>
        </w:rPr>
        <w:t xml:space="preserve">). צללים מאחורי הסורגים: תסמינים פוסט טראומטיים, ויסות רגשי שלילי והשלכתם על תפקודם של אסירים בכלא. </w:t>
      </w:r>
      <w:r>
        <w:rPr>
          <w:rFonts w:ascii="David" w:cs="David" w:eastAsia="David" w:hAnsi="David"/>
          <w:b/>
          <w:bCs/>
          <w:noProof/>
          <w:sz w:val="24"/>
          <w:szCs w:val="24"/>
          <w:rtl/>
          <w:lang w:val="en-US" w:bidi="he-IL"/>
        </w:rPr>
        <w:t xml:space="preserve">צוהר לבית הסוהר: מחקרים בכליאה, ביטחון ואכיפה, </w:t>
      </w:r>
      <w:r>
        <w:rPr>
          <w:rFonts w:ascii="Times New Roman" w:cs="Times New Roman" w:eastAsia="Times New Roman" w:hAnsi="Times New Roman"/>
          <w:b/>
          <w:bCs/>
          <w:noProof/>
          <w:sz w:val="24"/>
          <w:szCs w:val="24"/>
          <w:lang w:val="en-US" w:bidi="he-IL"/>
        </w:rPr>
        <w:t xml:space="preserve">22</w:t>
      </w:r>
      <w:r>
        <w:rPr>
          <w:rFonts w:ascii="Times New Roman" w:cs="Times New Roman" w:eastAsia="Times New Roman" w:hAnsi="Times New Roman"/>
          <w:b w:val="false"/>
          <w:bCs w:val="false"/>
          <w:noProof/>
          <w:sz w:val="24"/>
          <w:szCs w:val="24"/>
          <w:lang w:val="en-US" w:bidi="he-IL"/>
        </w:rPr>
        <w:t xml:space="preserve">, 130-157. https://www.gov.il/BlobFolder/guide/zohar/he/%D7%A6%D7%95%D7%94%D7%A8%2022.pdf</w:t>
      </w:r>
    </w:p>
    <w:p>
      <w:pPr>
        <w:bidi/>
        <w:spacing w:after="120" w:line="360"/>
        <w:ind w:start="709" w:hanging="709"/>
        <w:jc w:val="right"/>
      </w:pPr>
      <w:r>
        <w:rPr>
          <w:rFonts w:ascii="David" w:cs="David" w:eastAsia="David" w:hAnsi="David"/>
          <w:b w:val="false"/>
          <w:bCs w:val="false"/>
          <w:noProof/>
          <w:sz w:val="24"/>
          <w:szCs w:val="24"/>
          <w:rtl/>
          <w:lang w:val="en-US" w:bidi="he-IL"/>
        </w:rPr>
        <w:t xml:space="preserve">מורלי</w:t>
      </w:r>
      <w:r>
        <w:rPr>
          <w:rFonts w:ascii="David" w:cs="David" w:eastAsia="David" w:hAnsi="David"/>
          <w:b w:val="false"/>
          <w:bCs w:val="false"/>
          <w:noProof/>
          <w:sz w:val="24"/>
          <w:szCs w:val="24"/>
          <w:rtl/>
          <w:lang w:val="en-US" w:bidi="he-IL"/>
        </w:rPr>
        <w:t xml:space="preserve">, י', </w:t>
      </w:r>
      <w:r>
        <w:rPr>
          <w:rFonts w:ascii="David" w:cs="David" w:eastAsia="David" w:hAnsi="David"/>
          <w:b w:val="false"/>
          <w:bCs w:val="false"/>
          <w:noProof/>
          <w:sz w:val="24"/>
          <w:szCs w:val="24"/>
          <w:rtl/>
          <w:lang w:val="en-US" w:bidi="he-IL"/>
        </w:rPr>
        <w:t xml:space="preserve">שער-אפודי</w:t>
      </w:r>
      <w:r>
        <w:rPr>
          <w:rFonts w:ascii="David" w:cs="David" w:eastAsia="David" w:hAnsi="David"/>
          <w:b w:val="false"/>
          <w:bCs w:val="false"/>
          <w:noProof/>
          <w:sz w:val="24"/>
          <w:szCs w:val="24"/>
          <w:rtl/>
          <w:lang w:val="en-US" w:bidi="he-IL"/>
        </w:rPr>
        <w:t xml:space="preserve">, ר' </w:t>
      </w:r>
      <w:r>
        <w:rPr>
          <w:rFonts w:ascii="David" w:cs="David" w:eastAsia="David" w:hAnsi="David"/>
          <w:b w:val="false"/>
          <w:bCs w:val="false"/>
          <w:noProof/>
          <w:sz w:val="24"/>
          <w:szCs w:val="24"/>
          <w:rtl/>
          <w:lang w:val="en-US" w:bidi="he-IL"/>
        </w:rPr>
        <w:t xml:space="preserve">ואבו-ריא</w:t>
      </w:r>
      <w:r>
        <w:rPr>
          <w:rFonts w:ascii="David" w:cs="David" w:eastAsia="David" w:hAnsi="David"/>
          <w:b w:val="false"/>
          <w:bCs w:val="false"/>
          <w:noProof/>
          <w:sz w:val="24"/>
          <w:szCs w:val="24"/>
          <w:rtl/>
          <w:lang w:val="en-US" w:bidi="he-IL"/>
        </w:rPr>
        <w:t xml:space="preserve">, ה' (</w:t>
      </w:r>
      <w:r>
        <w:rPr>
          <w:rFonts w:ascii="Times New Roman" w:cs="Times New Roman" w:eastAsia="Times New Roman" w:hAnsi="Times New Roman"/>
          <w:b w:val="false"/>
          <w:bCs w:val="false"/>
          <w:noProof/>
          <w:sz w:val="24"/>
          <w:szCs w:val="24"/>
          <w:lang w:val="en-US" w:bidi="he-IL"/>
        </w:rPr>
        <w:t xml:space="preserve">2019</w:t>
      </w:r>
      <w:r>
        <w:rPr>
          <w:rFonts w:ascii="David" w:cs="David" w:eastAsia="David" w:hAnsi="David"/>
          <w:b w:val="false"/>
          <w:bCs w:val="false"/>
          <w:noProof/>
          <w:sz w:val="24"/>
          <w:szCs w:val="24"/>
          <w:rtl/>
          <w:lang w:val="en-US" w:bidi="he-IL"/>
        </w:rPr>
        <w:t xml:space="preserve">). ניצחון הרוח: התמודדות דתית ותמיכה חברתית כמנבאים רווחה נפשית בקרב אסירים משוחררים. </w:t>
      </w:r>
      <w:r>
        <w:rPr>
          <w:rFonts w:ascii="David" w:cs="David" w:eastAsia="David" w:hAnsi="David"/>
          <w:b/>
          <w:bCs/>
          <w:noProof/>
          <w:sz w:val="24"/>
          <w:szCs w:val="24"/>
          <w:rtl/>
          <w:lang w:val="en-US" w:bidi="he-IL"/>
        </w:rPr>
        <w:t xml:space="preserve">צוהר לבית הסוהר, </w:t>
      </w:r>
      <w:r>
        <w:rPr>
          <w:rFonts w:ascii="Times New Roman" w:cs="Times New Roman" w:eastAsia="Times New Roman" w:hAnsi="Times New Roman"/>
          <w:b/>
          <w:bCs/>
          <w:noProof/>
          <w:sz w:val="24"/>
          <w:szCs w:val="24"/>
          <w:lang w:val="en-US" w:bidi="he-IL"/>
        </w:rPr>
        <w:t xml:space="preserve">20</w:t>
      </w:r>
      <w:r>
        <w:rPr>
          <w:rFonts w:ascii="Times New Roman" w:cs="Times New Roman" w:eastAsia="Times New Roman" w:hAnsi="Times New Roman"/>
          <w:b w:val="false"/>
          <w:bCs w:val="false"/>
          <w:noProof/>
          <w:sz w:val="24"/>
          <w:szCs w:val="24"/>
          <w:lang w:val="en-US" w:bidi="he-IL"/>
        </w:rPr>
        <w:t xml:space="preserve">, 71-89. https://www.gov.il/BlobFolder/guide/zohar/he/%D7%A6%D7%95%D7%94%D7%A8%20%D7%9C%D7%91%D7%99%D7%AA%20%D7%94%D7%A1%D7%95%D7%94%D7%A8%20%D7%92%D7%9C%D7%99%D7%95%D7%9F%2020.pdf</w:t>
      </w:r>
    </w:p>
    <w:p>
      <w:pPr>
        <w:bidi/>
        <w:spacing w:after="120" w:line="360"/>
        <w:ind w:start="709" w:hanging="709"/>
        <w:jc w:val="right"/>
      </w:pPr>
      <w:r>
        <w:rPr>
          <w:rFonts w:ascii="David" w:cs="David" w:eastAsia="David" w:hAnsi="David"/>
          <w:b w:val="false"/>
          <w:bCs w:val="false"/>
          <w:noProof/>
          <w:sz w:val="24"/>
          <w:szCs w:val="24"/>
          <w:rtl/>
          <w:lang w:val="en-US" w:bidi="he-IL"/>
        </w:rPr>
        <w:t xml:space="preserve">נחשון דהן</w:t>
      </w:r>
      <w:r>
        <w:rPr>
          <w:rFonts w:ascii="David" w:cs="David" w:eastAsia="David" w:hAnsi="David"/>
          <w:b w:val="false"/>
          <w:bCs w:val="false"/>
          <w:noProof/>
          <w:sz w:val="24"/>
          <w:szCs w:val="24"/>
          <w:rtl/>
          <w:lang w:val="en-US" w:bidi="he-IL"/>
        </w:rPr>
        <w:t xml:space="preserve">, מ' </w:t>
      </w:r>
      <w:r>
        <w:rPr>
          <w:rFonts w:ascii="David" w:cs="David" w:eastAsia="David" w:hAnsi="David"/>
          <w:b w:val="false"/>
          <w:bCs w:val="false"/>
          <w:noProof/>
          <w:sz w:val="24"/>
          <w:szCs w:val="24"/>
          <w:rtl/>
          <w:lang w:val="en-US" w:bidi="he-IL"/>
        </w:rPr>
        <w:t xml:space="preserve">וכץ</w:t>
      </w:r>
      <w:r>
        <w:rPr>
          <w:rFonts w:ascii="David" w:cs="David" w:eastAsia="David" w:hAnsi="David"/>
          <w:b w:val="false"/>
          <w:bCs w:val="false"/>
          <w:noProof/>
          <w:sz w:val="24"/>
          <w:szCs w:val="24"/>
          <w:rtl/>
          <w:lang w:val="en-US" w:bidi="he-IL"/>
        </w:rPr>
        <w:t xml:space="preserve">, ע' (</w:t>
      </w:r>
      <w:r>
        <w:rPr>
          <w:rFonts w:ascii="Times New Roman" w:cs="Times New Roman" w:eastAsia="Times New Roman" w:hAnsi="Times New Roman"/>
          <w:b w:val="false"/>
          <w:bCs w:val="false"/>
          <w:noProof/>
          <w:sz w:val="24"/>
          <w:szCs w:val="24"/>
          <w:lang w:val="en-US" w:bidi="he-IL"/>
        </w:rPr>
        <w:t xml:space="preserve">2024</w:t>
      </w:r>
      <w:r>
        <w:rPr>
          <w:rFonts w:ascii="David" w:cs="David" w:eastAsia="David" w:hAnsi="David"/>
          <w:b w:val="false"/>
          <w:bCs w:val="false"/>
          <w:noProof/>
          <w:sz w:val="24"/>
          <w:szCs w:val="24"/>
          <w:rtl/>
          <w:lang w:val="en-US" w:bidi="he-IL"/>
        </w:rPr>
        <w:t xml:space="preserve">). מוטיבציה ללמידה בקרב אסירים: האם תמיכה בצרכים פסיכולוגיים של אסירים במרכז החינוך מביאה למוטיבציה אוטונומית ללמידה ולהתמדה בה? </w:t>
      </w:r>
      <w:r>
        <w:rPr>
          <w:rFonts w:ascii="David" w:cs="David" w:eastAsia="David" w:hAnsi="David"/>
          <w:b/>
          <w:bCs/>
          <w:noProof/>
          <w:sz w:val="24"/>
          <w:szCs w:val="24"/>
          <w:rtl/>
          <w:lang w:val="en-US" w:bidi="he-IL"/>
        </w:rPr>
        <w:t xml:space="preserve">צוהר לבית הסוהר: מחקרים בכליאה, ביטחון ואכיפה, </w:t>
      </w:r>
      <w:r>
        <w:rPr>
          <w:rFonts w:ascii="Times New Roman" w:cs="Times New Roman" w:eastAsia="Times New Roman" w:hAnsi="Times New Roman"/>
          <w:b/>
          <w:bCs/>
          <w:noProof/>
          <w:sz w:val="24"/>
          <w:szCs w:val="24"/>
          <w:lang w:val="en-US" w:bidi="he-IL"/>
        </w:rPr>
        <w:t xml:space="preserve">22</w:t>
      </w:r>
      <w:r>
        <w:rPr>
          <w:rFonts w:ascii="Times New Roman" w:cs="Times New Roman" w:eastAsia="Times New Roman" w:hAnsi="Times New Roman"/>
          <w:b w:val="false"/>
          <w:bCs w:val="false"/>
          <w:noProof/>
          <w:sz w:val="24"/>
          <w:szCs w:val="24"/>
          <w:lang w:val="en-US" w:bidi="he-IL"/>
        </w:rPr>
        <w:t xml:space="preserve">, 106-129. https://www.gov.il/BlobFolder/guide/zohar/he/%D7%A6%D7%95%D7%94%D7%A8%2022.pdf</w:t>
      </w:r>
    </w:p>
    <w:p>
      <w:pPr>
        <w:bidi/>
        <w:spacing w:after="120" w:line="360"/>
        <w:ind w:start="709" w:hanging="709"/>
        <w:jc w:val="right"/>
      </w:pPr>
      <w:r>
        <w:rPr>
          <w:rFonts w:ascii="David" w:cs="David" w:eastAsia="David" w:hAnsi="David"/>
          <w:b w:val="false"/>
          <w:bCs w:val="false"/>
          <w:noProof/>
          <w:sz w:val="24"/>
          <w:szCs w:val="24"/>
          <w:rtl/>
          <w:lang w:val="en-US" w:bidi="he-IL"/>
        </w:rPr>
        <w:t xml:space="preserve">פלד-לסקוב</w:t>
      </w:r>
      <w:r>
        <w:rPr>
          <w:rFonts w:ascii="David" w:cs="David" w:eastAsia="David" w:hAnsi="David"/>
          <w:b w:val="false"/>
          <w:bCs w:val="false"/>
          <w:noProof/>
          <w:sz w:val="24"/>
          <w:szCs w:val="24"/>
          <w:rtl/>
          <w:lang w:val="en-US" w:bidi="he-IL"/>
        </w:rPr>
        <w:t xml:space="preserve">, ר' </w:t>
      </w:r>
      <w:r>
        <w:rPr>
          <w:rFonts w:ascii="David" w:cs="David" w:eastAsia="David" w:hAnsi="David"/>
          <w:b w:val="false"/>
          <w:bCs w:val="false"/>
          <w:noProof/>
          <w:sz w:val="24"/>
          <w:szCs w:val="24"/>
          <w:rtl/>
          <w:lang w:val="en-US" w:bidi="he-IL"/>
        </w:rPr>
        <w:t xml:space="preserve">ותימור</w:t>
      </w:r>
      <w:r>
        <w:rPr>
          <w:rFonts w:ascii="David" w:cs="David" w:eastAsia="David" w:hAnsi="David"/>
          <w:b w:val="false"/>
          <w:bCs w:val="false"/>
          <w:noProof/>
          <w:sz w:val="24"/>
          <w:szCs w:val="24"/>
          <w:rtl/>
          <w:lang w:val="en-US" w:bidi="he-IL"/>
        </w:rPr>
        <w:t xml:space="preserve">, א' (</w:t>
      </w:r>
      <w:r>
        <w:rPr>
          <w:rFonts w:ascii="Times New Roman" w:cs="Times New Roman" w:eastAsia="Times New Roman" w:hAnsi="Times New Roman"/>
          <w:b w:val="false"/>
          <w:bCs w:val="false"/>
          <w:noProof/>
          <w:sz w:val="24"/>
          <w:szCs w:val="24"/>
          <w:lang w:val="en-US" w:bidi="he-IL"/>
        </w:rPr>
        <w:t xml:space="preserve">2024</w:t>
      </w:r>
      <w:r>
        <w:rPr>
          <w:rFonts w:ascii="David" w:cs="David" w:eastAsia="David" w:hAnsi="David"/>
          <w:b w:val="false"/>
          <w:bCs w:val="false"/>
          <w:noProof/>
          <w:sz w:val="24"/>
          <w:szCs w:val="24"/>
          <w:rtl/>
          <w:lang w:val="en-US" w:bidi="he-IL"/>
        </w:rPr>
        <w:t xml:space="preserve">). אל החיים "מאחורי הסורגים": תהליכי שיקום בעיני אסירים משוחררים. </w:t>
      </w:r>
      <w:r>
        <w:rPr>
          <w:rFonts w:ascii="David" w:cs="David" w:eastAsia="David" w:hAnsi="David"/>
          <w:b/>
          <w:bCs/>
          <w:noProof/>
          <w:sz w:val="24"/>
          <w:szCs w:val="24"/>
          <w:rtl/>
          <w:lang w:val="en-US" w:bidi="he-IL"/>
        </w:rPr>
        <w:t xml:space="preserve">צוהר לבית הסוהר: מחקרים בכליאה, ביטחון ואכיפה, </w:t>
      </w:r>
      <w:r>
        <w:rPr>
          <w:rFonts w:ascii="Times New Roman" w:cs="Times New Roman" w:eastAsia="Times New Roman" w:hAnsi="Times New Roman"/>
          <w:b/>
          <w:bCs/>
          <w:noProof/>
          <w:sz w:val="24"/>
          <w:szCs w:val="24"/>
          <w:lang w:val="en-US" w:bidi="he-IL"/>
        </w:rPr>
        <w:t xml:space="preserve">22</w:t>
      </w:r>
      <w:r>
        <w:rPr>
          <w:rFonts w:ascii="Times New Roman" w:cs="Times New Roman" w:eastAsia="Times New Roman" w:hAnsi="Times New Roman"/>
          <w:b w:val="false"/>
          <w:bCs w:val="false"/>
          <w:noProof/>
          <w:sz w:val="24"/>
          <w:szCs w:val="24"/>
          <w:lang w:val="en-US" w:bidi="he-IL"/>
        </w:rPr>
        <w:t xml:space="preserve">, 43-61. https://www.gov.il/BlobFolder/guide/zohar/he/%D7%A6%D7%95%D7%94%D7%A8%2022.pdf</w:t>
      </w:r>
    </w:p>
    <w:p>
      <w:pPr>
        <w:bidi/>
        <w:spacing w:after="120" w:line="360"/>
        <w:ind w:start="709" w:hanging="709"/>
        <w:jc w:val="right"/>
      </w:pPr>
      <w:r>
        <w:rPr>
          <w:rFonts w:ascii="David" w:cs="David" w:eastAsia="David" w:hAnsi="David"/>
          <w:b w:val="false"/>
          <w:bCs w:val="false"/>
          <w:noProof/>
          <w:sz w:val="24"/>
          <w:szCs w:val="24"/>
          <w:rtl/>
          <w:lang w:val="en-US" w:bidi="he-IL"/>
        </w:rPr>
        <w:t xml:space="preserve">שני, נ', </w:t>
      </w:r>
      <w:r>
        <w:rPr>
          <w:rFonts w:ascii="David" w:cs="David" w:eastAsia="David" w:hAnsi="David"/>
          <w:b w:val="false"/>
          <w:bCs w:val="false"/>
          <w:noProof/>
          <w:sz w:val="24"/>
          <w:szCs w:val="24"/>
          <w:rtl/>
          <w:lang w:val="en-US" w:bidi="he-IL"/>
        </w:rPr>
        <w:t xml:space="preserve">חמלניצקי</w:t>
      </w:r>
      <w:r>
        <w:rPr>
          <w:rFonts w:ascii="David" w:cs="David" w:eastAsia="David" w:hAnsi="David"/>
          <w:b w:val="false"/>
          <w:bCs w:val="false"/>
          <w:noProof/>
          <w:sz w:val="24"/>
          <w:szCs w:val="24"/>
          <w:rtl/>
          <w:lang w:val="en-US" w:bidi="he-IL"/>
        </w:rPr>
        <w:t xml:space="preserve">, מ', </w:t>
      </w:r>
      <w:r>
        <w:rPr>
          <w:rFonts w:ascii="David" w:cs="David" w:eastAsia="David" w:hAnsi="David"/>
          <w:b w:val="false"/>
          <w:bCs w:val="false"/>
          <w:noProof/>
          <w:sz w:val="24"/>
          <w:szCs w:val="24"/>
          <w:rtl/>
          <w:lang w:val="en-US" w:bidi="he-IL"/>
        </w:rPr>
        <w:t xml:space="preserve">תימור</w:t>
      </w:r>
      <w:r>
        <w:rPr>
          <w:rFonts w:ascii="David" w:cs="David" w:eastAsia="David" w:hAnsi="David"/>
          <w:b w:val="false"/>
          <w:bCs w:val="false"/>
          <w:noProof/>
          <w:sz w:val="24"/>
          <w:szCs w:val="24"/>
          <w:rtl/>
          <w:lang w:val="en-US" w:bidi="he-IL"/>
        </w:rPr>
        <w:t xml:space="preserve">, א' </w:t>
      </w:r>
      <w:r>
        <w:rPr>
          <w:rFonts w:ascii="David" w:cs="David" w:eastAsia="David" w:hAnsi="David"/>
          <w:b w:val="false"/>
          <w:bCs w:val="false"/>
          <w:noProof/>
          <w:sz w:val="24"/>
          <w:szCs w:val="24"/>
          <w:rtl/>
          <w:lang w:val="en-US" w:bidi="he-IL"/>
        </w:rPr>
        <w:t xml:space="preserve">ואידיסיס</w:t>
      </w:r>
      <w:r>
        <w:rPr>
          <w:rFonts w:ascii="David" w:cs="David" w:eastAsia="David" w:hAnsi="David"/>
          <w:b w:val="false"/>
          <w:bCs w:val="false"/>
          <w:noProof/>
          <w:sz w:val="24"/>
          <w:szCs w:val="24"/>
          <w:rtl/>
          <w:lang w:val="en-US" w:bidi="he-IL"/>
        </w:rPr>
        <w:t xml:space="preserve">, י' (</w:t>
      </w:r>
      <w:r>
        <w:rPr>
          <w:rFonts w:ascii="Times New Roman" w:cs="Times New Roman" w:eastAsia="Times New Roman" w:hAnsi="Times New Roman"/>
          <w:b w:val="false"/>
          <w:bCs w:val="false"/>
          <w:noProof/>
          <w:sz w:val="24"/>
          <w:szCs w:val="24"/>
          <w:lang w:val="en-US" w:bidi="he-IL"/>
        </w:rPr>
        <w:t xml:space="preserve">2024</w:t>
      </w:r>
      <w:r>
        <w:rPr>
          <w:rFonts w:ascii="David" w:cs="David" w:eastAsia="David" w:hAnsi="David"/>
          <w:b w:val="false"/>
          <w:bCs w:val="false"/>
          <w:noProof/>
          <w:sz w:val="24"/>
          <w:szCs w:val="24"/>
          <w:rtl/>
          <w:lang w:val="en-US" w:bidi="he-IL"/>
        </w:rPr>
        <w:t xml:space="preserve">). איזה מין טיפול: התרומה של השתתפות בקבוצה </w:t>
      </w:r>
      <w:r>
        <w:rPr>
          <w:rFonts w:ascii="David" w:cs="David" w:eastAsia="David" w:hAnsi="David"/>
          <w:b w:val="false"/>
          <w:bCs w:val="false"/>
          <w:noProof/>
          <w:sz w:val="24"/>
          <w:szCs w:val="24"/>
          <w:rtl/>
          <w:lang w:val="en-US" w:bidi="he-IL"/>
        </w:rPr>
        <w:t xml:space="preserve">פסיכו-חינוכית</w:t>
      </w:r>
      <w:r>
        <w:rPr>
          <w:rFonts w:ascii="David" w:cs="David" w:eastAsia="David" w:hAnsi="David"/>
          <w:b w:val="false"/>
          <w:bCs w:val="false"/>
          <w:noProof/>
          <w:sz w:val="24"/>
          <w:szCs w:val="24"/>
          <w:rtl/>
          <w:lang w:val="en-US" w:bidi="he-IL"/>
        </w:rPr>
        <w:t xml:space="preserve"> מורחבת מכינה לטיפול ייעודי בפוגעים מינית להפחתה של מתח נפשי, להעלאת רווחה נפשית סובייקטיבית ולהגברה של מיקוד שליטה פנימי. </w:t>
      </w:r>
      <w:r>
        <w:rPr>
          <w:rFonts w:ascii="David" w:cs="David" w:eastAsia="David" w:hAnsi="David"/>
          <w:b/>
          <w:bCs/>
          <w:noProof/>
          <w:sz w:val="24"/>
          <w:szCs w:val="24"/>
          <w:rtl/>
          <w:lang w:val="en-US" w:bidi="he-IL"/>
        </w:rPr>
        <w:t xml:space="preserve">צוהר לבית הסוהר: מחקרים בכליאה, ביטחון ואכיפה, </w:t>
      </w:r>
      <w:r>
        <w:rPr>
          <w:rFonts w:ascii="Times New Roman" w:cs="Times New Roman" w:eastAsia="Times New Roman" w:hAnsi="Times New Roman"/>
          <w:b/>
          <w:bCs/>
          <w:noProof/>
          <w:sz w:val="24"/>
          <w:szCs w:val="24"/>
          <w:lang w:val="en-US" w:bidi="he-IL"/>
        </w:rPr>
        <w:t xml:space="preserve">22</w:t>
      </w:r>
      <w:r>
        <w:rPr>
          <w:rFonts w:ascii="Times New Roman" w:cs="Times New Roman" w:eastAsia="Times New Roman" w:hAnsi="Times New Roman"/>
          <w:b w:val="false"/>
          <w:bCs w:val="false"/>
          <w:noProof/>
          <w:sz w:val="24"/>
          <w:szCs w:val="24"/>
          <w:lang w:val="en-US" w:bidi="he-IL"/>
        </w:rPr>
        <w:t xml:space="preserve">, 158-171. https://www.gov.il/BlobFolder/guide/zohar/he/%D7%A6%D7%95%D7%94%D7%A8%2022.pdf</w:t>
      </w:r>
    </w:p>
    <w:p>
      <w:pPr>
        <w:spacing w:after="120" w:line="360"/>
        <w:ind w:left="709" w:hanging="709"/>
        <w:jc w:val="left"/>
      </w:pPr>
      <w:r>
        <w:rPr>
          <w:rFonts w:ascii="Times New Roman" w:cs="Times New Roman" w:eastAsia="Times New Roman" w:hAnsi="Times New Roman"/>
          <w:i w:val="false"/>
          <w:iCs w:val="false"/>
          <w:noProof/>
          <w:sz w:val="24"/>
          <w:szCs w:val="24"/>
          <w:lang w:val="en-US" w:bidi="he-IL"/>
        </w:rPr>
        <w:t xml:space="preserve">Auty, K. M., &amp; Liebling, A. (2024). What is a 'good enough' prison? An empirical analysis of key thresholds using prison moral quality data. </w:t>
      </w:r>
      <w:r>
        <w:rPr>
          <w:rFonts w:ascii="Times New Roman" w:cs="Times New Roman" w:eastAsia="Times New Roman" w:hAnsi="Times New Roman"/>
          <w:i/>
          <w:iCs/>
          <w:noProof/>
          <w:sz w:val="24"/>
          <w:szCs w:val="24"/>
          <w:lang w:val="en-US" w:bidi="he-IL"/>
        </w:rPr>
        <w:t xml:space="preserve">European Journal of Criminology, 21</w:t>
      </w:r>
      <w:r>
        <w:rPr>
          <w:rFonts w:ascii="Times New Roman" w:cs="Times New Roman" w:eastAsia="Times New Roman" w:hAnsi="Times New Roman"/>
          <w:i w:val="false"/>
          <w:iCs w:val="false"/>
          <w:noProof/>
          <w:sz w:val="24"/>
          <w:szCs w:val="24"/>
          <w:lang w:val="en-US" w:bidi="he-IL"/>
        </w:rPr>
        <w:t xml:space="preserve">(5), 725-753. https://doi.org/10.1177/14773708241227693</w:t>
      </w:r>
    </w:p>
    <w:p>
      <w:pPr>
        <w:spacing w:after="120" w:line="360"/>
        <w:ind w:left="709" w:hanging="709"/>
        <w:jc w:val="left"/>
      </w:pPr>
      <w:r>
        <w:rPr>
          <w:rFonts w:ascii="Times New Roman" w:cs="Times New Roman" w:eastAsia="Times New Roman" w:hAnsi="Times New Roman"/>
          <w:i w:val="false"/>
          <w:iCs w:val="false"/>
          <w:noProof/>
          <w:sz w:val="24"/>
          <w:szCs w:val="24"/>
          <w:lang w:val="en-US" w:bidi="he-IL"/>
        </w:rPr>
        <w:t xml:space="preserve">Beijersbergen, K. A., Dirkzwager, A. J. E., Molleman, T., van der Laan, P. H., &amp; Nieuwbeerta, P. (2015). Procedural justice in prison: The importance of staff characteristics. </w:t>
      </w:r>
      <w:r>
        <w:rPr>
          <w:rFonts w:ascii="Times New Roman" w:cs="Times New Roman" w:eastAsia="Times New Roman" w:hAnsi="Times New Roman"/>
          <w:i/>
          <w:iCs/>
          <w:noProof/>
          <w:sz w:val="24"/>
          <w:szCs w:val="24"/>
          <w:lang w:val="en-US" w:bidi="he-IL"/>
        </w:rPr>
        <w:t xml:space="preserve">International Journal of Offender Therapy and Comparative Criminology, 59</w:t>
      </w:r>
      <w:r>
        <w:rPr>
          <w:rFonts w:ascii="Times New Roman" w:cs="Times New Roman" w:eastAsia="Times New Roman" w:hAnsi="Times New Roman"/>
          <w:i w:val="false"/>
          <w:iCs w:val="false"/>
          <w:noProof/>
          <w:sz w:val="24"/>
          <w:szCs w:val="24"/>
          <w:lang w:val="en-US" w:bidi="he-IL"/>
        </w:rPr>
        <w:t xml:space="preserve">(4), 337-358. https://doi.org/10.1177/0306624X13512767</w:t>
      </w:r>
    </w:p>
    <w:p>
      <w:pPr>
        <w:spacing w:after="120" w:line="360"/>
        <w:ind w:left="709" w:hanging="709"/>
        <w:jc w:val="left"/>
      </w:pPr>
      <w:r>
        <w:rPr>
          <w:rFonts w:ascii="Times New Roman" w:cs="Times New Roman" w:eastAsia="Times New Roman" w:hAnsi="Times New Roman"/>
          <w:i w:val="false"/>
          <w:iCs w:val="false"/>
          <w:noProof/>
          <w:sz w:val="24"/>
          <w:szCs w:val="24"/>
          <w:lang w:val="en-US" w:bidi="he-IL"/>
        </w:rPr>
        <w:t xml:space="preserve">Brunton-Smith, I., &amp; McCarthy, D. J. (2016). Prison legitimacy and procedural fairness: A multilevel examination of prisoners in England and Wales. </w:t>
      </w:r>
      <w:r>
        <w:rPr>
          <w:rFonts w:ascii="Times New Roman" w:cs="Times New Roman" w:eastAsia="Times New Roman" w:hAnsi="Times New Roman"/>
          <w:i/>
          <w:iCs/>
          <w:noProof/>
          <w:sz w:val="24"/>
          <w:szCs w:val="24"/>
          <w:lang w:val="en-US" w:bidi="he-IL"/>
        </w:rPr>
        <w:t xml:space="preserve">Justice Quarterly, 33</w:t>
      </w:r>
      <w:r>
        <w:rPr>
          <w:rFonts w:ascii="Times New Roman" w:cs="Times New Roman" w:eastAsia="Times New Roman" w:hAnsi="Times New Roman"/>
          <w:i w:val="false"/>
          <w:iCs w:val="false"/>
          <w:noProof/>
          <w:sz w:val="24"/>
          <w:szCs w:val="24"/>
          <w:lang w:val="en-US" w:bidi="he-IL"/>
        </w:rPr>
        <w:t xml:space="preserve">(6), 1029-1054. https://doi.org/10.1080/07418825.2015.1023215</w:t>
      </w:r>
    </w:p>
    <w:p>
      <w:pPr>
        <w:spacing w:after="120" w:line="360"/>
        <w:ind w:left="709" w:hanging="709"/>
        <w:jc w:val="left"/>
      </w:pPr>
      <w:r>
        <w:rPr>
          <w:rFonts w:ascii="Times New Roman" w:cs="Times New Roman" w:eastAsia="Times New Roman" w:hAnsi="Times New Roman"/>
          <w:i w:val="false"/>
          <w:iCs w:val="false"/>
          <w:noProof/>
          <w:sz w:val="24"/>
          <w:szCs w:val="24"/>
          <w:lang w:val="en-US" w:bidi="he-IL"/>
        </w:rPr>
        <w:t xml:space="preserve">Deambrogio, C. (2025). Procedural justice and prison legitimacy: Towards a democratic model of inmate participation. </w:t>
      </w:r>
      <w:r>
        <w:rPr>
          <w:rFonts w:ascii="Times New Roman" w:cs="Times New Roman" w:eastAsia="Times New Roman" w:hAnsi="Times New Roman"/>
          <w:i/>
          <w:iCs/>
          <w:noProof/>
          <w:sz w:val="24"/>
          <w:szCs w:val="24"/>
          <w:lang w:val="en-US" w:bidi="he-IL"/>
        </w:rPr>
        <w:t xml:space="preserve">Oxford Journal of Legal Studies, 45</w:t>
      </w:r>
      <w:r>
        <w:rPr>
          <w:rFonts w:ascii="Times New Roman" w:cs="Times New Roman" w:eastAsia="Times New Roman" w:hAnsi="Times New Roman"/>
          <w:i w:val="false"/>
          <w:iCs w:val="false"/>
          <w:noProof/>
          <w:sz w:val="24"/>
          <w:szCs w:val="24"/>
          <w:lang w:val="en-US" w:bidi="he-IL"/>
        </w:rPr>
        <w:t xml:space="preserve">(3), 801-820. https://doi.org/10.1093/ojls/gqaf013</w:t>
      </w:r>
    </w:p>
    <w:p>
      <w:pPr>
        <w:spacing w:after="120" w:line="360"/>
        <w:ind w:left="709" w:hanging="709"/>
        <w:jc w:val="left"/>
      </w:pPr>
      <w:r>
        <w:rPr>
          <w:rFonts w:ascii="Times New Roman" w:cs="Times New Roman" w:eastAsia="Times New Roman" w:hAnsi="Times New Roman"/>
          <w:i w:val="false"/>
          <w:iCs w:val="false"/>
          <w:noProof/>
          <w:sz w:val="24"/>
          <w:szCs w:val="24"/>
          <w:lang w:val="en-US" w:bidi="he-IL"/>
        </w:rPr>
        <w:t xml:space="preserve">Franke, D., Bierie, D., &amp; MacKenzie, D. L. (2010). Legitimacy in corrections: A randomized experiment comparing a boot camp with a prison. </w:t>
      </w:r>
      <w:r>
        <w:rPr>
          <w:rFonts w:ascii="Times New Roman" w:cs="Times New Roman" w:eastAsia="Times New Roman" w:hAnsi="Times New Roman"/>
          <w:i/>
          <w:iCs/>
          <w:noProof/>
          <w:sz w:val="24"/>
          <w:szCs w:val="24"/>
          <w:lang w:val="en-US" w:bidi="he-IL"/>
        </w:rPr>
        <w:t xml:space="preserve">Criminology &amp; Public Policy, 9</w:t>
      </w:r>
      <w:r>
        <w:rPr>
          <w:rFonts w:ascii="Times New Roman" w:cs="Times New Roman" w:eastAsia="Times New Roman" w:hAnsi="Times New Roman"/>
          <w:i w:val="false"/>
          <w:iCs w:val="false"/>
          <w:noProof/>
          <w:sz w:val="24"/>
          <w:szCs w:val="24"/>
          <w:lang w:val="en-US" w:bidi="he-IL"/>
        </w:rPr>
        <w:t xml:space="preserve">(1), 89-117. https://doi.org/10.1111/j.1745-9133.2010.00613.x</w:t>
      </w:r>
    </w:p>
    <w:p>
      <w:pPr>
        <w:spacing w:after="120" w:line="360"/>
        <w:ind w:left="709" w:hanging="709"/>
        <w:jc w:val="left"/>
      </w:pPr>
      <w:r>
        <w:rPr>
          <w:rFonts w:ascii="Times New Roman" w:cs="Times New Roman" w:eastAsia="Times New Roman" w:hAnsi="Times New Roman"/>
          <w:i w:val="false"/>
          <w:iCs w:val="false"/>
          <w:noProof/>
          <w:sz w:val="24"/>
          <w:szCs w:val="24"/>
          <w:lang w:val="en-US" w:bidi="he-IL"/>
        </w:rPr>
        <w:t xml:space="preserve">Hacin, R., &amp; Meško, G. (2018). Prisoners' perception of legitimacy of the prison staff: A qualitative study in Slovene prisons. </w:t>
      </w:r>
      <w:r>
        <w:rPr>
          <w:rFonts w:ascii="Times New Roman" w:cs="Times New Roman" w:eastAsia="Times New Roman" w:hAnsi="Times New Roman"/>
          <w:i/>
          <w:iCs/>
          <w:noProof/>
          <w:sz w:val="24"/>
          <w:szCs w:val="24"/>
          <w:lang w:val="en-US" w:bidi="he-IL"/>
        </w:rPr>
        <w:t xml:space="preserve">International Journal of Offender Therapy and Comparative Criminology, 62</w:t>
      </w:r>
      <w:r>
        <w:rPr>
          <w:rFonts w:ascii="Times New Roman" w:cs="Times New Roman" w:eastAsia="Times New Roman" w:hAnsi="Times New Roman"/>
          <w:i w:val="false"/>
          <w:iCs w:val="false"/>
          <w:noProof/>
          <w:sz w:val="24"/>
          <w:szCs w:val="24"/>
          <w:lang w:val="en-US" w:bidi="he-IL"/>
        </w:rPr>
        <w:t xml:space="preserve">(13), 4332-4350. https://doi.org/10.1177/0306624X18758896</w:t>
      </w:r>
    </w:p>
    <w:p>
      <w:pPr>
        <w:spacing w:after="120" w:line="360"/>
        <w:ind w:left="709" w:hanging="709"/>
        <w:jc w:val="left"/>
      </w:pPr>
      <w:r>
        <w:rPr>
          <w:rFonts w:ascii="Times New Roman" w:cs="Times New Roman" w:eastAsia="Times New Roman" w:hAnsi="Times New Roman"/>
          <w:i w:val="false"/>
          <w:iCs w:val="false"/>
          <w:noProof/>
          <w:sz w:val="24"/>
          <w:szCs w:val="24"/>
          <w:lang w:val="en-US" w:bidi="he-IL"/>
        </w:rPr>
        <w:t xml:space="preserve">Ryan, C., &amp; Bergin, M. (2022). Procedural justice and legitimacy in prisons: A review of extant empirical literature. </w:t>
      </w:r>
      <w:r>
        <w:rPr>
          <w:rFonts w:ascii="Times New Roman" w:cs="Times New Roman" w:eastAsia="Times New Roman" w:hAnsi="Times New Roman"/>
          <w:i/>
          <w:iCs/>
          <w:noProof/>
          <w:sz w:val="24"/>
          <w:szCs w:val="24"/>
          <w:lang w:val="en-US" w:bidi="he-IL"/>
        </w:rPr>
        <w:t xml:space="preserve">Criminal Justice and Behavior, 49</w:t>
      </w:r>
      <w:r>
        <w:rPr>
          <w:rFonts w:ascii="Times New Roman" w:cs="Times New Roman" w:eastAsia="Times New Roman" w:hAnsi="Times New Roman"/>
          <w:i w:val="false"/>
          <w:iCs w:val="false"/>
          <w:noProof/>
          <w:sz w:val="24"/>
          <w:szCs w:val="24"/>
          <w:lang w:val="en-US" w:bidi="he-IL"/>
        </w:rPr>
        <w:t xml:space="preserve">(2), 143-163. https://doi.org/10.1177/00938548211053367</w:t>
      </w:r>
    </w:p>
    <w:p>
      <w:pPr>
        <w:spacing w:after="120" w:line="360"/>
        <w:ind w:left="709" w:hanging="709"/>
        <w:jc w:val="left"/>
      </w:pPr>
      <w:r>
        <w:rPr>
          <w:rFonts w:ascii="Times New Roman" w:cs="Times New Roman" w:eastAsia="Times New Roman" w:hAnsi="Times New Roman"/>
          <w:i w:val="false"/>
          <w:iCs w:val="false"/>
          <w:noProof/>
          <w:sz w:val="24"/>
          <w:szCs w:val="24"/>
          <w:lang w:val="en-US" w:bidi="he-IL"/>
        </w:rPr>
        <w:t xml:space="preserve">Sargeant, E., Murphy, K., Barkworth, J., &amp; Howard, M. v. A. (2026). Procedural justice and mental well-being in prisons: The mediating roles of staff relationships and prison safety. </w:t>
      </w:r>
      <w:r>
        <w:rPr>
          <w:rFonts w:ascii="Times New Roman" w:cs="Times New Roman" w:eastAsia="Times New Roman" w:hAnsi="Times New Roman"/>
          <w:i/>
          <w:iCs/>
          <w:noProof/>
          <w:sz w:val="24"/>
          <w:szCs w:val="24"/>
          <w:lang w:val="en-US" w:bidi="he-IL"/>
        </w:rPr>
        <w:t xml:space="preserve">Criminal Justice and Behavior, 53</w:t>
      </w:r>
      <w:r>
        <w:rPr>
          <w:rFonts w:ascii="Times New Roman" w:cs="Times New Roman" w:eastAsia="Times New Roman" w:hAnsi="Times New Roman"/>
          <w:i w:val="false"/>
          <w:iCs w:val="false"/>
          <w:noProof/>
          <w:sz w:val="24"/>
          <w:szCs w:val="24"/>
          <w:lang w:val="en-US" w:bidi="he-IL"/>
        </w:rPr>
        <w:t xml:space="preserve">(5), 619-639. https://doi.org/10.1177/00938548251400649</w:t>
      </w:r>
    </w:p>
    <w:p>
      <w:pPr>
        <w:spacing w:after="120" w:line="360"/>
        <w:ind w:left="709" w:hanging="709"/>
        <w:jc w:val="left"/>
      </w:pPr>
      <w:r>
        <w:rPr>
          <w:rFonts w:ascii="Times New Roman" w:cs="Times New Roman" w:eastAsia="Times New Roman" w:hAnsi="Times New Roman"/>
          <w:i w:val="false"/>
          <w:iCs w:val="false"/>
          <w:noProof/>
          <w:sz w:val="24"/>
          <w:szCs w:val="24"/>
          <w:lang w:val="en-US" w:bidi="he-IL"/>
        </w:rPr>
        <w:t xml:space="preserve">Schnittker, J. (2025). Trusting relationships in prison and well-being after release. </w:t>
      </w:r>
      <w:r>
        <w:rPr>
          <w:rFonts w:ascii="Times New Roman" w:cs="Times New Roman" w:eastAsia="Times New Roman" w:hAnsi="Times New Roman"/>
          <w:i/>
          <w:iCs/>
          <w:noProof/>
          <w:sz w:val="24"/>
          <w:szCs w:val="24"/>
          <w:lang w:val="en-US" w:bidi="he-IL"/>
        </w:rPr>
        <w:t xml:space="preserve">SSM - Mental Health, 8</w:t>
      </w:r>
      <w:r>
        <w:rPr>
          <w:rFonts w:ascii="Times New Roman" w:cs="Times New Roman" w:eastAsia="Times New Roman" w:hAnsi="Times New Roman"/>
          <w:i w:val="false"/>
          <w:iCs w:val="false"/>
          <w:noProof/>
          <w:sz w:val="24"/>
          <w:szCs w:val="24"/>
          <w:lang w:val="en-US" w:bidi="he-IL"/>
        </w:rPr>
        <w:t xml:space="preserve">, Article 100539. https://doi.org/10.1016/j.ssmmh.2025.100539</w:t>
      </w:r>
    </w:p>
    <w:p>
      <w:pPr>
        <w:spacing w:after="120" w:line="360"/>
        <w:ind w:left="709" w:hanging="709"/>
        <w:jc w:val="left"/>
      </w:pPr>
      <w:r>
        <w:rPr>
          <w:rFonts w:ascii="Times New Roman" w:cs="Times New Roman" w:eastAsia="Times New Roman" w:hAnsi="Times New Roman"/>
          <w:i w:val="false"/>
          <w:iCs w:val="false"/>
          <w:noProof/>
          <w:sz w:val="24"/>
          <w:szCs w:val="24"/>
          <w:lang w:val="en-US" w:bidi="he-IL"/>
        </w:rPr>
        <w:t xml:space="preserve">Sparks, J. R., &amp; Bottoms, A. E. (1995). Legitimacy and order in prisons. </w:t>
      </w:r>
      <w:r>
        <w:rPr>
          <w:rFonts w:ascii="Times New Roman" w:cs="Times New Roman" w:eastAsia="Times New Roman" w:hAnsi="Times New Roman"/>
          <w:i/>
          <w:iCs/>
          <w:noProof/>
          <w:sz w:val="24"/>
          <w:szCs w:val="24"/>
          <w:lang w:val="en-US" w:bidi="he-IL"/>
        </w:rPr>
        <w:t xml:space="preserve">British Journal of Sociology, 46</w:t>
      </w:r>
      <w:r>
        <w:rPr>
          <w:rFonts w:ascii="Times New Roman" w:cs="Times New Roman" w:eastAsia="Times New Roman" w:hAnsi="Times New Roman"/>
          <w:i w:val="false"/>
          <w:iCs w:val="false"/>
          <w:noProof/>
          <w:sz w:val="24"/>
          <w:szCs w:val="24"/>
          <w:lang w:val="en-US" w:bidi="he-IL"/>
        </w:rPr>
        <w:t xml:space="preserve">(1), 45-62. https://doi.org/10.2307/591622</w:t>
      </w:r>
    </w:p>
    <w:p>
      <w:pPr>
        <w:spacing w:after="120" w:line="360"/>
        <w:ind w:left="709" w:hanging="709"/>
        <w:jc w:val="left"/>
      </w:pPr>
      <w:r>
        <w:rPr>
          <w:rFonts w:ascii="Times New Roman" w:cs="Times New Roman" w:eastAsia="Times New Roman" w:hAnsi="Times New Roman"/>
          <w:i w:val="false"/>
          <w:iCs w:val="false"/>
          <w:noProof/>
          <w:sz w:val="24"/>
          <w:szCs w:val="24"/>
          <w:lang w:val="en-US" w:bidi="he-IL"/>
        </w:rPr>
        <w:t xml:space="preserve">Van Ginneken, E. F. J. C., Palmen, H., Bosma, A. Q., &amp; Sentse, M. (2019). Bearing the weight of imprisonment: The relationship between prison climate and well-being. </w:t>
      </w:r>
      <w:r>
        <w:rPr>
          <w:rFonts w:ascii="Times New Roman" w:cs="Times New Roman" w:eastAsia="Times New Roman" w:hAnsi="Times New Roman"/>
          <w:i/>
          <w:iCs/>
          <w:noProof/>
          <w:sz w:val="24"/>
          <w:szCs w:val="24"/>
          <w:lang w:val="en-US" w:bidi="he-IL"/>
        </w:rPr>
        <w:t xml:space="preserve">Criminal Justice and Behavior, 46</w:t>
      </w:r>
      <w:r>
        <w:rPr>
          <w:rFonts w:ascii="Times New Roman" w:cs="Times New Roman" w:eastAsia="Times New Roman" w:hAnsi="Times New Roman"/>
          <w:i w:val="false"/>
          <w:iCs w:val="false"/>
          <w:noProof/>
          <w:sz w:val="24"/>
          <w:szCs w:val="24"/>
          <w:lang w:val="en-US" w:bidi="he-IL"/>
        </w:rPr>
        <w:t xml:space="preserve">(10), 1385-1404. https://doi.org/10.1177/0093854819867373</w:t>
      </w:r>
    </w:p>
    <w:p>
      <w:pPr>
        <w:pStyle w:val="Heading1"/>
        <w:pageBreakBefore/>
        <w:bidi/>
        <w:spacing w:after="240" w:before="0" w:line="360"/>
        <w:jc w:val="right"/>
      </w:pPr>
      <w:r>
        <w:rPr>
          <w:rFonts w:ascii="David" w:cs="David" w:eastAsia="David" w:hAnsi="David"/>
          <w:b/>
          <w:bCs/>
          <w:noProof/>
          <w:sz w:val="32"/>
          <w:szCs w:val="32"/>
          <w:rtl/>
          <w:lang w:val="en-US" w:bidi="he-IL"/>
        </w:rPr>
        <w:t xml:space="preserve">נספחים</w:t>
      </w:r>
    </w:p>
    <w:p>
      <w:pPr>
        <w:pStyle w:val="Heading1"/>
        <w:bidi/>
        <w:spacing w:after="240" w:before="0" w:line="360"/>
        <w:jc w:val="right"/>
      </w:pPr>
      <w:r>
        <w:rPr>
          <w:rFonts w:ascii="David" w:cs="David" w:eastAsia="David" w:hAnsi="David"/>
          <w:b/>
          <w:bCs/>
          <w:noProof/>
          <w:sz w:val="32"/>
          <w:szCs w:val="32"/>
          <w:rtl/>
          <w:lang w:val="en-US" w:bidi="he-IL"/>
        </w:rPr>
        <w:t xml:space="preserve">נספח א'</w:t>
      </w:r>
    </w:p>
    <w:p>
      <w:pPr>
        <w:bidi/>
        <w:spacing w:after="120" w:line="360"/>
        <w:jc w:val="both"/>
      </w:pPr>
      <w:r>
        <w:rPr>
          <w:rFonts w:ascii="David" w:cs="David" w:eastAsia="David" w:hAnsi="David"/>
          <w:noProof/>
          <w:sz w:val="24"/>
          <w:szCs w:val="24"/>
          <w:rtl/>
          <w:lang w:val="en-US" w:bidi="he-IL"/>
        </w:rPr>
        <w:t xml:space="preserve">פלטי </w:t>
      </w:r>
      <w:r>
        <w:rPr>
          <w:rFonts w:ascii="Times New Roman" w:cs="Times New Roman" w:eastAsia="Times New Roman" w:hAnsi="Times New Roman"/>
          <w:noProof/>
          <w:sz w:val="24"/>
          <w:szCs w:val="24"/>
          <w:lang w:val="en-US" w:bidi="he-IL"/>
        </w:rPr>
        <w:t xml:space="preserve">SPSS</w:t>
      </w:r>
    </w:p>
    <w:p>
      <w:pPr>
        <w:bidi/>
        <w:spacing w:after="120" w:line="360"/>
        <w:jc w:val="both"/>
      </w:pPr>
      <w:r>
        <w:rPr>
          <w:rFonts w:ascii="David" w:cs="David" w:eastAsia="David" w:hAnsi="David"/>
          <w:noProof/>
          <w:sz w:val="24"/>
          <w:szCs w:val="24"/>
          <w:rtl/>
          <w:lang w:val="en-US" w:bidi="he-IL"/>
        </w:rPr>
        <w:t xml:space="preserve">להלן הלוחות המרכזיים מפלט ה-</w:t>
      </w:r>
      <w:r>
        <w:rPr>
          <w:rFonts w:ascii="Times New Roman" w:cs="Times New Roman" w:eastAsia="Times New Roman" w:hAnsi="Times New Roman"/>
          <w:noProof/>
          <w:sz w:val="24"/>
          <w:szCs w:val="24"/>
          <w:lang w:val="en-US" w:bidi="he-IL"/>
        </w:rPr>
        <w:t xml:space="preserve">SPSS</w:t>
      </w:r>
      <w:r>
        <w:rPr>
          <w:rFonts w:ascii="David" w:cs="David" w:eastAsia="David" w:hAnsi="David"/>
          <w:noProof/>
          <w:sz w:val="24"/>
          <w:szCs w:val="24"/>
          <w:rtl/>
          <w:lang w:val="en-US" w:bidi="he-IL"/>
        </w:rPr>
        <w:t xml:space="preserve"> (הרצה מיום </w:t>
      </w:r>
      <w:r>
        <w:rPr>
          <w:rFonts w:ascii="Times New Roman" w:cs="Times New Roman" w:eastAsia="Times New Roman" w:hAnsi="Times New Roman"/>
          <w:noProof/>
          <w:sz w:val="24"/>
          <w:szCs w:val="24"/>
          <w:lang w:val="en-US" w:bidi="he-IL"/>
        </w:rPr>
        <w:t xml:space="preserve">8</w:t>
      </w:r>
      <w:r>
        <w:rPr>
          <w:rFonts w:ascii="David" w:cs="David" w:eastAsia="David" w:hAnsi="David"/>
          <w:noProof/>
          <w:sz w:val="24"/>
          <w:szCs w:val="24"/>
          <w:rtl/>
          <w:lang w:val="en-US" w:bidi="he-IL"/>
        </w:rPr>
        <w:t xml:space="preserve"> בספטמבר </w:t>
      </w:r>
      <w:r>
        <w:rPr>
          <w:rFonts w:ascii="Times New Roman" w:cs="Times New Roman" w:eastAsia="Times New Roman" w:hAnsi="Times New Roman"/>
          <w:noProof/>
          <w:sz w:val="24"/>
          <w:szCs w:val="24"/>
          <w:lang w:val="en-US" w:bidi="he-IL"/>
        </w:rPr>
        <w:t xml:space="preserve">2026</w:t>
      </w:r>
      <w:r>
        <w:rPr>
          <w:rFonts w:ascii="David" w:cs="David" w:eastAsia="David" w:hAnsi="David"/>
          <w:noProof/>
          <w:sz w:val="24"/>
          <w:szCs w:val="24"/>
          <w:rtl/>
          <w:lang w:val="en-US" w:bidi="he-IL"/>
        </w:rPr>
        <w:t xml:space="preserve">), בעריכה קלה. הפלט המלא, כולל התרשימים, מצורף לעבודה כקובץ נפרד.</w:t>
      </w:r>
    </w:p>
    <w:p>
      <w:pPr>
        <w:keepNext/>
        <w:bidi/>
        <w:spacing w:after="80" w:before="200" w:line="360"/>
        <w:jc w:val="right"/>
      </w:pPr>
      <w:r>
        <w:rPr>
          <w:rFonts w:ascii="David" w:cs="David" w:eastAsia="David" w:hAnsi="David"/>
          <w:b/>
          <w:bCs/>
          <w:noProof/>
          <w:sz w:val="24"/>
          <w:szCs w:val="24"/>
          <w:rtl/>
          <w:lang w:val="en-US" w:bidi="he-IL"/>
        </w:rPr>
        <w:t xml:space="preserve">א</w:t>
      </w:r>
      <w:r>
        <w:rPr>
          <w:rFonts w:ascii="Times New Roman" w:cs="Times New Roman" w:eastAsia="Times New Roman" w:hAnsi="Times New Roman"/>
          <w:b/>
          <w:bCs/>
          <w:noProof/>
          <w:sz w:val="24"/>
          <w:szCs w:val="24"/>
          <w:lang w:val="en-US" w:bidi="he-IL"/>
        </w:rPr>
        <w:t xml:space="preserve">-1</w:t>
      </w:r>
      <w:r>
        <w:rPr>
          <w:rFonts w:ascii="Times New Roman" w:cs="Times New Roman" w:eastAsia="Times New Roman" w:hAnsi="Times New Roman"/>
          <w:b/>
          <w:bCs/>
          <w:noProof/>
          <w:sz w:val="24"/>
          <w:szCs w:val="24"/>
          <w:lang w:val="en-US" w:bidi="he-IL"/>
        </w:rPr>
        <w:t xml:space="preserve">: </w:t>
      </w:r>
      <w:r>
        <w:rPr>
          <w:rFonts w:ascii="Times New Roman" w:cs="Times New Roman" w:eastAsia="Times New Roman" w:hAnsi="Times New Roman"/>
          <w:b/>
          <w:bCs/>
          <w:noProof/>
          <w:sz w:val="24"/>
          <w:szCs w:val="24"/>
          <w:lang w:val="en-US" w:bidi="he-IL"/>
        </w:rPr>
        <w:t xml:space="preserve">Crosstabs, inmate_type</w:t>
      </w:r>
      <w:r>
        <w:rPr>
          <w:rFonts w:ascii="David" w:cs="David" w:eastAsia="David" w:hAnsi="David"/>
          <w:b/>
          <w:bCs/>
          <w:noProof/>
          <w:sz w:val="24"/>
          <w:szCs w:val="24"/>
          <w:rtl/>
          <w:lang w:val="en-US" w:bidi="he-IL"/>
        </w:rPr>
        <w:t xml:space="preserve"> * סוג האסיר (מקודד)</w:t>
      </w:r>
    </w:p>
    <w:tbl>
      <w:tblPr>
        <w:bidiVisual/>
        <w:tblW w:type="dxa" w:w="7800"/>
        <w:tblBorders>
          <w:top w:val="single" w:color="000000" w:sz="4"/>
          <w:left w:val="none" w:color="FFFFFF" w:sz="0"/>
          <w:bottom w:val="single" w:color="000000" w:sz="4"/>
          <w:right w:val="none" w:color="FFFFFF" w:sz="0"/>
          <w:insideH w:val="none" w:color="FFFFFF" w:sz="0"/>
          <w:insideV w:val="none" w:color="FFFFFF" w:sz="0"/>
        </w:tblBorders>
      </w:tblPr>
      <w:tblGrid>
        <w:gridCol w:w="2600"/>
        <w:gridCol w:w="1800"/>
        <w:gridCol w:w="1800"/>
        <w:gridCol w:w="1600"/>
      </w:tblGrid>
      <w:tr>
        <w:trPr>
          <w:cantSplit/>
          <w:tblHeader/>
        </w:trPr>
        <w:tc>
          <w:tcPr>
            <w:tcW w:type="dxa" w:w="2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inmate_type</w:t>
            </w:r>
          </w:p>
        </w:tc>
        <w:tc>
          <w:tcPr>
            <w:tcW w:type="dxa" w:w="1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noProof/>
                <w:sz w:val="22"/>
                <w:szCs w:val="22"/>
                <w:rtl/>
                <w:lang w:val="en-US" w:bidi="he-IL"/>
              </w:rPr>
              <w:t xml:space="preserve">עצור פלילי</w:t>
            </w:r>
          </w:p>
        </w:tc>
        <w:tc>
          <w:tcPr>
            <w:tcW w:type="dxa" w:w="1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noProof/>
                <w:sz w:val="22"/>
                <w:szCs w:val="22"/>
                <w:rtl/>
                <w:lang w:val="en-US" w:bidi="he-IL"/>
              </w:rPr>
              <w:t xml:space="preserve">פלילי שפוט</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Total</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עצורים פליליים</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1411</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1411</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פליליים</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Total</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1411</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3790</w:t>
            </w:r>
          </w:p>
        </w:tc>
      </w:tr>
    </w:tbl>
    <w:p>
      <w:pPr>
        <w:keepNext/>
        <w:bidi/>
        <w:spacing w:after="80" w:before="200" w:line="360"/>
        <w:jc w:val="right"/>
      </w:pPr>
      <w:r>
        <w:rPr>
          <w:rFonts w:ascii="David" w:cs="David" w:eastAsia="David" w:hAnsi="David"/>
          <w:b/>
          <w:bCs/>
          <w:noProof/>
          <w:sz w:val="24"/>
          <w:szCs w:val="24"/>
          <w:rtl/>
          <w:lang w:val="en-US" w:bidi="he-IL"/>
        </w:rPr>
        <w:t xml:space="preserve">א</w:t>
      </w:r>
      <w:r>
        <w:rPr>
          <w:rFonts w:ascii="Times New Roman" w:cs="Times New Roman" w:eastAsia="Times New Roman" w:hAnsi="Times New Roman"/>
          <w:b/>
          <w:bCs/>
          <w:noProof/>
          <w:sz w:val="24"/>
          <w:szCs w:val="24"/>
          <w:lang w:val="en-US" w:bidi="he-IL"/>
        </w:rPr>
        <w:t xml:space="preserve">-2</w:t>
      </w:r>
      <w:r>
        <w:rPr>
          <w:rFonts w:ascii="Times New Roman" w:cs="Times New Roman" w:eastAsia="Times New Roman" w:hAnsi="Times New Roman"/>
          <w:b/>
          <w:bCs/>
          <w:noProof/>
          <w:sz w:val="24"/>
          <w:szCs w:val="24"/>
          <w:lang w:val="en-US" w:bidi="he-IL"/>
        </w:rPr>
        <w:t xml:space="preserve">: </w:t>
      </w:r>
      <w:r>
        <w:rPr>
          <w:rFonts w:ascii="Times New Roman" w:cs="Times New Roman" w:eastAsia="Times New Roman" w:hAnsi="Times New Roman"/>
          <w:b/>
          <w:bCs/>
          <w:noProof/>
          <w:sz w:val="24"/>
          <w:szCs w:val="24"/>
          <w:lang w:val="en-US" w:bidi="he-IL"/>
        </w:rPr>
        <w:t xml:space="preserve">Frequencies, Statistics (Filter: filt_shafut)</w:t>
      </w:r>
    </w:p>
    <w:tbl>
      <w:tblPr>
        <w:bidiVisual/>
        <w:tblW w:type="dxa" w:w="8800"/>
        <w:tblBorders>
          <w:top w:val="single" w:color="000000" w:sz="4"/>
          <w:left w:val="none" w:color="FFFFFF" w:sz="0"/>
          <w:bottom w:val="single" w:color="000000" w:sz="4"/>
          <w:right w:val="none" w:color="FFFFFF" w:sz="0"/>
          <w:insideH w:val="none" w:color="FFFFFF" w:sz="0"/>
          <w:insideV w:val="none" w:color="FFFFFF" w:sz="0"/>
        </w:tblBorders>
      </w:tblPr>
      <w:tblGrid>
        <w:gridCol w:w="3000"/>
        <w:gridCol w:w="800"/>
        <w:gridCol w:w="800"/>
        <w:gridCol w:w="800"/>
        <w:gridCol w:w="800"/>
        <w:gridCol w:w="800"/>
        <w:gridCol w:w="900"/>
        <w:gridCol w:w="900"/>
      </w:tblGrid>
      <w:tr>
        <w:trPr>
          <w:cantSplit/>
          <w:tblHeader/>
        </w:trPr>
        <w:tc>
          <w:tcPr>
            <w:tcW w:type="dxa" w:w="3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noProof/>
                <w:sz w:val="22"/>
                <w:szCs w:val="22"/>
                <w:rtl/>
                <w:lang w:val="en-US" w:bidi="he-IL"/>
              </w:rPr>
              <w:t xml:space="preserve">פריט</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N Valid</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Missing</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Mean</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Median</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SD</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Skewness</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Kurtosis</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אפשר לדבר עם הסוהרים אם מודאג או עצוב</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4.06</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1.162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-1.246</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0.757</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הסוהרים מתייחסים אליי בכבוד</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2306</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73</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4.44</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5.00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0.855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-1.673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2.682</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שביעות רצון מהטיפול בבקשות</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2152</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227</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4.25</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5.00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1.130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-1.583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1.633</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הבריאות השתפרה מאז המאסר</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4.05</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1.108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-1.142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0.648</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הבריאות הגופנית טובה</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3.69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1.229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-0.658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-0.452</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הבריאות הנפשית טובה</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3.83</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1.195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-0.788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-0.252</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תחושת שמחה בחודש האחרון</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3.58</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1.152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-0.547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-0.387</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שביעות רצון מהחיים בחודש האחרון</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3.75</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1.127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-0.700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-0.155</w:t>
            </w:r>
          </w:p>
        </w:tc>
      </w:tr>
    </w:tbl>
    <w:p>
      <w:pPr>
        <w:keepNext/>
        <w:bidi/>
        <w:spacing w:after="80" w:before="200" w:line="360"/>
        <w:jc w:val="right"/>
      </w:pPr>
      <w:r>
        <w:rPr>
          <w:rFonts w:ascii="David" w:cs="David" w:eastAsia="David" w:hAnsi="David"/>
          <w:b/>
          <w:bCs/>
          <w:noProof/>
          <w:sz w:val="24"/>
          <w:szCs w:val="24"/>
          <w:rtl/>
          <w:lang w:val="en-US" w:bidi="he-IL"/>
        </w:rPr>
        <w:t xml:space="preserve">א</w:t>
      </w:r>
      <w:r>
        <w:rPr>
          <w:rFonts w:ascii="Times New Roman" w:cs="Times New Roman" w:eastAsia="Times New Roman" w:hAnsi="Times New Roman"/>
          <w:b/>
          <w:bCs/>
          <w:noProof/>
          <w:sz w:val="24"/>
          <w:szCs w:val="24"/>
          <w:lang w:val="en-US" w:bidi="he-IL"/>
        </w:rPr>
        <w:t xml:space="preserve">-3</w:t>
      </w:r>
      <w:r>
        <w:rPr>
          <w:rFonts w:ascii="Times New Roman" w:cs="Times New Roman" w:eastAsia="Times New Roman" w:hAnsi="Times New Roman"/>
          <w:b/>
          <w:bCs/>
          <w:noProof/>
          <w:sz w:val="24"/>
          <w:szCs w:val="24"/>
          <w:lang w:val="en-US" w:bidi="he-IL"/>
        </w:rPr>
        <w:t xml:space="preserve">: </w:t>
      </w:r>
      <w:r>
        <w:rPr>
          <w:rFonts w:ascii="Times New Roman" w:cs="Times New Roman" w:eastAsia="Times New Roman" w:hAnsi="Times New Roman"/>
          <w:b/>
          <w:bCs/>
          <w:noProof/>
          <w:sz w:val="24"/>
          <w:szCs w:val="24"/>
          <w:lang w:val="en-US" w:bidi="he-IL"/>
        </w:rPr>
        <w:t xml:space="preserve">Reliability, Scale</w:t>
      </w:r>
      <w:r>
        <w:rPr>
          <w:rFonts w:ascii="David" w:cs="David" w:eastAsia="David" w:hAnsi="David"/>
          <w:b/>
          <w:bCs/>
          <w:noProof/>
          <w:sz w:val="24"/>
          <w:szCs w:val="24"/>
          <w:rtl/>
          <w:lang w:val="en-US" w:bidi="he-IL"/>
        </w:rPr>
        <w:t xml:space="preserve">: לגיטימיות הסגל </w:t>
      </w:r>
      <w:r>
        <w:rPr>
          <w:rFonts w:ascii="Times New Roman" w:cs="Times New Roman" w:eastAsia="Times New Roman" w:hAnsi="Times New Roman"/>
          <w:b/>
          <w:bCs/>
          <w:noProof/>
          <w:sz w:val="24"/>
          <w:szCs w:val="24"/>
          <w:lang w:val="en-US" w:bidi="he-IL"/>
        </w:rPr>
        <w:t xml:space="preserve">(Cases Valid 2114, Excluded 265)</w:t>
      </w:r>
    </w:p>
    <w:tbl>
      <w:tblPr>
        <w:bidiVisual/>
        <w:tblW w:type="dxa" w:w="7800"/>
        <w:tblBorders>
          <w:top w:val="single" w:color="000000" w:sz="4"/>
          <w:left w:val="none" w:color="FFFFFF" w:sz="0"/>
          <w:bottom w:val="single" w:color="000000" w:sz="4"/>
          <w:right w:val="none" w:color="FFFFFF" w:sz="0"/>
          <w:insideH w:val="none" w:color="FFFFFF" w:sz="0"/>
          <w:insideV w:val="none" w:color="FFFFFF" w:sz="0"/>
        </w:tblBorders>
      </w:tblPr>
      <w:tblGrid>
        <w:gridCol w:w="4600"/>
        <w:gridCol w:w="3200"/>
      </w:tblGrid>
      <w:tr>
        <w:trPr>
          <w:cantSplit/>
          <w:tblHeader/>
        </w:trPr>
        <w:tc>
          <w:tcPr>
            <w:tcW w:type="dxa" w:w="4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Statistic</w:t>
            </w:r>
          </w:p>
        </w:tc>
        <w:tc>
          <w:tcPr>
            <w:tcW w:type="dxa" w:w="3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Value</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Cronbach's Alpha</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0.666</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Cronbach's Alpha Based on Standardized Items</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0.683</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N of Items</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Scale Mean / Variance / SD</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12.82 / 6.015 / 2.453</w:t>
            </w:r>
          </w:p>
        </w:tc>
      </w:tr>
    </w:tbl>
    <w:tbl>
      <w:tblPr>
        <w:bidiVisual/>
        <w:tblW w:type="dxa" w:w="8500"/>
        <w:tblBorders>
          <w:top w:val="single" w:color="000000" w:sz="4"/>
          <w:left w:val="none" w:color="FFFFFF" w:sz="0"/>
          <w:bottom w:val="single" w:color="000000" w:sz="4"/>
          <w:right w:val="none" w:color="FFFFFF" w:sz="0"/>
          <w:insideH w:val="none" w:color="FFFFFF" w:sz="0"/>
          <w:insideV w:val="none" w:color="FFFFFF" w:sz="0"/>
        </w:tblBorders>
      </w:tblPr>
      <w:tblGrid>
        <w:gridCol w:w="3000"/>
        <w:gridCol w:w="800"/>
        <w:gridCol w:w="900"/>
        <w:gridCol w:w="1300"/>
        <w:gridCol w:w="1300"/>
        <w:gridCol w:w="1200"/>
      </w:tblGrid>
      <w:tr>
        <w:trPr>
          <w:cantSplit/>
          <w:tblHeader/>
        </w:trPr>
        <w:tc>
          <w:tcPr>
            <w:tcW w:type="dxa" w:w="3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Item</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Mean</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SD</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Corrected Item-Total Corr.</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Squared Multiple Corr.</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Alpha if Deleted</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אפשר לדבר עם הסוהרים אם מודאג או עצוב</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1.171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0.512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0.321</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0.528</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הסוהרים מתייחסים אליי בכבוד</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4.46</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0.850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0.567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0.343</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0.498</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שביעות רצון מהטיפול בבקשות</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4.27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1.118</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0.395</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0.162</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0.687</w:t>
            </w:r>
          </w:p>
        </w:tc>
      </w:tr>
    </w:tbl>
    <w:p>
      <w:pPr>
        <w:keepNext/>
        <w:bidi/>
        <w:spacing w:after="80" w:before="200" w:line="360"/>
        <w:jc w:val="right"/>
      </w:pPr>
      <w:r>
        <w:rPr>
          <w:rFonts w:ascii="David" w:cs="David" w:eastAsia="David" w:hAnsi="David"/>
          <w:b/>
          <w:bCs/>
          <w:noProof/>
          <w:sz w:val="24"/>
          <w:szCs w:val="24"/>
          <w:rtl/>
          <w:lang w:val="en-US" w:bidi="he-IL"/>
        </w:rPr>
        <w:t xml:space="preserve">א</w:t>
      </w:r>
      <w:r>
        <w:rPr>
          <w:rFonts w:ascii="Times New Roman" w:cs="Times New Roman" w:eastAsia="Times New Roman" w:hAnsi="Times New Roman"/>
          <w:b/>
          <w:bCs/>
          <w:noProof/>
          <w:sz w:val="24"/>
          <w:szCs w:val="24"/>
          <w:lang w:val="en-US" w:bidi="he-IL"/>
        </w:rPr>
        <w:t xml:space="preserve">-4</w:t>
      </w:r>
      <w:r>
        <w:rPr>
          <w:rFonts w:ascii="Times New Roman" w:cs="Times New Roman" w:eastAsia="Times New Roman" w:hAnsi="Times New Roman"/>
          <w:b/>
          <w:bCs/>
          <w:noProof/>
          <w:sz w:val="24"/>
          <w:szCs w:val="24"/>
          <w:lang w:val="en-US" w:bidi="he-IL"/>
        </w:rPr>
        <w:t xml:space="preserve">: </w:t>
      </w:r>
      <w:r>
        <w:rPr>
          <w:rFonts w:ascii="Times New Roman" w:cs="Times New Roman" w:eastAsia="Times New Roman" w:hAnsi="Times New Roman"/>
          <w:b/>
          <w:bCs/>
          <w:noProof/>
          <w:sz w:val="24"/>
          <w:szCs w:val="24"/>
          <w:lang w:val="en-US" w:bidi="he-IL"/>
        </w:rPr>
        <w:t xml:space="preserve">Reliability, Scale</w:t>
      </w:r>
      <w:r>
        <w:rPr>
          <w:rFonts w:ascii="David" w:cs="David" w:eastAsia="David" w:hAnsi="David"/>
          <w:b/>
          <w:bCs/>
          <w:noProof/>
          <w:sz w:val="24"/>
          <w:szCs w:val="24"/>
          <w:rtl/>
          <w:lang w:val="en-US" w:bidi="he-IL"/>
        </w:rPr>
        <w:t xml:space="preserve">: רווחה נפשית </w:t>
      </w:r>
      <w:r>
        <w:rPr>
          <w:rFonts w:ascii="Times New Roman" w:cs="Times New Roman" w:eastAsia="Times New Roman" w:hAnsi="Times New Roman"/>
          <w:b/>
          <w:bCs/>
          <w:noProof/>
          <w:sz w:val="24"/>
          <w:szCs w:val="24"/>
          <w:lang w:val="en-US" w:bidi="he-IL"/>
        </w:rPr>
        <w:t xml:space="preserve">(Cases Valid 2379)</w:t>
      </w:r>
    </w:p>
    <w:tbl>
      <w:tblPr>
        <w:bidiVisual/>
        <w:tblW w:type="dxa" w:w="7800"/>
        <w:tblBorders>
          <w:top w:val="single" w:color="000000" w:sz="4"/>
          <w:left w:val="none" w:color="FFFFFF" w:sz="0"/>
          <w:bottom w:val="single" w:color="000000" w:sz="4"/>
          <w:right w:val="none" w:color="FFFFFF" w:sz="0"/>
          <w:insideH w:val="none" w:color="FFFFFF" w:sz="0"/>
          <w:insideV w:val="none" w:color="FFFFFF" w:sz="0"/>
        </w:tblBorders>
      </w:tblPr>
      <w:tblGrid>
        <w:gridCol w:w="4600"/>
        <w:gridCol w:w="3200"/>
      </w:tblGrid>
      <w:tr>
        <w:trPr>
          <w:cantSplit/>
          <w:tblHeader/>
        </w:trPr>
        <w:tc>
          <w:tcPr>
            <w:tcW w:type="dxa" w:w="4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Statistic</w:t>
            </w:r>
          </w:p>
        </w:tc>
        <w:tc>
          <w:tcPr>
            <w:tcW w:type="dxa" w:w="3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Value</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Cronbach's Alpha</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0.805</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Cronbach's Alpha Based on Standardized Items</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0.803</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N of Items</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5</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Scale Mean / Variance / SD</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18.90 / 18.975 / 4.356</w:t>
            </w:r>
          </w:p>
        </w:tc>
      </w:tr>
    </w:tbl>
    <w:tbl>
      <w:tblPr>
        <w:bidiVisual/>
        <w:tblW w:type="dxa" w:w="8500"/>
        <w:tblBorders>
          <w:top w:val="single" w:color="000000" w:sz="4"/>
          <w:left w:val="none" w:color="FFFFFF" w:sz="0"/>
          <w:bottom w:val="single" w:color="000000" w:sz="4"/>
          <w:right w:val="none" w:color="FFFFFF" w:sz="0"/>
          <w:insideH w:val="none" w:color="FFFFFF" w:sz="0"/>
          <w:insideV w:val="none" w:color="FFFFFF" w:sz="0"/>
        </w:tblBorders>
      </w:tblPr>
      <w:tblGrid>
        <w:gridCol w:w="3000"/>
        <w:gridCol w:w="800"/>
        <w:gridCol w:w="900"/>
        <w:gridCol w:w="1300"/>
        <w:gridCol w:w="1300"/>
        <w:gridCol w:w="1200"/>
      </w:tblGrid>
      <w:tr>
        <w:trPr>
          <w:cantSplit/>
          <w:tblHeader/>
        </w:trPr>
        <w:tc>
          <w:tcPr>
            <w:tcW w:type="dxa" w:w="3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Item</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Mean</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SD</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Corrected Item-Total Corr.</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Squared Multiple Corr.</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Alpha if Deleted</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הבריאות השתפרה מאז המאסר</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4.05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1.108</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0.471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0.380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0.801</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הבריאות הגופנית טובה</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3.69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1.229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0.629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0.534</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0.754</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הבריאות הנפשית טובה</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3.83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1.195</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0.684</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0.520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0.736</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תחושת שמחה בחודש האחרון</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3.58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1.152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0.622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0.523</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0.757</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שביעות רצון מהחיים בחודש האחרון</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3.75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1.127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0.541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0.429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0.781</w:t>
            </w:r>
          </w:p>
        </w:tc>
      </w:tr>
    </w:tbl>
    <w:p>
      <w:pPr>
        <w:keepNext/>
        <w:bidi/>
        <w:spacing w:after="80" w:before="200" w:line="360"/>
        <w:jc w:val="right"/>
      </w:pPr>
      <w:r>
        <w:rPr>
          <w:rFonts w:ascii="David" w:cs="David" w:eastAsia="David" w:hAnsi="David"/>
          <w:b/>
          <w:bCs/>
          <w:noProof/>
          <w:sz w:val="24"/>
          <w:szCs w:val="24"/>
          <w:rtl/>
          <w:lang w:val="en-US" w:bidi="he-IL"/>
        </w:rPr>
        <w:t xml:space="preserve">א</w:t>
      </w:r>
      <w:r>
        <w:rPr>
          <w:rFonts w:ascii="Times New Roman" w:cs="Times New Roman" w:eastAsia="Times New Roman" w:hAnsi="Times New Roman"/>
          <w:b/>
          <w:bCs/>
          <w:noProof/>
          <w:sz w:val="24"/>
          <w:szCs w:val="24"/>
          <w:lang w:val="en-US" w:bidi="he-IL"/>
        </w:rPr>
        <w:t xml:space="preserve">-5</w:t>
      </w:r>
      <w:r>
        <w:rPr>
          <w:rFonts w:ascii="Times New Roman" w:cs="Times New Roman" w:eastAsia="Times New Roman" w:hAnsi="Times New Roman"/>
          <w:b/>
          <w:bCs/>
          <w:noProof/>
          <w:sz w:val="24"/>
          <w:szCs w:val="24"/>
          <w:lang w:val="en-US" w:bidi="he-IL"/>
        </w:rPr>
        <w:t xml:space="preserve">: </w:t>
      </w:r>
      <w:r>
        <w:rPr>
          <w:rFonts w:ascii="Times New Roman" w:cs="Times New Roman" w:eastAsia="Times New Roman" w:hAnsi="Times New Roman"/>
          <w:b/>
          <w:bCs/>
          <w:noProof/>
          <w:sz w:val="24"/>
          <w:szCs w:val="24"/>
          <w:lang w:val="en-US" w:bidi="he-IL"/>
        </w:rPr>
        <w:t xml:space="preserve">Descriptives</w:t>
      </w:r>
      <w:r>
        <w:rPr>
          <w:rFonts w:ascii="David" w:cs="David" w:eastAsia="David" w:hAnsi="David"/>
          <w:b/>
          <w:bCs/>
          <w:noProof/>
          <w:sz w:val="24"/>
          <w:szCs w:val="24"/>
          <w:rtl/>
          <w:lang w:val="en-US" w:bidi="he-IL"/>
        </w:rPr>
        <w:t xml:space="preserve"> ו-</w:t>
      </w:r>
      <w:r>
        <w:rPr>
          <w:rFonts w:ascii="Times New Roman" w:cs="Times New Roman" w:eastAsia="Times New Roman" w:hAnsi="Times New Roman"/>
          <w:b/>
          <w:bCs/>
          <w:noProof/>
          <w:sz w:val="24"/>
          <w:szCs w:val="24"/>
          <w:lang w:val="en-US" w:bidi="he-IL"/>
        </w:rPr>
        <w:t xml:space="preserve">Explore, Tests of Normality</w:t>
      </w:r>
    </w:p>
    <w:tbl>
      <w:tblPr>
        <w:bidiVisual/>
        <w:tblW w:type="dxa" w:w="8900"/>
        <w:tblBorders>
          <w:top w:val="single" w:color="000000" w:sz="4"/>
          <w:left w:val="none" w:color="FFFFFF" w:sz="0"/>
          <w:bottom w:val="single" w:color="000000" w:sz="4"/>
          <w:right w:val="none" w:color="FFFFFF" w:sz="0"/>
          <w:insideH w:val="none" w:color="FFFFFF" w:sz="0"/>
          <w:insideV w:val="none" w:color="FFFFFF" w:sz="0"/>
        </w:tblBorders>
      </w:tblPr>
      <w:tblGrid>
        <w:gridCol w:w="2600"/>
        <w:gridCol w:w="700"/>
        <w:gridCol w:w="700"/>
        <w:gridCol w:w="700"/>
        <w:gridCol w:w="900"/>
        <w:gridCol w:w="900"/>
        <w:gridCol w:w="1200"/>
        <w:gridCol w:w="1200"/>
      </w:tblGrid>
      <w:tr>
        <w:trPr>
          <w:cantSplit/>
          <w:tblHeader/>
        </w:trPr>
        <w:tc>
          <w:tcPr>
            <w:tcW w:type="dxa" w:w="2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Variable</w:t>
            </w:r>
          </w:p>
        </w:tc>
        <w:tc>
          <w:tcPr>
            <w:tcW w:type="dxa" w:w="7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N</w:t>
            </w:r>
          </w:p>
        </w:tc>
        <w:tc>
          <w:tcPr>
            <w:tcW w:type="dxa" w:w="7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Min</w:t>
            </w:r>
          </w:p>
        </w:tc>
        <w:tc>
          <w:tcPr>
            <w:tcW w:type="dxa" w:w="7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Max</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Mean</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SD</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Skewness (SE)</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Kurtosis (SE)</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לגיטימיות הסגל (ממוצע </w:t>
            </w:r>
            <w:r>
              <w:rPr>
                <w:rFonts w:ascii="Times New Roman" w:cs="Times New Roman" w:eastAsia="Times New Roman" w:hAnsi="Times New Roman"/>
                <w:b w:val="false"/>
                <w:bCs w:val="false"/>
                <w:noProof/>
                <w:sz w:val="22"/>
                <w:szCs w:val="22"/>
                <w:lang w:val="en-US" w:bidi="he-IL"/>
              </w:rPr>
              <w:t xml:space="preserve">3</w:t>
            </w:r>
            <w:r>
              <w:rPr>
                <w:rFonts w:ascii="David" w:cs="David" w:eastAsia="David" w:hAnsi="David"/>
                <w:b w:val="false"/>
                <w:bCs w:val="false"/>
                <w:noProof/>
                <w:sz w:val="22"/>
                <w:szCs w:val="22"/>
                <w:rtl/>
                <w:lang w:val="en-US" w:bidi="he-IL"/>
              </w:rPr>
              <w:t xml:space="preserve"> פריטים)</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2344</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1.00</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5.00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4.2405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0.82894</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-1.159 (0.051)</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0.944 (0.101)</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רווחה נפשית (ממוצע </w:t>
            </w:r>
            <w:r>
              <w:rPr>
                <w:rFonts w:ascii="Times New Roman" w:cs="Times New Roman" w:eastAsia="Times New Roman" w:hAnsi="Times New Roman"/>
                <w:b w:val="false"/>
                <w:bCs w:val="false"/>
                <w:noProof/>
                <w:sz w:val="22"/>
                <w:szCs w:val="22"/>
                <w:lang w:val="en-US" w:bidi="he-IL"/>
              </w:rPr>
              <w:t xml:space="preserve">5</w:t>
            </w:r>
            <w:r>
              <w:rPr>
                <w:rFonts w:ascii="David" w:cs="David" w:eastAsia="David" w:hAnsi="David"/>
                <w:b w:val="false"/>
                <w:bCs w:val="false"/>
                <w:noProof/>
                <w:sz w:val="22"/>
                <w:szCs w:val="22"/>
                <w:rtl/>
                <w:lang w:val="en-US" w:bidi="he-IL"/>
              </w:rPr>
              <w:t xml:space="preserve"> פריטים)</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1.00</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5.00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3.7797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0.87119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-0.589 (0.050)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-0.008 (0.100)</w:t>
            </w:r>
          </w:p>
        </w:tc>
      </w:tr>
    </w:tbl>
    <w:tbl>
      <w:tblPr>
        <w:bidiVisual/>
        <w:tblW w:type="dxa" w:w="8500"/>
        <w:tblBorders>
          <w:top w:val="single" w:color="000000" w:sz="4"/>
          <w:left w:val="none" w:color="FFFFFF" w:sz="0"/>
          <w:bottom w:val="single" w:color="000000" w:sz="4"/>
          <w:right w:val="none" w:color="FFFFFF" w:sz="0"/>
          <w:insideH w:val="none" w:color="FFFFFF" w:sz="0"/>
          <w:insideV w:val="none" w:color="FFFFFF" w:sz="0"/>
        </w:tblBorders>
      </w:tblPr>
      <w:tblGrid>
        <w:gridCol w:w="2200"/>
        <w:gridCol w:w="1500"/>
        <w:gridCol w:w="800"/>
        <w:gridCol w:w="900"/>
        <w:gridCol w:w="1400"/>
        <w:gridCol w:w="800"/>
        <w:gridCol w:w="900"/>
      </w:tblGrid>
      <w:tr>
        <w:trPr>
          <w:cantSplit/>
          <w:tblHeader/>
        </w:trPr>
        <w:tc>
          <w:tcPr>
            <w:tcW w:type="dxa" w:w="2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Variable</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Kolmogorov-Smirnov Statistic</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df</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Sig.</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Shapiro-Wilk Statistic</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df</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noProof/>
                <w:sz w:val="22"/>
                <w:szCs w:val="22"/>
                <w:lang w:val="en-US" w:bidi="he-IL"/>
              </w:rPr>
              <w:t xml:space="preserve">Sig.</w:t>
            </w:r>
          </w:p>
        </w:tc>
      </w:tr>
      <w:tr>
        <w:trPr>
          <w:cantSplit/>
        </w:trPr>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לגיטימיות הסגל</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0.180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2344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&lt; 0.001</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0.847</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2344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&lt; 0.001</w:t>
            </w:r>
          </w:p>
        </w:tc>
      </w:tr>
      <w:tr>
        <w:trPr>
          <w:cantSplit/>
        </w:trPr>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רווחה נפשית</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0.090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&lt; 0.001</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0.955</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2379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&lt; 0.001</w:t>
            </w:r>
          </w:p>
        </w:tc>
      </w:tr>
    </w:tbl>
    <w:p>
      <w:pPr>
        <w:keepNext/>
        <w:bidi/>
        <w:spacing w:after="80" w:before="200" w:line="360"/>
        <w:jc w:val="right"/>
      </w:pPr>
      <w:r>
        <w:rPr>
          <w:rFonts w:ascii="David" w:cs="David" w:eastAsia="David" w:hAnsi="David"/>
          <w:b/>
          <w:bCs/>
          <w:noProof/>
          <w:sz w:val="24"/>
          <w:szCs w:val="24"/>
          <w:rtl/>
          <w:lang w:val="en-US" w:bidi="he-IL"/>
        </w:rPr>
        <w:t xml:space="preserve">א</w:t>
      </w:r>
      <w:r>
        <w:rPr>
          <w:rFonts w:ascii="Times New Roman" w:cs="Times New Roman" w:eastAsia="Times New Roman" w:hAnsi="Times New Roman"/>
          <w:b/>
          <w:bCs/>
          <w:noProof/>
          <w:sz w:val="24"/>
          <w:szCs w:val="24"/>
          <w:lang w:val="en-US" w:bidi="he-IL"/>
        </w:rPr>
        <w:t xml:space="preserve">-6</w:t>
      </w:r>
      <w:r>
        <w:rPr>
          <w:rFonts w:ascii="Times New Roman" w:cs="Times New Roman" w:eastAsia="Times New Roman" w:hAnsi="Times New Roman"/>
          <w:b/>
          <w:bCs/>
          <w:noProof/>
          <w:sz w:val="24"/>
          <w:szCs w:val="24"/>
          <w:lang w:val="en-US" w:bidi="he-IL"/>
        </w:rPr>
        <w:t xml:space="preserve">: </w:t>
      </w:r>
      <w:r>
        <w:rPr>
          <w:rFonts w:ascii="Times New Roman" w:cs="Times New Roman" w:eastAsia="Times New Roman" w:hAnsi="Times New Roman"/>
          <w:b/>
          <w:bCs/>
          <w:noProof/>
          <w:sz w:val="24"/>
          <w:szCs w:val="24"/>
          <w:lang w:val="en-US" w:bidi="he-IL"/>
        </w:rPr>
        <w:t xml:space="preserve">Correlations (Pearson)</w:t>
      </w:r>
      <w:r>
        <w:rPr>
          <w:rFonts w:ascii="David" w:cs="David" w:eastAsia="David" w:hAnsi="David"/>
          <w:b/>
          <w:bCs/>
          <w:noProof/>
          <w:sz w:val="24"/>
          <w:szCs w:val="24"/>
          <w:rtl/>
          <w:lang w:val="en-US" w:bidi="he-IL"/>
        </w:rPr>
        <w:t xml:space="preserve"> ו-</w:t>
      </w:r>
      <w:r>
        <w:rPr>
          <w:rFonts w:ascii="Times New Roman" w:cs="Times New Roman" w:eastAsia="Times New Roman" w:hAnsi="Times New Roman"/>
          <w:b/>
          <w:bCs/>
          <w:noProof/>
          <w:sz w:val="24"/>
          <w:szCs w:val="24"/>
          <w:lang w:val="en-US" w:bidi="he-IL"/>
        </w:rPr>
        <w:t xml:space="preserve">Nonparametric Correlations (Spearman)</w:t>
      </w:r>
    </w:p>
    <w:tbl>
      <w:tblPr>
        <w:bidiVisual/>
        <w:tblW w:type="dxa" w:w="8200"/>
        <w:tblBorders>
          <w:top w:val="single" w:color="000000" w:sz="4"/>
          <w:left w:val="none" w:color="FFFFFF" w:sz="0"/>
          <w:bottom w:val="single" w:color="000000" w:sz="4"/>
          <w:right w:val="none" w:color="FFFFFF" w:sz="0"/>
          <w:insideH w:val="none" w:color="FFFFFF" w:sz="0"/>
          <w:insideV w:val="none" w:color="FFFFFF" w:sz="0"/>
        </w:tblBorders>
      </w:tblPr>
      <w:tblGrid>
        <w:gridCol w:w="3400"/>
        <w:gridCol w:w="2400"/>
        <w:gridCol w:w="2400"/>
      </w:tblGrid>
      <w:tr>
        <w:trPr>
          <w:cantSplit/>
          <w:tblHeader/>
        </w:trPr>
        <w:tc>
          <w:tcPr>
            <w:tcW w:type="dxa" w:w="3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noProof/>
                <w:sz w:val="22"/>
                <w:szCs w:val="22"/>
                <w:rtl/>
                <w:lang w:val="en-US" w:bidi="he-IL"/>
              </w:rPr>
              <w:t xml:space="preserve">לגיטימיות הסגל</w:t>
            </w: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noProof/>
                <w:sz w:val="22"/>
                <w:szCs w:val="22"/>
                <w:rtl/>
                <w:lang w:val="en-US" w:bidi="he-IL"/>
              </w:rPr>
              <w:t xml:space="preserve">רווחה נפשית</w:t>
            </w:r>
          </w:p>
        </w:tc>
      </w:tr>
      <w:tr>
        <w:trPr>
          <w:cantSplit/>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לגיטימיות הסגל: </w:t>
            </w:r>
            <w:r>
              <w:rPr>
                <w:rFonts w:ascii="Times New Roman" w:cs="Times New Roman" w:eastAsia="Times New Roman" w:hAnsi="Times New Roman"/>
                <w:b w:val="false"/>
                <w:bCs w:val="false"/>
                <w:noProof/>
                <w:sz w:val="22"/>
                <w:szCs w:val="22"/>
                <w:lang w:val="en-US" w:bidi="he-IL"/>
              </w:rPr>
              <w:t xml:space="preserve">Pearson r / Sig. / N</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 / - / 2344</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0.319** / &lt; 0.001 / 2344</w:t>
            </w:r>
          </w:p>
        </w:tc>
      </w:tr>
      <w:tr>
        <w:trPr>
          <w:cantSplit/>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noProof/>
                <w:sz w:val="22"/>
                <w:szCs w:val="22"/>
                <w:rtl/>
                <w:lang w:val="en-US" w:bidi="he-IL"/>
              </w:rPr>
              <w:t xml:space="preserve">רווחה נפשית: </w:t>
            </w:r>
            <w:r>
              <w:rPr>
                <w:rFonts w:ascii="Times New Roman" w:cs="Times New Roman" w:eastAsia="Times New Roman" w:hAnsi="Times New Roman"/>
                <w:b w:val="false"/>
                <w:bCs w:val="false"/>
                <w:noProof/>
                <w:sz w:val="22"/>
                <w:szCs w:val="22"/>
                <w:lang w:val="en-US" w:bidi="he-IL"/>
              </w:rPr>
              <w:t xml:space="preserve">Pearson r / Sig. / N</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0.319** / &lt; 0.001 / 2344</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1 / - / 2379</w:t>
            </w:r>
          </w:p>
        </w:tc>
      </w:tr>
      <w:tr>
        <w:trPr>
          <w:cantSplit/>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Spearman rho (legitimacy, wellbeing)</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0.340** / &lt; 0.001 / 2344</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Spearman rho (wellbeing with item 1 / 2 / 3)</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0.290 / 0.248 / 0.248</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noProof/>
                <w:sz w:val="22"/>
                <w:szCs w:val="22"/>
                <w:lang w:val="en-US" w:bidi="he-IL"/>
              </w:rPr>
              <w:t xml:space="preserve">all p &lt; 0.001</w:t>
            </w:r>
          </w:p>
        </w:tc>
      </w:tr>
    </w:tbl>
    <w:p>
      <w:pPr>
        <w:bidi/>
        <w:spacing w:after="200" w:before="60" w:line="276"/>
        <w:jc w:val="right"/>
      </w:pPr>
      <w:r>
        <w:rPr>
          <w:rFonts w:ascii="Times New Roman" w:cs="Times New Roman" w:eastAsia="Times New Roman" w:hAnsi="Times New Roman"/>
          <w:noProof/>
          <w:sz w:val="20"/>
          <w:szCs w:val="20"/>
          <w:lang w:val="en-US" w:bidi="he-IL"/>
        </w:rPr>
        <w:t xml:space="preserve">**. Correlation is significant at the 0.01 level (2-tailed).</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b/>
      <w:bCs/>
      <w:sz w:val="32"/>
      <w:szCs w:val="32"/>
      <w:rtl/>
    </w:rPr>
  </w:style>
  <w:style w:type="paragraph" w:styleId="Heading2">
    <w:name w:val="Heading 2"/>
    <w:basedOn w:val="Normal"/>
    <w:next w:val="Normal"/>
    <w:qFormat/>
    <w:pPr>
      <w:outlineLvl w:val="1"/>
    </w:pPr>
    <w:rPr>
      <w:rFonts w:ascii="David" w:cs="David" w:eastAsia="David" w:hAnsi="David"/>
      <w:b/>
      <w:bCs/>
      <w:sz w:val="28"/>
      <w:szCs w:val="28"/>
      <w:rtl/>
    </w:rPr>
  </w:style>
  <w:style w:type="paragraph" w:styleId="Heading3">
    <w:name w:val="Heading 3"/>
    <w:basedOn w:val="Normal"/>
    <w:next w:val="Normal"/>
    <w:qFormat/>
    <w:pPr>
      <w:outlineLvl w:val="2"/>
    </w:pPr>
    <w:rPr>
      <w:rFonts w:ascii="David" w:cs="David" w:eastAsia="David" w:hAnsi="David"/>
      <w:b/>
      <w:bCs/>
      <w:sz w:val="24"/>
      <w:szCs w:val="24"/>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d54be9369702d7bd9b2e04b05b95fbc66dc2f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רווחה נפשית ותפיסת הלגיטימיות של סגל הכליאה בקרב אסירים שפוטים בישראל</dc:title>
  <cp:lastModifiedBy>Un-named</cp:lastModifiedBy>
  <cp:revision>1</cp:revision>
  <dcterms:created xsi:type="dcterms:W3CDTF">2026-09-14T14:36:49.949Z</dcterms:created>
  <dcterms:modified xsi:type="dcterms:W3CDTF">2026-09-14T14:36:49.961Z</dcterms:modified>
</cp:coreProperties>
</file>

<file path=docProps/custom.xml><?xml version="1.0" encoding="utf-8"?>
<Properties xmlns="http://schemas.openxmlformats.org/officeDocument/2006/custom-properties" xmlns:vt="http://schemas.openxmlformats.org/officeDocument/2006/docPropsVTypes"/>
</file>