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גם ללמידה שיתופית תרומה מוכחת. בניסוי מבוקר שבו קבוצת לומדים תרגלה דיבור במבנים של עבודה קבוצתית שיתופית, הקבוצה הזאת השיגה שיפור מובהק במבחני דיבור לעומת קבוצת ביקורת שלמדה בהוראה מסורתית, ובמקביל עלתה אצלה המוטיבציה הפנימית ללמידת השפה (Namaziandost, Neisi, Kheryadi &amp; Nasri, 2019). ממצא דומה עולה ממחקר על משחקי תקשורת בכיתות תיכון: המשחקים הגבירו את ההפקה הדבורה, העשירו את אוצר המילים ויצרו אווירה רגועה שבה תלמידים העזו לדבר גם עם המורה וגם זה עם זה (Hernández-Chérrez, Hidalgo-Camacho &amp; Escobar-Llanganate, 2021).</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ובראשן טיפוח מיומנויות הבעה בעל פה והשתלבות חברתית, תעסוקתית ואקדמית. אלא שבפועל הפער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יצירת מרחב שבו תלמידים ערבים מדברים בעברית על העולם שלהם - התרבות, הבית, החיים היומיומיים - מפחיתה תחושות של איום על הזהות ועשויה דווקא להגביר את המוטיבציה ללמוד עברית. תובנה זו עומדת בבסיס הבחירה בנושא תוכן יומיומי וניטרלי כמו אוכל, שכל תלמיד יכול לדבר עליו מתוך עולמו שלו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גם בתוכניות להוראת עברית למבוגרים דוברי ערבית ניכר בעשור האחרון מעבר מכיוון עיוני־דקדוקי לאוריינטציה תקשורתית ותעסוקתית, המדגישה את השימוש בשפה בחיים עצמם (גולן, 2017).</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נרכשות בקלות רבה יותר), מאפייני הלומד (מוטיבציה, ידע קודם),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תלמיד יכול לזהות מילה בטקסט ועדיין לא להצליח להשתמש בה במשפט משלו. המסקנה המעשית: אין די בהצגת מילים; יש לתכנן פעילויות שמחייבות שליפה ושימוש דבור בכל מילה נלמדת (אבו־רביעה, 2025א). נוסף על כך, את המילים כדאי ללמד באופן מדורג, מן השכיחות והבסיסיות אל המתוחכמות יותר, בהתאם לרמת הלומדים (אבו־רביעה, 2025ב).</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(גולן בן־אורי, 2015). ובניסוח חד יותר מתחום הוראת הפועל: ידיעה על השפה איננה ביצוע נכון בשפה, ויכולת התקשורת חשובה מן ה"פורמציה" - ולכן מוטב תרגול תקשורתי מדוד מ"טרטור" צורני אינסופי (מנצור, 2004).</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ולבסוף, אוכל הוא נושא מהנה. הנאה והומור אינם קישוט בשיעור שפה אלא כלי עבודה שמפחית חרדה ומגביר נכונות לדבר (מזר, 2008).</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pStyle w:val="ListBullet"/>
        <w:bidi/>
        <w:spacing w:line="360" w:lineRule="auto" w:after="4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pStyle w:val="ListBullet"/>
        <w:bidi/>
        <w:spacing w:line="360" w:lineRule="auto" w:after="4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pStyle w:val="ListBullet"/>
        <w:bidi/>
        <w:spacing w:line="360" w:lineRule="auto" w:after="4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pStyle w:val="ListBullet"/>
        <w:bidi/>
        <w:spacing w:line="360" w:lineRule="auto" w:after="4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pStyle w:val="ListBullet"/>
        <w:bidi/>
        <w:spacing w:line="360" w:lineRule="auto" w:after="4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pStyle w:val="ListBullet"/>
        <w:bidi/>
        <w:spacing w:line="360" w:lineRule="auto" w:after="4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pStyle w:val="ListBullet"/>
        <w:bidi/>
        <w:spacing w:line="360" w:lineRule="auto" w:after="4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pStyle w:val="ListBullet"/>
        <w:bidi/>
        <w:spacing w:line="360" w:lineRule="auto" w:after="4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pStyle w:val="ListBullet"/>
        <w:bidi/>
        <w:spacing w:line="360" w:lineRule="auto" w:after="4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pStyle w:val="Heading2"/>
        <w:bidi/>
        <w:spacing w:before="160" w:after="120" w:line="360" w:lineRule="auto"/>
        <w:jc w:val="right"/>
      </w:pPr>
      <w:r>
        <w:rPr>
          <w:rFonts w:ascii="David" w:hAnsi="David" w:cs="David"/>
          <w:b/>
          <w:i w:val="0"/>
          <w:color w:val="000000"/>
          <w:sz w:val="28"/>
          <w:rtl/>
          <w:szCs w:val="28"/>
          <w:bCs/>
        </w:rPr>
        <w:t>3.4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pStyle w:val="ListBullet"/>
        <w:bidi/>
        <w:spacing w:line="360" w:lineRule="auto" w:after="4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pStyle w:val="ListBullet"/>
        <w:bidi/>
        <w:spacing w:line="360" w:lineRule="auto" w:after="4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pStyle w:val="ListBullet"/>
        <w:bidi/>
        <w:spacing w:line="360" w:lineRule="auto" w:after="4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במעגל</w:t>
              <w:br/>
              <w:t>(7 דק')</w:t>
            </w:r>
          </w:p>
        </w:tc>
        <w:tc>
          <w:tcPr>
            <w:tcW w:type="dxa" w:w="2948"/>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2948"/>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17"/>
          </w:tcPr>
          <w:p>
            <w:pPr>
              <w:bidi/>
              <w:spacing w:line="240" w:lineRule="auto" w:after="40"/>
              <w:jc w:val="right"/>
            </w:pPr>
            <w:r/>
            <w:r>
              <w:rPr>
                <w:rFonts w:ascii="David" w:hAnsi="David" w:cs="David"/>
                <w:b w:val="0"/>
                <w:i w:val="0"/>
                <w:sz w:val="22"/>
                <w:rtl/>
                <w:szCs w:val="22"/>
              </w:rPr>
              <w:t>מעגל כיתתי</w:t>
            </w:r>
          </w:p>
        </w:tc>
      </w:tr>
      <w:tr>
        <w:tc>
          <w:tcPr>
            <w:tcW w:type="dxa" w:w="1474"/>
          </w:tcPr>
          <w:p>
            <w:pPr>
              <w:bidi/>
              <w:spacing w:line="240" w:lineRule="auto" w:after="40"/>
              <w:jc w:val="right"/>
            </w:pPr>
            <w:r/>
            <w:r>
              <w:rPr>
                <w:rFonts w:ascii="David" w:hAnsi="David" w:cs="David"/>
                <w:b w:val="0"/>
                <w:i w:val="0"/>
                <w:sz w:val="22"/>
                <w:rtl/>
                <w:szCs w:val="22"/>
              </w:rPr>
              <w:t>הקניית אוצר מילים</w:t>
              <w:br/>
              <w:t>(10 דק')</w:t>
            </w:r>
          </w:p>
        </w:tc>
        <w:tc>
          <w:tcPr>
            <w:tcW w:type="dxa" w:w="2948"/>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2948"/>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17"/>
          </w:tcPr>
          <w:p>
            <w:pPr>
              <w:bidi/>
              <w:spacing w:line="240" w:lineRule="auto" w:after="40"/>
              <w:jc w:val="right"/>
            </w:pPr>
            <w:r/>
            <w:r>
              <w:rPr>
                <w:rFonts w:ascii="David" w:hAnsi="David" w:cs="David"/>
                <w:b w:val="0"/>
                <w:i w:val="0"/>
                <w:sz w:val="22"/>
                <w:rtl/>
                <w:szCs w:val="22"/>
              </w:rPr>
              <w:t>מליאה קצרה ואז זוגות</w:t>
            </w:r>
          </w:p>
        </w:tc>
      </w:tr>
      <w:tr>
        <w:tc>
          <w:tcPr>
            <w:tcW w:type="dxa" w:w="1474"/>
          </w:tcPr>
          <w:p>
            <w:pPr>
              <w:bidi/>
              <w:spacing w:line="240" w:lineRule="auto" w:after="40"/>
              <w:jc w:val="right"/>
            </w:pPr>
            <w:r/>
            <w:r>
              <w:rPr>
                <w:rFonts w:ascii="David" w:hAnsi="David" w:cs="David"/>
                <w:b w:val="0"/>
                <w:i w:val="0"/>
                <w:sz w:val="22"/>
                <w:rtl/>
                <w:szCs w:val="22"/>
              </w:rPr>
              <w:t>ראיון זוגי</w:t>
              <w:br/>
              <w:t>(15 דק')</w:t>
            </w:r>
          </w:p>
        </w:tc>
        <w:tc>
          <w:tcPr>
            <w:tcW w:type="dxa" w:w="2948"/>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2948"/>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הצגת בן הזוג</w:t>
              <w:br/>
              <w:t>(8 דק')</w:t>
            </w:r>
          </w:p>
        </w:tc>
        <w:tc>
          <w:tcPr>
            <w:tcW w:type="dxa" w:w="2948"/>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2948"/>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כרטיס יציאה דבור</w:t>
              <w:br/>
              <w:t>(5 דק')</w:t>
            </w:r>
          </w:p>
        </w:tc>
        <w:tc>
          <w:tcPr>
            <w:tcW w:type="dxa" w:w="2948"/>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2948"/>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17"/>
          </w:tcPr>
          <w:p>
            <w:pPr>
              <w:bidi/>
              <w:spacing w:line="240" w:lineRule="auto" w:after="40"/>
              <w:jc w:val="right"/>
            </w:pPr>
            <w:r/>
            <w:r>
              <w:rPr>
                <w:rFonts w:ascii="David" w:hAnsi="David" w:cs="David"/>
                <w:b w:val="0"/>
                <w:i w:val="0"/>
                <w:sz w:val="22"/>
                <w:rtl/>
                <w:szCs w:val="22"/>
              </w:rPr>
              <w:t>יחידים</w:t>
            </w:r>
          </w:p>
        </w:tc>
      </w:tr>
    </w:tbl>
    <w:p>
      <w:pPr>
        <w:bidi/>
        <w:spacing w:line="360" w:lineRule="auto" w:after="20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pStyle w:val="ListBullet"/>
        <w:bidi/>
        <w:spacing w:line="360" w:lineRule="auto" w:after="40"/>
        <w:jc w:val="both"/>
      </w:pPr>
      <w:r>
        <w:rPr>
          <w:rFonts w:ascii="David" w:hAnsi="David" w:cs="David"/>
          <w:b w:val="0"/>
          <w:i w:val="0"/>
          <w:sz w:val="24"/>
          <w:rtl/>
          <w:szCs w:val="24"/>
        </w:rPr>
        <w:t>תקשורתית: התלמידים יביעו עמדה מנומקת בעל פה על מאכלים ("בפיצה יש יותר מדי שומן").</w:t>
      </w:r>
    </w:p>
    <w:p>
      <w:pPr>
        <w:pStyle w:val="ListBullet"/>
        <w:bidi/>
        <w:spacing w:line="360" w:lineRule="auto" w:after="4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pStyle w:val="ListBullet"/>
        <w:bidi/>
        <w:spacing w:line="360" w:lineRule="auto" w:after="4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ז,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פתיחת ניחוש</w:t>
              <w:br/>
              <w:t>(5 דק')</w:t>
            </w:r>
          </w:p>
        </w:tc>
        <w:tc>
          <w:tcPr>
            <w:tcW w:type="dxa" w:w="2948"/>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2948"/>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צפייה ממוקדת בסרטון</w:t>
              <w:br/>
              <w:t>(7 דק')</w:t>
            </w:r>
          </w:p>
        </w:tc>
        <w:tc>
          <w:tcPr>
            <w:tcW w:type="dxa" w:w="2948"/>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2948"/>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הקניית מילות כמות</w:t>
              <w:br/>
              <w:t>(8 דק')</w:t>
            </w:r>
          </w:p>
        </w:tc>
        <w:tc>
          <w:tcPr>
            <w:tcW w:type="dxa" w:w="2948"/>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2948"/>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מיון קבוצתית</w:t>
              <w:br/>
              <w:t>(15 דק')</w:t>
            </w:r>
          </w:p>
        </w:tc>
        <w:tc>
          <w:tcPr>
            <w:tcW w:type="dxa" w:w="2948"/>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2948"/>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מעגל סיכום</w:t>
              <w:br/>
              <w:t>(10 דק')</w:t>
            </w:r>
          </w:p>
        </w:tc>
        <w:tc>
          <w:tcPr>
            <w:tcW w:type="dxa" w:w="2948"/>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2948"/>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pStyle w:val="ListBullet"/>
        <w:bidi/>
        <w:spacing w:line="360" w:lineRule="auto" w:after="4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pStyle w:val="ListBullet"/>
        <w:bidi/>
        <w:spacing w:line="360" w:lineRule="auto" w:after="4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pStyle w:val="ListBullet"/>
        <w:bidi/>
        <w:spacing w:line="360" w:lineRule="auto" w:after="4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מומחזת</w:t>
              <w:br/>
              <w:t>(5 דק')</w:t>
            </w:r>
          </w:p>
        </w:tc>
        <w:tc>
          <w:tcPr>
            <w:tcW w:type="dxa" w:w="2948"/>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2948"/>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תבניות שיח</w:t>
              <w:br/>
              <w:t>(8 דק')</w:t>
            </w:r>
          </w:p>
        </w:tc>
        <w:tc>
          <w:tcPr>
            <w:tcW w:type="dxa" w:w="2948"/>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2948"/>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דיאלוג מובנה בזוגות</w:t>
              <w:br/>
              <w:t>(12 דק')</w:t>
            </w:r>
          </w:p>
        </w:tc>
        <w:tc>
          <w:tcPr>
            <w:tcW w:type="dxa" w:w="2948"/>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2948"/>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2948"/>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2948"/>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הצגות ומשוב מאזינים</w:t>
              <w:br/>
              <w:t>(8 דק')</w:t>
            </w:r>
          </w:p>
        </w:tc>
        <w:tc>
          <w:tcPr>
            <w:tcW w:type="dxa" w:w="2948"/>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2948"/>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17"/>
          </w:tcPr>
          <w:p>
            <w:pPr>
              <w:bidi/>
              <w:spacing w:line="240" w:lineRule="auto" w:after="40"/>
              <w:jc w:val="right"/>
            </w:pPr>
            <w:r/>
            <w:r>
              <w:rPr>
                <w:rFonts w:ascii="David" w:hAnsi="David" w:cs="David"/>
                <w:b w:val="0"/>
                <w:i w:val="0"/>
                <w:sz w:val="22"/>
                <w:rtl/>
                <w:szCs w:val="22"/>
              </w:rPr>
              <w:t>מליאה</w:t>
            </w:r>
          </w:p>
        </w:tc>
      </w:tr>
    </w:tbl>
    <w:p>
      <w:pPr>
        <w:bidi/>
        <w:spacing w:line="360" w:lineRule="auto" w:after="20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pStyle w:val="ListBullet"/>
        <w:bidi/>
        <w:spacing w:line="360" w:lineRule="auto" w:after="40"/>
        <w:jc w:val="both"/>
      </w:pPr>
      <w:r>
        <w:rPr>
          <w:rFonts w:ascii="David" w:hAnsi="David" w:cs="David"/>
          <w:b w:val="0"/>
          <w:i w:val="0"/>
          <w:sz w:val="24"/>
          <w:rtl/>
          <w:szCs w:val="24"/>
        </w:rPr>
        <w:t>תקשורתית: התלמידים ידריכו זה את זה בעל פה בהכנת מנה, שלב אחרי שלב.</w:t>
      </w:r>
    </w:p>
    <w:p>
      <w:pPr>
        <w:pStyle w:val="ListBullet"/>
        <w:bidi/>
        <w:spacing w:line="360" w:lineRule="auto" w:after="4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pStyle w:val="ListBullet"/>
        <w:bidi/>
        <w:spacing w:line="360" w:lineRule="auto" w:after="4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המורה מבשלת</w:t>
              <w:br/>
              <w:t>(5 דק')</w:t>
            </w:r>
          </w:p>
        </w:tc>
        <w:tc>
          <w:tcPr>
            <w:tcW w:type="dxa" w:w="2948"/>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2948"/>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הציווי</w:t>
              <w:br/>
              <w:t>(7 דק')</w:t>
            </w:r>
          </w:p>
        </w:tc>
        <w:tc>
          <w:tcPr>
            <w:tcW w:type="dxa" w:w="2948"/>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2948"/>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2948"/>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2948"/>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המתכון הקבוצתי</w:t>
              <w:br/>
              <w:t>(13 דק')</w:t>
            </w:r>
          </w:p>
        </w:tc>
        <w:tc>
          <w:tcPr>
            <w:tcW w:type="dxa" w:w="2948"/>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2948"/>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שרשרת מתכון במעגל</w:t>
              <w:br/>
              <w:t>(8 דק')</w:t>
            </w:r>
          </w:p>
        </w:tc>
        <w:tc>
          <w:tcPr>
            <w:tcW w:type="dxa" w:w="2948"/>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2948"/>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pStyle w:val="ListBullet"/>
        <w:bidi/>
        <w:spacing w:line="360" w:lineRule="auto" w:after="4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pStyle w:val="ListBullet"/>
        <w:bidi/>
        <w:spacing w:line="360" w:lineRule="auto" w:after="4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pStyle w:val="ListBullet"/>
        <w:bidi/>
        <w:spacing w:line="360" w:lineRule="auto" w:after="4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ארגון והכנה אחרונה</w:t>
              <w:br/>
              <w:t>(10 דק')</w:t>
            </w:r>
          </w:p>
        </w:tc>
        <w:tc>
          <w:tcPr>
            <w:tcW w:type="dxa" w:w="2948"/>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2948"/>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סבב היריד - חלק א</w:t>
              <w:br/>
              <w:t>(10 דק')</w:t>
            </w:r>
          </w:p>
        </w:tc>
        <w:tc>
          <w:tcPr>
            <w:tcW w:type="dxa" w:w="2948"/>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2948"/>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סבב היריד - חלק ב</w:t>
              <w:br/>
              <w:t>(10 דק')</w:t>
            </w:r>
          </w:p>
        </w:tc>
        <w:tc>
          <w:tcPr>
            <w:tcW w:type="dxa" w:w="2948"/>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2948"/>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הצבעה מנומקת</w:t>
              <w:br/>
              <w:t>(8 דק')</w:t>
            </w:r>
          </w:p>
        </w:tc>
        <w:tc>
          <w:tcPr>
            <w:tcW w:type="dxa" w:w="2948"/>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2948"/>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רפלקציה במעגל</w:t>
              <w:br/>
              <w:t>(7 דק')</w:t>
            </w:r>
          </w:p>
        </w:tc>
        <w:tc>
          <w:tcPr>
            <w:tcW w:type="dxa" w:w="2948"/>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2948"/>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אבו־רביעה, א' ח' (2023). קוגנטים וקוגנטים כוזבים ככלי להרחבת אוצר המילים ברכישת עברית כשפה שנייה לדוברי ערבית. לקסי־קיי, 19, 28-32. https://kaye.ac.il/lkey/</w:t>
      </w:r>
    </w:p>
    <w:p>
      <w:pPr>
        <w:bidi/>
        <w:spacing w:line="360" w:lineRule="auto" w:after="160"/>
        <w:jc w:val="both"/>
      </w:pPr>
      <w:r>
        <w:rPr>
          <w:rFonts w:ascii="David" w:hAnsi="David" w:cs="David"/>
          <w:b w:val="0"/>
          <w:i w:val="0"/>
          <w:sz w:val="24"/>
          <w:rtl/>
          <w:szCs w:val="24"/>
        </w:rPr>
        <w:t>אבו־רביעה, א' ח' (2025א). רוחב אוצר המילים הפרודוקטיבי בעברית כשפה שנייה בקרב דוברי ערבית. לקסי־קיי, 24, 27-30. https://kaye.ac.il/lkey/</w:t>
      </w:r>
    </w:p>
    <w:p>
      <w:pPr>
        <w:bidi/>
        <w:spacing w:line="360" w:lineRule="auto" w:after="160"/>
        <w:jc w:val="both"/>
      </w:pPr>
      <w:r>
        <w:rPr>
          <w:rFonts w:ascii="David" w:hAnsi="David" w:cs="David"/>
          <w:b w:val="0"/>
          <w:i w:val="0"/>
          <w:sz w:val="24"/>
          <w:rtl/>
          <w:szCs w:val="24"/>
        </w:rPr>
        <w:t>אבו־רביעה, א' ח' (2025ב). תחכום לקסיקלי: שיטה להוראה מדורגת של אוצר המילים בעברית כשפה שנייה לערבית ולהערכתו. לקסי־קיי, 24, 31-34. https://kaye.ac.il/lkey/</w:t>
      </w:r>
    </w:p>
    <w:p>
      <w:pPr>
        <w:bidi/>
        <w:spacing w:line="360" w:lineRule="auto" w:after="160"/>
        <w:jc w:val="both"/>
      </w:pPr>
      <w:r>
        <w:rPr>
          <w:rFonts w:ascii="David" w:hAnsi="David" w:cs="David"/>
          <w:b w:val="0"/>
          <w:i w:val="0"/>
          <w:sz w:val="24"/>
          <w:rtl/>
          <w:szCs w:val="24"/>
        </w:rPr>
        <w:t>אבו־רביעה, א' ח', דיתשי־ברק, ט' ודיהי, ח' (2025). רכישה והוראה של אוצר מילים בשפה נוספת: מרכיבי ידע, גורמי השפעה ותפקיד החשיפה. לקסי־קיי, 24, 15-18. https://kaye.ac.il/lkey/</w:t>
      </w:r>
    </w:p>
    <w:p>
      <w:pPr>
        <w:bidi/>
        <w:spacing w:line="360" w:lineRule="auto" w:after="160"/>
        <w:jc w:val="both"/>
      </w:pPr>
      <w:r>
        <w:rPr>
          <w:rFonts w:ascii="David" w:hAnsi="David" w:cs="David"/>
          <w:b w:val="0"/>
          <w:i w:val="0"/>
          <w:sz w:val="24"/>
          <w:rtl/>
          <w:szCs w:val="24"/>
        </w:rPr>
        <w:t>בלום־קולקה, ש' (2007). אוריינות ושפה דבורה - מה הקשר? במכללה: כתב עת מחקרי של מכללת דוד ילין, 20, 55-72. https://www.dyellin.ac.il/sites/default/files/journals/in_the_college/edition20/shoshana_blum.pdf</w:t>
      </w:r>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מנור, ר' (2025). מדיניות החינוך הלשוני והמשמעות המעשית בלימוד עברית דבורה בחברה הערבית בישראל. לקסי־קיי, 24, 7-10. https://kaye.ac.il/lkey/</w:t>
      </w:r>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https://education.biu.ac.il/node/9715</w:t>
      </w:r>
    </w:p>
    <w:p>
      <w:pPr>
        <w:bidi/>
        <w:spacing w:line="360" w:lineRule="auto" w:after="160"/>
        <w:jc w:val="both"/>
      </w:pPr>
      <w:r>
        <w:rPr>
          <w:rFonts w:ascii="David" w:hAnsi="David" w:cs="David"/>
          <w:b w:val="0"/>
          <w:i w:val="0"/>
          <w:sz w:val="24"/>
          <w:rtl/>
          <w:szCs w:val="24"/>
        </w:rPr>
        <w:t>רכניץ, ת' (2025). טעויות התערבות ברכישת שפה נוספת: השפעת הערבית על שגיאות בכתיבה העברית של דוברי ערבית. לקסי־קיי, 24, 23-26. https://kaye.ac.il/lkey/</w:t>
      </w:r>
    </w:p>
    <w:p>
      <w:pPr>
        <w:bidi/>
        <w:spacing w:line="360" w:lineRule="auto" w:after="160"/>
        <w:jc w:val="both"/>
      </w:pPr>
      <w:r>
        <w:rPr>
          <w:rFonts w:ascii="David" w:hAnsi="David" w:cs="David"/>
          <w:b w:val="0"/>
          <w:i w:val="0"/>
          <w:sz w:val="24"/>
          <w:rtl/>
          <w:szCs w:val="24"/>
        </w:rPr>
        <w:t>שחר־ימס, ד', משלי, ת' ופריאור, ע' (2022). יכולות שפתיות ואורייניות של תלמידים דו־לשוניים בישראל: סקירה מחקרית והשלכות חינוכיות. אוריינות ושפה, 9, 1-19. https://scriptil.org/wp-content/uploads/2022/03/Shahar-Yames-Michaly-Prior-2022.pdf</w:t>
      </w:r>
    </w:p>
    <w:p>
      <w:pPr>
        <w:bidi/>
        <w:spacing w:line="360" w:lineRule="auto" w:after="160"/>
        <w:jc w:val="both"/>
      </w:pPr>
      <w:r>
        <w:rPr>
          <w:rFonts w:ascii="David" w:hAnsi="David" w:cs="David"/>
          <w:b w:val="0"/>
          <w:i w:val="0"/>
          <w:sz w:val="24"/>
          <w:rtl/>
          <w:szCs w:val="24"/>
        </w:rPr>
        <w:t>שתיל, נ' (2008). הערבים בישראל: השפעת לשוניות ודרכי רכישת העברית - מיון הבעיות הלשוניות של לומדי עברית מן המגזר הערבי. הד האולפן החדש, 93, 70-88. https://meyda.education.gov.il/files/adulteducation/miyonbuot.pdf</w:t>
      </w:r>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sz w:val="24"/>
        </w:rPr>
        <w:t>Albino, G. (2017). Improving speaking fluency in a task-based language teaching approach: The case of EFL learners at PUNIV-Cazenga. SAGE Open, 7(2), 1-11. https://journals.sagepub.com/doi/full/10.1177/2158244017691077</w:t>
      </w:r>
    </w:p>
    <w:p>
      <w:pPr>
        <w:spacing w:line="360" w:lineRule="auto" w:after="160"/>
        <w:jc w:val="left"/>
      </w:pPr>
      <w:r>
        <w:rPr>
          <w:rFonts w:ascii="David" w:hAnsi="David"/>
          <w:sz w:val="24"/>
        </w:rPr>
        <w:t>Council of Europe (2020). Common European Framework of Reference for Languages: Learning, teaching, assessment - Companion volume. Council of Europe Publishing. https://www.coe.int/en/web/common-european-framework-reference-languages</w:t>
      </w:r>
    </w:p>
    <w:p>
      <w:pPr>
        <w:spacing w:line="360" w:lineRule="auto" w:after="160"/>
        <w:jc w:val="left"/>
      </w:pPr>
      <w:r>
        <w:rPr>
          <w:rFonts w:ascii="David" w:hAnsi="David"/>
          <w:sz w:val="24"/>
        </w:rPr>
        <w:t>Hernandez-Cherrez, E., Hidalgo-Camacho, C., &amp; Escobar-Llanganate, P. (2021). Communication games: Their contribution to developing speaking skills. International Journal of Instruction, 14(4), 643-658. https://files.eric.ed.gov/fulltext/EJ1318968.pdf</w:t>
      </w:r>
    </w:p>
    <w:p>
      <w:pPr>
        <w:spacing w:line="360" w:lineRule="auto" w:after="160"/>
        <w:jc w:val="left"/>
      </w:pPr>
      <w:r>
        <w:rPr>
          <w:rFonts w:ascii="David" w:hAnsi="David"/>
          <w:sz w:val="24"/>
        </w:rPr>
        <w:t>Namaziandost, E., Neisi, L., Kheryadi, &amp; Nasri, M. (2019). Enhancing oral proficiency through cooperative learning among intermediate EFL learners: English learning motivation in focus. Cogent Education, 6(1), 1683933. https://doi.org/10.1080/2331186X.2019.1683933</w:t>
      </w:r>
    </w:p>
    <w:p>
      <w:pPr>
        <w:spacing w:line="360" w:lineRule="auto" w:after="160"/>
        <w:jc w:val="left"/>
      </w:pPr>
      <w:r>
        <w:rPr>
          <w:rFonts w:ascii="David" w:hAnsi="David"/>
          <w:sz w:val="24"/>
        </w:rPr>
        <w:t>Piccardo, E., North, B., &amp; Goodier, T. (2019). Broadening the scope of language education: Mediation, plurilingualism, and collaborative learning: The CEFR Companion Volume. Journal of e-Learning and Knowledge Society, 15(1), 17-36. https://www.je-lks.org/ojs/index.php/Je-LKS_EN/article/view/1612</w:t>
      </w:r>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תזונה</w:t>
            </w:r>
          </w:p>
        </w:tc>
        <w:tc>
          <w:tcPr>
            <w:tcW w:type="dxa" w:w="1984"/>
          </w:tcPr>
          <w:p>
            <w:pPr>
              <w:bidi/>
              <w:spacing w:line="240" w:lineRule="auto" w:after="40"/>
              <w:jc w:val="right"/>
            </w:pPr>
            <w:r/>
            <w:r>
              <w:rPr>
                <w:rFonts w:ascii="David" w:hAnsi="David" w:cs="David"/>
                <w:b w:val="0"/>
                <w:i w:val="0"/>
                <w:sz w:val="22"/>
                <w:rtl/>
                <w:szCs w:val="22"/>
              </w:rPr>
              <w:t>تغذية</w:t>
            </w:r>
          </w:p>
        </w:tc>
        <w:tc>
          <w:tcPr>
            <w:tcW w:type="dxa" w:w="4535"/>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1984"/>
          </w:tcPr>
          <w:p>
            <w:pPr>
              <w:bidi/>
              <w:spacing w:line="240" w:lineRule="auto" w:after="40"/>
              <w:jc w:val="right"/>
            </w:pPr>
            <w:r/>
            <w:r>
              <w:rPr>
                <w:rFonts w:ascii="David" w:hAnsi="David" w:cs="David"/>
                <w:b w:val="0"/>
                <w:i w:val="0"/>
                <w:sz w:val="22"/>
                <w:rtl/>
                <w:szCs w:val="22"/>
              </w:rPr>
              <w:t>ארוחה</w:t>
            </w:r>
          </w:p>
        </w:tc>
        <w:tc>
          <w:tcPr>
            <w:tcW w:type="dxa" w:w="1984"/>
          </w:tcPr>
          <w:p>
            <w:pPr>
              <w:bidi/>
              <w:spacing w:line="240" w:lineRule="auto" w:after="40"/>
              <w:jc w:val="right"/>
            </w:pPr>
            <w:r/>
            <w:r>
              <w:rPr>
                <w:rFonts w:ascii="David" w:hAnsi="David" w:cs="David"/>
                <w:b w:val="0"/>
                <w:i w:val="0"/>
                <w:sz w:val="22"/>
                <w:rtl/>
                <w:szCs w:val="22"/>
              </w:rPr>
              <w:t>وجبة</w:t>
            </w:r>
          </w:p>
        </w:tc>
        <w:tc>
          <w:tcPr>
            <w:tcW w:type="dxa" w:w="4535"/>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1984"/>
          </w:tcPr>
          <w:p>
            <w:pPr>
              <w:bidi/>
              <w:spacing w:line="240" w:lineRule="auto" w:after="40"/>
              <w:jc w:val="right"/>
            </w:pPr>
            <w:r/>
            <w:r>
              <w:rPr>
                <w:rFonts w:ascii="David" w:hAnsi="David" w:cs="David"/>
                <w:b w:val="0"/>
                <w:i w:val="0"/>
                <w:sz w:val="22"/>
                <w:rtl/>
                <w:szCs w:val="22"/>
              </w:rPr>
              <w:t>ירקות</w:t>
            </w:r>
          </w:p>
        </w:tc>
        <w:tc>
          <w:tcPr>
            <w:tcW w:type="dxa" w:w="1984"/>
          </w:tcPr>
          <w:p>
            <w:pPr>
              <w:bidi/>
              <w:spacing w:line="240" w:lineRule="auto" w:after="40"/>
              <w:jc w:val="right"/>
            </w:pPr>
            <w:r/>
            <w:r>
              <w:rPr>
                <w:rFonts w:ascii="David" w:hAnsi="David" w:cs="David"/>
                <w:b w:val="0"/>
                <w:i w:val="0"/>
                <w:sz w:val="22"/>
                <w:rtl/>
                <w:szCs w:val="22"/>
              </w:rPr>
              <w:t>خضروات</w:t>
            </w:r>
          </w:p>
        </w:tc>
        <w:tc>
          <w:tcPr>
            <w:tcW w:type="dxa" w:w="4535"/>
          </w:tcPr>
          <w:p>
            <w:pPr>
              <w:bidi/>
              <w:spacing w:line="240" w:lineRule="auto" w:after="40"/>
              <w:jc w:val="right"/>
            </w:pPr>
            <w:r/>
            <w:r>
              <w:rPr>
                <w:rFonts w:ascii="David" w:hAnsi="David" w:cs="David"/>
                <w:b w:val="0"/>
                <w:i w:val="0"/>
                <w:sz w:val="22"/>
                <w:rtl/>
                <w:szCs w:val="22"/>
              </w:rPr>
              <w:t>אני אוכל ירקות בכל ארוחה.</w:t>
            </w:r>
          </w:p>
        </w:tc>
      </w:tr>
      <w:tr>
        <w:tc>
          <w:tcPr>
            <w:tcW w:type="dxa" w:w="1984"/>
          </w:tcPr>
          <w:p>
            <w:pPr>
              <w:bidi/>
              <w:spacing w:line="240" w:lineRule="auto" w:after="40"/>
              <w:jc w:val="right"/>
            </w:pPr>
            <w:r/>
            <w:r>
              <w:rPr>
                <w:rFonts w:ascii="David" w:hAnsi="David" w:cs="David"/>
                <w:b w:val="0"/>
                <w:i w:val="0"/>
                <w:sz w:val="22"/>
                <w:rtl/>
                <w:szCs w:val="22"/>
              </w:rPr>
              <w:t>פירות</w:t>
            </w:r>
          </w:p>
        </w:tc>
        <w:tc>
          <w:tcPr>
            <w:tcW w:type="dxa" w:w="1984"/>
          </w:tcPr>
          <w:p>
            <w:pPr>
              <w:bidi/>
              <w:spacing w:line="240" w:lineRule="auto" w:after="40"/>
              <w:jc w:val="right"/>
            </w:pPr>
            <w:r/>
            <w:r>
              <w:rPr>
                <w:rFonts w:ascii="David" w:hAnsi="David" w:cs="David"/>
                <w:b w:val="0"/>
                <w:i w:val="0"/>
                <w:sz w:val="22"/>
                <w:rtl/>
                <w:szCs w:val="22"/>
              </w:rPr>
              <w:t>فواكه</w:t>
            </w:r>
          </w:p>
        </w:tc>
        <w:tc>
          <w:tcPr>
            <w:tcW w:type="dxa" w:w="4535"/>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1984"/>
          </w:tcPr>
          <w:p>
            <w:pPr>
              <w:bidi/>
              <w:spacing w:line="240" w:lineRule="auto" w:after="40"/>
              <w:jc w:val="right"/>
            </w:pPr>
            <w:r/>
            <w:r>
              <w:rPr>
                <w:rFonts w:ascii="David" w:hAnsi="David" w:cs="David"/>
                <w:b w:val="0"/>
                <w:i w:val="0"/>
                <w:sz w:val="22"/>
                <w:rtl/>
                <w:szCs w:val="22"/>
              </w:rPr>
              <w:t>סוכר</w:t>
            </w:r>
          </w:p>
        </w:tc>
        <w:tc>
          <w:tcPr>
            <w:tcW w:type="dxa" w:w="1984"/>
          </w:tcPr>
          <w:p>
            <w:pPr>
              <w:bidi/>
              <w:spacing w:line="240" w:lineRule="auto" w:after="40"/>
              <w:jc w:val="right"/>
            </w:pPr>
            <w:r/>
            <w:r>
              <w:rPr>
                <w:rFonts w:ascii="David" w:hAnsi="David" w:cs="David"/>
                <w:b w:val="0"/>
                <w:i w:val="0"/>
                <w:sz w:val="22"/>
                <w:rtl/>
                <w:szCs w:val="22"/>
              </w:rPr>
              <w:t>سكر</w:t>
            </w:r>
          </w:p>
        </w:tc>
        <w:tc>
          <w:tcPr>
            <w:tcW w:type="dxa" w:w="4535"/>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1984"/>
          </w:tcPr>
          <w:p>
            <w:pPr>
              <w:bidi/>
              <w:spacing w:line="240" w:lineRule="auto" w:after="40"/>
              <w:jc w:val="right"/>
            </w:pPr>
            <w:r/>
            <w:r>
              <w:rPr>
                <w:rFonts w:ascii="David" w:hAnsi="David" w:cs="David"/>
                <w:b w:val="0"/>
                <w:i w:val="0"/>
                <w:sz w:val="22"/>
                <w:rtl/>
                <w:szCs w:val="22"/>
              </w:rPr>
              <w:t>שומן</w:t>
            </w:r>
          </w:p>
        </w:tc>
        <w:tc>
          <w:tcPr>
            <w:tcW w:type="dxa" w:w="1984"/>
          </w:tcPr>
          <w:p>
            <w:pPr>
              <w:bidi/>
              <w:spacing w:line="240" w:lineRule="auto" w:after="40"/>
              <w:jc w:val="right"/>
            </w:pPr>
            <w:r/>
            <w:r>
              <w:rPr>
                <w:rFonts w:ascii="David" w:hAnsi="David" w:cs="David"/>
                <w:b w:val="0"/>
                <w:i w:val="0"/>
                <w:sz w:val="22"/>
                <w:rtl/>
                <w:szCs w:val="22"/>
              </w:rPr>
              <w:t>دهون</w:t>
            </w:r>
          </w:p>
        </w:tc>
        <w:tc>
          <w:tcPr>
            <w:tcW w:type="dxa" w:w="4535"/>
          </w:tcPr>
          <w:p>
            <w:pPr>
              <w:bidi/>
              <w:spacing w:line="240" w:lineRule="auto" w:after="40"/>
              <w:jc w:val="right"/>
            </w:pPr>
            <w:r/>
            <w:r>
              <w:rPr>
                <w:rFonts w:ascii="David" w:hAnsi="David" w:cs="David"/>
                <w:b w:val="0"/>
                <w:i w:val="0"/>
                <w:sz w:val="22"/>
                <w:rtl/>
                <w:szCs w:val="22"/>
              </w:rPr>
              <w:t>בצ'יפס יש הרבה שומן.</w:t>
            </w:r>
          </w:p>
        </w:tc>
      </w:tr>
      <w:tr>
        <w:tc>
          <w:tcPr>
            <w:tcW w:type="dxa" w:w="1984"/>
          </w:tcPr>
          <w:p>
            <w:pPr>
              <w:bidi/>
              <w:spacing w:line="240" w:lineRule="auto" w:after="40"/>
              <w:jc w:val="right"/>
            </w:pPr>
            <w:r/>
            <w:r>
              <w:rPr>
                <w:rFonts w:ascii="David" w:hAnsi="David" w:cs="David"/>
                <w:b w:val="0"/>
                <w:i w:val="0"/>
                <w:sz w:val="22"/>
                <w:rtl/>
                <w:szCs w:val="22"/>
              </w:rPr>
              <w:t>חלבון</w:t>
            </w:r>
          </w:p>
        </w:tc>
        <w:tc>
          <w:tcPr>
            <w:tcW w:type="dxa" w:w="1984"/>
          </w:tcPr>
          <w:p>
            <w:pPr>
              <w:bidi/>
              <w:spacing w:line="240" w:lineRule="auto" w:after="40"/>
              <w:jc w:val="right"/>
            </w:pPr>
            <w:r/>
            <w:r>
              <w:rPr>
                <w:rFonts w:ascii="David" w:hAnsi="David" w:cs="David"/>
                <w:b w:val="0"/>
                <w:i w:val="0"/>
                <w:sz w:val="22"/>
                <w:rtl/>
                <w:szCs w:val="22"/>
              </w:rPr>
              <w:t>بروتين</w:t>
            </w:r>
          </w:p>
        </w:tc>
        <w:tc>
          <w:tcPr>
            <w:tcW w:type="dxa" w:w="4535"/>
          </w:tcPr>
          <w:p>
            <w:pPr>
              <w:bidi/>
              <w:spacing w:line="240" w:lineRule="auto" w:after="40"/>
              <w:jc w:val="right"/>
            </w:pPr>
            <w:r/>
            <w:r>
              <w:rPr>
                <w:rFonts w:ascii="David" w:hAnsi="David" w:cs="David"/>
                <w:b w:val="0"/>
                <w:i w:val="0"/>
                <w:sz w:val="22"/>
                <w:rtl/>
                <w:szCs w:val="22"/>
              </w:rPr>
              <w:t>בביצה יש הרבה חלבון.</w:t>
            </w:r>
          </w:p>
        </w:tc>
      </w:tr>
      <w:tr>
        <w:tc>
          <w:tcPr>
            <w:tcW w:type="dxa" w:w="1984"/>
          </w:tcPr>
          <w:p>
            <w:pPr>
              <w:bidi/>
              <w:spacing w:line="240" w:lineRule="auto" w:after="40"/>
              <w:jc w:val="right"/>
            </w:pPr>
            <w:r/>
            <w:r>
              <w:rPr>
                <w:rFonts w:ascii="David" w:hAnsi="David" w:cs="David"/>
                <w:b w:val="0"/>
                <w:i w:val="0"/>
                <w:sz w:val="22"/>
                <w:rtl/>
                <w:szCs w:val="22"/>
              </w:rPr>
              <w:t>משקה ממותק</w:t>
            </w:r>
          </w:p>
        </w:tc>
        <w:tc>
          <w:tcPr>
            <w:tcW w:type="dxa" w:w="1984"/>
          </w:tcPr>
          <w:p>
            <w:pPr>
              <w:bidi/>
              <w:spacing w:line="240" w:lineRule="auto" w:after="40"/>
              <w:jc w:val="right"/>
            </w:pPr>
            <w:r/>
            <w:r>
              <w:rPr>
                <w:rFonts w:ascii="David" w:hAnsi="David" w:cs="David"/>
                <w:b w:val="0"/>
                <w:i w:val="0"/>
                <w:sz w:val="22"/>
                <w:rtl/>
                <w:szCs w:val="22"/>
              </w:rPr>
              <w:t>مشروب محلّى</w:t>
            </w:r>
          </w:p>
        </w:tc>
        <w:tc>
          <w:tcPr>
            <w:tcW w:type="dxa" w:w="4535"/>
          </w:tcPr>
          <w:p>
            <w:pPr>
              <w:bidi/>
              <w:spacing w:line="240" w:lineRule="auto" w:after="40"/>
              <w:jc w:val="right"/>
            </w:pPr>
            <w:r/>
            <w:r>
              <w:rPr>
                <w:rFonts w:ascii="David" w:hAnsi="David" w:cs="David"/>
                <w:b w:val="0"/>
                <w:i w:val="0"/>
                <w:sz w:val="22"/>
                <w:rtl/>
                <w:szCs w:val="22"/>
              </w:rPr>
              <w:t>עדיף מים ממשקה ממותק.</w:t>
            </w:r>
          </w:p>
        </w:tc>
      </w:tr>
      <w:tr>
        <w:tc>
          <w:tcPr>
            <w:tcW w:type="dxa" w:w="1984"/>
          </w:tcPr>
          <w:p>
            <w:pPr>
              <w:bidi/>
              <w:spacing w:line="240" w:lineRule="auto" w:after="40"/>
              <w:jc w:val="right"/>
            </w:pPr>
            <w:r/>
            <w:r>
              <w:rPr>
                <w:rFonts w:ascii="David" w:hAnsi="David" w:cs="David"/>
                <w:b w:val="0"/>
                <w:i w:val="0"/>
                <w:sz w:val="22"/>
                <w:rtl/>
                <w:szCs w:val="22"/>
              </w:rPr>
              <w:t>תפריט</w:t>
            </w:r>
          </w:p>
        </w:tc>
        <w:tc>
          <w:tcPr>
            <w:tcW w:type="dxa" w:w="1984"/>
          </w:tcPr>
          <w:p>
            <w:pPr>
              <w:bidi/>
              <w:spacing w:line="240" w:lineRule="auto" w:after="40"/>
              <w:jc w:val="right"/>
            </w:pPr>
            <w:r/>
            <w:r>
              <w:rPr>
                <w:rFonts w:ascii="David" w:hAnsi="David" w:cs="David"/>
                <w:b w:val="0"/>
                <w:i w:val="0"/>
                <w:sz w:val="22"/>
                <w:rtl/>
                <w:szCs w:val="22"/>
              </w:rPr>
              <w:t>قائمة طعام</w:t>
            </w:r>
          </w:p>
        </w:tc>
        <w:tc>
          <w:tcPr>
            <w:tcW w:type="dxa" w:w="4535"/>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1984"/>
          </w:tcPr>
          <w:p>
            <w:pPr>
              <w:bidi/>
              <w:spacing w:line="240" w:lineRule="auto" w:after="40"/>
              <w:jc w:val="right"/>
            </w:pPr>
            <w:r/>
            <w:r>
              <w:rPr>
                <w:rFonts w:ascii="David" w:hAnsi="David" w:cs="David"/>
                <w:b w:val="0"/>
                <w:i w:val="0"/>
                <w:sz w:val="22"/>
                <w:rtl/>
                <w:szCs w:val="22"/>
              </w:rPr>
              <w:t>מנה</w:t>
            </w:r>
          </w:p>
        </w:tc>
        <w:tc>
          <w:tcPr>
            <w:tcW w:type="dxa" w:w="1984"/>
          </w:tcPr>
          <w:p>
            <w:pPr>
              <w:bidi/>
              <w:spacing w:line="240" w:lineRule="auto" w:after="40"/>
              <w:jc w:val="right"/>
            </w:pPr>
            <w:r/>
            <w:r>
              <w:rPr>
                <w:rFonts w:ascii="David" w:hAnsi="David" w:cs="David"/>
                <w:b w:val="0"/>
                <w:i w:val="0"/>
                <w:sz w:val="22"/>
                <w:rtl/>
                <w:szCs w:val="22"/>
              </w:rPr>
              <w:t>طبق</w:t>
            </w:r>
          </w:p>
        </w:tc>
        <w:tc>
          <w:tcPr>
            <w:tcW w:type="dxa" w:w="4535"/>
          </w:tcPr>
          <w:p>
            <w:pPr>
              <w:bidi/>
              <w:spacing w:line="240" w:lineRule="auto" w:after="40"/>
              <w:jc w:val="right"/>
            </w:pPr>
            <w:r/>
            <w:r>
              <w:rPr>
                <w:rFonts w:ascii="David" w:hAnsi="David" w:cs="David"/>
                <w:b w:val="0"/>
                <w:i w:val="0"/>
                <w:sz w:val="22"/>
                <w:rtl/>
                <w:szCs w:val="22"/>
              </w:rPr>
              <w:t>איזו מנה אתה רוצה להזמין?</w:t>
            </w:r>
          </w:p>
        </w:tc>
      </w:tr>
      <w:tr>
        <w:tc>
          <w:tcPr>
            <w:tcW w:type="dxa" w:w="1984"/>
          </w:tcPr>
          <w:p>
            <w:pPr>
              <w:bidi/>
              <w:spacing w:line="240" w:lineRule="auto" w:after="40"/>
              <w:jc w:val="right"/>
            </w:pPr>
            <w:r/>
            <w:r>
              <w:rPr>
                <w:rFonts w:ascii="David" w:hAnsi="David" w:cs="David"/>
                <w:b w:val="0"/>
                <w:i w:val="0"/>
                <w:sz w:val="22"/>
                <w:rtl/>
                <w:szCs w:val="22"/>
              </w:rPr>
              <w:t>טעים</w:t>
            </w:r>
          </w:p>
        </w:tc>
        <w:tc>
          <w:tcPr>
            <w:tcW w:type="dxa" w:w="1984"/>
          </w:tcPr>
          <w:p>
            <w:pPr>
              <w:bidi/>
              <w:spacing w:line="240" w:lineRule="auto" w:after="40"/>
              <w:jc w:val="right"/>
            </w:pPr>
            <w:r/>
            <w:r>
              <w:rPr>
                <w:rFonts w:ascii="David" w:hAnsi="David" w:cs="David"/>
                <w:b w:val="0"/>
                <w:i w:val="0"/>
                <w:sz w:val="22"/>
                <w:rtl/>
                <w:szCs w:val="22"/>
              </w:rPr>
              <w:t>لذيذ</w:t>
            </w:r>
          </w:p>
        </w:tc>
        <w:tc>
          <w:tcPr>
            <w:tcW w:type="dxa" w:w="4535"/>
          </w:tcPr>
          <w:p>
            <w:pPr>
              <w:bidi/>
              <w:spacing w:line="240" w:lineRule="auto" w:after="40"/>
              <w:jc w:val="right"/>
            </w:pPr>
            <w:r/>
            <w:r>
              <w:rPr>
                <w:rFonts w:ascii="David" w:hAnsi="David" w:cs="David"/>
                <w:b w:val="0"/>
                <w:i w:val="0"/>
                <w:sz w:val="22"/>
                <w:rtl/>
                <w:szCs w:val="22"/>
              </w:rPr>
              <w:t>הסלט הזה ממש טעים!</w:t>
            </w:r>
          </w:p>
        </w:tc>
      </w:tr>
      <w:tr>
        <w:tc>
          <w:tcPr>
            <w:tcW w:type="dxa" w:w="1984"/>
          </w:tcPr>
          <w:p>
            <w:pPr>
              <w:bidi/>
              <w:spacing w:line="240" w:lineRule="auto" w:after="40"/>
              <w:jc w:val="right"/>
            </w:pPr>
            <w:r/>
            <w:r>
              <w:rPr>
                <w:rFonts w:ascii="David" w:hAnsi="David" w:cs="David"/>
                <w:b w:val="0"/>
                <w:i w:val="0"/>
                <w:sz w:val="22"/>
                <w:rtl/>
                <w:szCs w:val="22"/>
              </w:rPr>
              <w:t>בריא</w:t>
            </w:r>
          </w:p>
        </w:tc>
        <w:tc>
          <w:tcPr>
            <w:tcW w:type="dxa" w:w="1984"/>
          </w:tcPr>
          <w:p>
            <w:pPr>
              <w:bidi/>
              <w:spacing w:line="240" w:lineRule="auto" w:after="40"/>
              <w:jc w:val="right"/>
            </w:pPr>
            <w:r/>
            <w:r>
              <w:rPr>
                <w:rFonts w:ascii="David" w:hAnsi="David" w:cs="David"/>
                <w:b w:val="0"/>
                <w:i w:val="0"/>
                <w:sz w:val="22"/>
                <w:rtl/>
                <w:szCs w:val="22"/>
              </w:rPr>
              <w:t>صحّي</w:t>
            </w:r>
          </w:p>
        </w:tc>
        <w:tc>
          <w:tcPr>
            <w:tcW w:type="dxa" w:w="4535"/>
          </w:tcPr>
          <w:p>
            <w:pPr>
              <w:bidi/>
              <w:spacing w:line="240" w:lineRule="auto" w:after="40"/>
              <w:jc w:val="right"/>
            </w:pPr>
            <w:r/>
            <w:r>
              <w:rPr>
                <w:rFonts w:ascii="David" w:hAnsi="David" w:cs="David"/>
                <w:b w:val="0"/>
                <w:i w:val="0"/>
                <w:sz w:val="22"/>
                <w:rtl/>
                <w:szCs w:val="22"/>
              </w:rPr>
              <w:t>תפוח הוא חטיף בריא.</w:t>
            </w:r>
          </w:p>
        </w:tc>
      </w:tr>
      <w:tr>
        <w:tc>
          <w:tcPr>
            <w:tcW w:type="dxa" w:w="1984"/>
          </w:tcPr>
          <w:p>
            <w:pPr>
              <w:bidi/>
              <w:spacing w:line="240" w:lineRule="auto" w:after="40"/>
              <w:jc w:val="right"/>
            </w:pPr>
            <w:r/>
            <w:r>
              <w:rPr>
                <w:rFonts w:ascii="David" w:hAnsi="David" w:cs="David"/>
                <w:b w:val="0"/>
                <w:i w:val="0"/>
                <w:sz w:val="22"/>
                <w:rtl/>
                <w:szCs w:val="22"/>
              </w:rPr>
              <w:t>מזין</w:t>
            </w:r>
          </w:p>
        </w:tc>
        <w:tc>
          <w:tcPr>
            <w:tcW w:type="dxa" w:w="1984"/>
          </w:tcPr>
          <w:p>
            <w:pPr>
              <w:bidi/>
              <w:spacing w:line="240" w:lineRule="auto" w:after="40"/>
              <w:jc w:val="right"/>
            </w:pPr>
            <w:r/>
            <w:r>
              <w:rPr>
                <w:rFonts w:ascii="David" w:hAnsi="David" w:cs="David"/>
                <w:b w:val="0"/>
                <w:i w:val="0"/>
                <w:sz w:val="22"/>
                <w:rtl/>
                <w:szCs w:val="22"/>
              </w:rPr>
              <w:t>مغذٍّ</w:t>
            </w:r>
          </w:p>
        </w:tc>
        <w:tc>
          <w:tcPr>
            <w:tcW w:type="dxa" w:w="4535"/>
          </w:tcPr>
          <w:p>
            <w:pPr>
              <w:bidi/>
              <w:spacing w:line="240" w:lineRule="auto" w:after="40"/>
              <w:jc w:val="right"/>
            </w:pPr>
            <w:r/>
            <w:r>
              <w:rPr>
                <w:rFonts w:ascii="David" w:hAnsi="David" w:cs="David"/>
                <w:b w:val="0"/>
                <w:i w:val="0"/>
                <w:sz w:val="22"/>
                <w:rtl/>
                <w:szCs w:val="22"/>
              </w:rPr>
              <w:t>דג הוא אוכל מזין.</w:t>
            </w:r>
          </w:p>
        </w:tc>
      </w:tr>
      <w:tr>
        <w:tc>
          <w:tcPr>
            <w:tcW w:type="dxa" w:w="1984"/>
          </w:tcPr>
          <w:p>
            <w:pPr>
              <w:bidi/>
              <w:spacing w:line="240" w:lineRule="auto" w:after="40"/>
              <w:jc w:val="right"/>
            </w:pPr>
            <w:r/>
            <w:r>
              <w:rPr>
                <w:rFonts w:ascii="David" w:hAnsi="David" w:cs="David"/>
                <w:b w:val="0"/>
                <w:i w:val="0"/>
                <w:sz w:val="22"/>
                <w:rtl/>
                <w:szCs w:val="22"/>
              </w:rPr>
              <w:t>להזמין</w:t>
            </w:r>
          </w:p>
        </w:tc>
        <w:tc>
          <w:tcPr>
            <w:tcW w:type="dxa" w:w="1984"/>
          </w:tcPr>
          <w:p>
            <w:pPr>
              <w:bidi/>
              <w:spacing w:line="240" w:lineRule="auto" w:after="40"/>
              <w:jc w:val="right"/>
            </w:pPr>
            <w:r/>
            <w:r>
              <w:rPr>
                <w:rFonts w:ascii="David" w:hAnsi="David" w:cs="David"/>
                <w:b w:val="0"/>
                <w:i w:val="0"/>
                <w:sz w:val="22"/>
                <w:rtl/>
                <w:szCs w:val="22"/>
              </w:rPr>
              <w:t>يطلب</w:t>
            </w:r>
          </w:p>
        </w:tc>
        <w:tc>
          <w:tcPr>
            <w:tcW w:type="dxa" w:w="4535"/>
          </w:tcPr>
          <w:p>
            <w:pPr>
              <w:bidi/>
              <w:spacing w:line="240" w:lineRule="auto" w:after="40"/>
              <w:jc w:val="right"/>
            </w:pPr>
            <w:r/>
            <w:r>
              <w:rPr>
                <w:rFonts w:ascii="David" w:hAnsi="David" w:cs="David"/>
                <w:b w:val="0"/>
                <w:i w:val="0"/>
                <w:sz w:val="22"/>
                <w:rtl/>
                <w:szCs w:val="22"/>
              </w:rPr>
              <w:t>אני רוצה להזמין פסטה.</w:t>
            </w:r>
          </w:p>
        </w:tc>
      </w:tr>
      <w:tr>
        <w:tc>
          <w:tcPr>
            <w:tcW w:type="dxa" w:w="1984"/>
          </w:tcPr>
          <w:p>
            <w:pPr>
              <w:bidi/>
              <w:spacing w:line="240" w:lineRule="auto" w:after="40"/>
              <w:jc w:val="right"/>
            </w:pPr>
            <w:r/>
            <w:r>
              <w:rPr>
                <w:rFonts w:ascii="David" w:hAnsi="David" w:cs="David"/>
                <w:b w:val="0"/>
                <w:i w:val="0"/>
                <w:sz w:val="22"/>
                <w:rtl/>
                <w:szCs w:val="22"/>
              </w:rPr>
              <w:t>מתכון</w:t>
            </w:r>
          </w:p>
        </w:tc>
        <w:tc>
          <w:tcPr>
            <w:tcW w:type="dxa" w:w="1984"/>
          </w:tcPr>
          <w:p>
            <w:pPr>
              <w:bidi/>
              <w:spacing w:line="240" w:lineRule="auto" w:after="40"/>
              <w:jc w:val="right"/>
            </w:pPr>
            <w:r/>
            <w:r>
              <w:rPr>
                <w:rFonts w:ascii="David" w:hAnsi="David" w:cs="David"/>
                <w:b w:val="0"/>
                <w:i w:val="0"/>
                <w:sz w:val="22"/>
                <w:rtl/>
                <w:szCs w:val="22"/>
              </w:rPr>
              <w:t>وصفة</w:t>
            </w:r>
          </w:p>
        </w:tc>
        <w:tc>
          <w:tcPr>
            <w:tcW w:type="dxa" w:w="4535"/>
          </w:tcPr>
          <w:p>
            <w:pPr>
              <w:bidi/>
              <w:spacing w:line="240" w:lineRule="auto" w:after="40"/>
              <w:jc w:val="right"/>
            </w:pPr>
            <w:r/>
            <w:r>
              <w:rPr>
                <w:rFonts w:ascii="David" w:hAnsi="David" w:cs="David"/>
                <w:b w:val="0"/>
                <w:i w:val="0"/>
                <w:sz w:val="22"/>
                <w:rtl/>
                <w:szCs w:val="22"/>
              </w:rPr>
              <w:t>יש לי מתכון קל לסלט.</w:t>
            </w:r>
          </w:p>
        </w:tc>
      </w:tr>
      <w:tr>
        <w:tc>
          <w:tcPr>
            <w:tcW w:type="dxa" w:w="1984"/>
          </w:tcPr>
          <w:p>
            <w:pPr>
              <w:bidi/>
              <w:spacing w:line="240" w:lineRule="auto" w:after="40"/>
              <w:jc w:val="right"/>
            </w:pPr>
            <w:r/>
            <w:r>
              <w:rPr>
                <w:rFonts w:ascii="David" w:hAnsi="David" w:cs="David"/>
                <w:b w:val="0"/>
                <w:i w:val="0"/>
                <w:sz w:val="22"/>
                <w:rtl/>
                <w:szCs w:val="22"/>
              </w:rPr>
              <w:t>מצרכים</w:t>
            </w:r>
          </w:p>
        </w:tc>
        <w:tc>
          <w:tcPr>
            <w:tcW w:type="dxa" w:w="1984"/>
          </w:tcPr>
          <w:p>
            <w:pPr>
              <w:bidi/>
              <w:spacing w:line="240" w:lineRule="auto" w:after="40"/>
              <w:jc w:val="right"/>
            </w:pPr>
            <w:r/>
            <w:r>
              <w:rPr>
                <w:rFonts w:ascii="David" w:hAnsi="David" w:cs="David"/>
                <w:b w:val="0"/>
                <w:i w:val="0"/>
                <w:sz w:val="22"/>
                <w:rtl/>
                <w:szCs w:val="22"/>
              </w:rPr>
              <w:t>مكوّنات</w:t>
            </w:r>
          </w:p>
        </w:tc>
        <w:tc>
          <w:tcPr>
            <w:tcW w:type="dxa" w:w="4535"/>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20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80"/>
        <w:jc w:val="both"/>
      </w:pPr>
      <w:r>
        <w:rPr>
          <w:rFonts w:ascii="David" w:hAnsi="David" w:cs="David"/>
          <w:b w:val="0"/>
          <w:i w:val="0"/>
          <w:sz w:val="24"/>
          <w:rtl/>
          <w:szCs w:val="24"/>
        </w:rPr>
        <w:t>רשימת 24 כרטיסי המאכלים (מכינים כרטיס תמונה לכל פריט): תפוח, בננה, אבטיח, מלפפון, עגבנייה, גזר, לחם מלא, פיתה לבנה, לבנה, חומוס, ביצה, דג, עוף בגריל, שניצל מטוגן, צ'יפס, פיצה, במבה, שוקולד, סוכרייה, עוגה, קולה, מיץ ממותק, מים, חלב.</w:t>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2268"/>
          </w:tcPr>
          <w:p>
            <w:pPr>
              <w:bidi/>
              <w:spacing w:line="240" w:lineRule="auto" w:after="40"/>
              <w:jc w:val="right"/>
            </w:pPr>
            <w:r/>
            <w:r>
              <w:rPr>
                <w:rFonts w:ascii="David" w:hAnsi="David" w:cs="David"/>
                <w:b/>
                <w:i w:val="0"/>
                <w:sz w:val="22"/>
                <w:rtl/>
                <w:szCs w:val="22"/>
                <w:bCs/>
              </w:rPr>
              <w:t>מנה</w:t>
            </w:r>
          </w:p>
        </w:tc>
        <w:tc>
          <w:tcPr>
            <w:tcW w:type="dxa" w:w="3969"/>
          </w:tcPr>
          <w:p>
            <w:pPr>
              <w:bidi/>
              <w:spacing w:line="240" w:lineRule="auto" w:after="40"/>
              <w:jc w:val="right"/>
            </w:pPr>
            <w:r/>
            <w:r>
              <w:rPr>
                <w:rFonts w:ascii="David" w:hAnsi="David" w:cs="David"/>
                <w:b/>
                <w:i w:val="0"/>
                <w:sz w:val="22"/>
                <w:rtl/>
                <w:szCs w:val="22"/>
                <w:bCs/>
              </w:rPr>
              <w:t>תיאור</w:t>
            </w:r>
          </w:p>
        </w:tc>
        <w:tc>
          <w:tcPr>
            <w:tcW w:type="dxa" w:w="1701"/>
          </w:tcPr>
          <w:p>
            <w:pPr>
              <w:bidi/>
              <w:spacing w:line="240" w:lineRule="auto" w:after="40"/>
              <w:jc w:val="right"/>
            </w:pPr>
            <w:r/>
            <w:r>
              <w:rPr>
                <w:rFonts w:ascii="David" w:hAnsi="David" w:cs="David"/>
                <w:b/>
                <w:i w:val="0"/>
                <w:sz w:val="22"/>
                <w:rtl/>
                <w:szCs w:val="22"/>
                <w:bCs/>
              </w:rPr>
              <w:t>מחיר</w:t>
            </w:r>
          </w:p>
        </w:tc>
      </w:tr>
      <w:tr>
        <w:tc>
          <w:tcPr>
            <w:tcW w:type="dxa" w:w="2268"/>
          </w:tcPr>
          <w:p>
            <w:pPr>
              <w:bidi/>
              <w:spacing w:line="240" w:lineRule="auto" w:after="40"/>
              <w:jc w:val="right"/>
            </w:pPr>
            <w:r/>
            <w:r>
              <w:rPr>
                <w:rFonts w:ascii="David" w:hAnsi="David" w:cs="David"/>
                <w:b w:val="0"/>
                <w:i w:val="0"/>
                <w:sz w:val="22"/>
                <w:rtl/>
                <w:szCs w:val="22"/>
              </w:rPr>
              <w:t>סלט ירקות גדול</w:t>
            </w:r>
          </w:p>
        </w:tc>
        <w:tc>
          <w:tcPr>
            <w:tcW w:type="dxa" w:w="3969"/>
          </w:tcPr>
          <w:p>
            <w:pPr>
              <w:bidi/>
              <w:spacing w:line="240" w:lineRule="auto" w:after="40"/>
              <w:jc w:val="right"/>
            </w:pPr>
            <w:r/>
            <w:r>
              <w:rPr>
                <w:rFonts w:ascii="David" w:hAnsi="David" w:cs="David"/>
                <w:b w:val="0"/>
                <w:i w:val="0"/>
                <w:sz w:val="22"/>
                <w:rtl/>
                <w:szCs w:val="22"/>
              </w:rPr>
              <w:t>עגבנייה, מלפפון, גזר ולימון</w:t>
            </w:r>
          </w:p>
        </w:tc>
        <w:tc>
          <w:tcPr>
            <w:tcW w:type="dxa" w:w="1701"/>
          </w:tcPr>
          <w:p>
            <w:pPr>
              <w:bidi/>
              <w:spacing w:line="240" w:lineRule="auto" w:after="40"/>
              <w:jc w:val="right"/>
            </w:pPr>
            <w:r/>
            <w:r>
              <w:rPr>
                <w:rFonts w:ascii="David" w:hAnsi="David" w:cs="David"/>
                <w:b w:val="0"/>
                <w:i w:val="0"/>
                <w:sz w:val="22"/>
                <w:rtl/>
                <w:szCs w:val="22"/>
              </w:rPr>
              <w:t>18 ש"ח</w:t>
            </w:r>
          </w:p>
        </w:tc>
      </w:tr>
      <w:tr>
        <w:tc>
          <w:tcPr>
            <w:tcW w:type="dxa" w:w="2268"/>
          </w:tcPr>
          <w:p>
            <w:pPr>
              <w:bidi/>
              <w:spacing w:line="240" w:lineRule="auto" w:after="40"/>
              <w:jc w:val="right"/>
            </w:pPr>
            <w:r/>
            <w:r>
              <w:rPr>
                <w:rFonts w:ascii="David" w:hAnsi="David" w:cs="David"/>
                <w:b w:val="0"/>
                <w:i w:val="0"/>
                <w:sz w:val="22"/>
                <w:rtl/>
                <w:szCs w:val="22"/>
              </w:rPr>
              <w:t>חומוס עם פיתה</w:t>
            </w:r>
          </w:p>
        </w:tc>
        <w:tc>
          <w:tcPr>
            <w:tcW w:type="dxa" w:w="3969"/>
          </w:tcPr>
          <w:p>
            <w:pPr>
              <w:bidi/>
              <w:spacing w:line="240" w:lineRule="auto" w:after="40"/>
              <w:jc w:val="right"/>
            </w:pPr>
            <w:r/>
            <w:r>
              <w:rPr>
                <w:rFonts w:ascii="David" w:hAnsi="David" w:cs="David"/>
                <w:b w:val="0"/>
                <w:i w:val="0"/>
                <w:sz w:val="22"/>
                <w:rtl/>
                <w:szCs w:val="22"/>
              </w:rPr>
              <w:t>חומוס ביתי עם פיתה חמה</w:t>
            </w:r>
          </w:p>
        </w:tc>
        <w:tc>
          <w:tcPr>
            <w:tcW w:type="dxa" w:w="1701"/>
          </w:tcPr>
          <w:p>
            <w:pPr>
              <w:bidi/>
              <w:spacing w:line="240" w:lineRule="auto" w:after="40"/>
              <w:jc w:val="right"/>
            </w:pPr>
            <w:r/>
            <w:r>
              <w:rPr>
                <w:rFonts w:ascii="David" w:hAnsi="David" w:cs="David"/>
                <w:b w:val="0"/>
                <w:i w:val="0"/>
                <w:sz w:val="22"/>
                <w:rtl/>
                <w:szCs w:val="22"/>
              </w:rPr>
              <w:t>20 ש"ח</w:t>
            </w:r>
          </w:p>
        </w:tc>
      </w:tr>
      <w:tr>
        <w:tc>
          <w:tcPr>
            <w:tcW w:type="dxa" w:w="2268"/>
          </w:tcPr>
          <w:p>
            <w:pPr>
              <w:bidi/>
              <w:spacing w:line="240" w:lineRule="auto" w:after="40"/>
              <w:jc w:val="right"/>
            </w:pPr>
            <w:r/>
            <w:r>
              <w:rPr>
                <w:rFonts w:ascii="David" w:hAnsi="David" w:cs="David"/>
                <w:b w:val="0"/>
                <w:i w:val="0"/>
                <w:sz w:val="22"/>
                <w:rtl/>
                <w:szCs w:val="22"/>
              </w:rPr>
              <w:t>עוף בגריל עם אורז</w:t>
            </w:r>
          </w:p>
        </w:tc>
        <w:tc>
          <w:tcPr>
            <w:tcW w:type="dxa" w:w="3969"/>
          </w:tcPr>
          <w:p>
            <w:pPr>
              <w:bidi/>
              <w:spacing w:line="240" w:lineRule="auto" w:after="40"/>
              <w:jc w:val="right"/>
            </w:pPr>
            <w:r/>
            <w:r>
              <w:rPr>
                <w:rFonts w:ascii="David" w:hAnsi="David" w:cs="David"/>
                <w:b w:val="0"/>
                <w:i w:val="0"/>
                <w:sz w:val="22"/>
                <w:rtl/>
                <w:szCs w:val="22"/>
              </w:rPr>
              <w:t>חזה עוף עם אורז וירקות</w:t>
            </w:r>
          </w:p>
        </w:tc>
        <w:tc>
          <w:tcPr>
            <w:tcW w:type="dxa" w:w="1701"/>
          </w:tcPr>
          <w:p>
            <w:pPr>
              <w:bidi/>
              <w:spacing w:line="240" w:lineRule="auto" w:after="40"/>
              <w:jc w:val="right"/>
            </w:pPr>
            <w:r/>
            <w:r>
              <w:rPr>
                <w:rFonts w:ascii="David" w:hAnsi="David" w:cs="David"/>
                <w:b w:val="0"/>
                <w:i w:val="0"/>
                <w:sz w:val="22"/>
                <w:rtl/>
                <w:szCs w:val="22"/>
              </w:rPr>
              <w:t>32 ש"ח</w:t>
            </w:r>
          </w:p>
        </w:tc>
      </w:tr>
      <w:tr>
        <w:tc>
          <w:tcPr>
            <w:tcW w:type="dxa" w:w="2268"/>
          </w:tcPr>
          <w:p>
            <w:pPr>
              <w:bidi/>
              <w:spacing w:line="240" w:lineRule="auto" w:after="40"/>
              <w:jc w:val="right"/>
            </w:pPr>
            <w:r/>
            <w:r>
              <w:rPr>
                <w:rFonts w:ascii="David" w:hAnsi="David" w:cs="David"/>
                <w:b w:val="0"/>
                <w:i w:val="0"/>
                <w:sz w:val="22"/>
                <w:rtl/>
                <w:szCs w:val="22"/>
              </w:rPr>
              <w:t>פסטה ברוטב עגבניות</w:t>
            </w:r>
          </w:p>
        </w:tc>
        <w:tc>
          <w:tcPr>
            <w:tcW w:type="dxa" w:w="3969"/>
          </w:tcPr>
          <w:p>
            <w:pPr>
              <w:bidi/>
              <w:spacing w:line="240" w:lineRule="auto" w:after="40"/>
              <w:jc w:val="right"/>
            </w:pPr>
            <w:r/>
            <w:r>
              <w:rPr>
                <w:rFonts w:ascii="David" w:hAnsi="David" w:cs="David"/>
                <w:b w:val="0"/>
                <w:i w:val="0"/>
                <w:sz w:val="22"/>
                <w:rtl/>
                <w:szCs w:val="22"/>
              </w:rPr>
              <w:t>פסטה עם רוטב עגבניות טרי</w:t>
            </w:r>
          </w:p>
        </w:tc>
        <w:tc>
          <w:tcPr>
            <w:tcW w:type="dxa" w:w="1701"/>
          </w:tcPr>
          <w:p>
            <w:pPr>
              <w:bidi/>
              <w:spacing w:line="240" w:lineRule="auto" w:after="40"/>
              <w:jc w:val="right"/>
            </w:pPr>
            <w:r/>
            <w:r>
              <w:rPr>
                <w:rFonts w:ascii="David" w:hAnsi="David" w:cs="David"/>
                <w:b w:val="0"/>
                <w:i w:val="0"/>
                <w:sz w:val="22"/>
                <w:rtl/>
                <w:szCs w:val="22"/>
              </w:rPr>
              <w:t>26 ש"ח</w:t>
            </w:r>
          </w:p>
        </w:tc>
      </w:tr>
      <w:tr>
        <w:tc>
          <w:tcPr>
            <w:tcW w:type="dxa" w:w="2268"/>
          </w:tcPr>
          <w:p>
            <w:pPr>
              <w:bidi/>
              <w:spacing w:line="240" w:lineRule="auto" w:after="40"/>
              <w:jc w:val="right"/>
            </w:pPr>
            <w:r/>
            <w:r>
              <w:rPr>
                <w:rFonts w:ascii="David" w:hAnsi="David" w:cs="David"/>
                <w:b w:val="0"/>
                <w:i w:val="0"/>
                <w:sz w:val="22"/>
                <w:rtl/>
                <w:szCs w:val="22"/>
              </w:rPr>
              <w:t>שניצל וצ'יפס</w:t>
            </w:r>
          </w:p>
        </w:tc>
        <w:tc>
          <w:tcPr>
            <w:tcW w:type="dxa" w:w="3969"/>
          </w:tcPr>
          <w:p>
            <w:pPr>
              <w:bidi/>
              <w:spacing w:line="240" w:lineRule="auto" w:after="40"/>
              <w:jc w:val="right"/>
            </w:pPr>
            <w:r/>
            <w:r>
              <w:rPr>
                <w:rFonts w:ascii="David" w:hAnsi="David" w:cs="David"/>
                <w:b w:val="0"/>
                <w:i w:val="0"/>
                <w:sz w:val="22"/>
                <w:rtl/>
                <w:szCs w:val="22"/>
              </w:rPr>
              <w:t>שניצל מטוגן עם צ'יפס</w:t>
            </w:r>
          </w:p>
        </w:tc>
        <w:tc>
          <w:tcPr>
            <w:tcW w:type="dxa" w:w="1701"/>
          </w:tcPr>
          <w:p>
            <w:pPr>
              <w:bidi/>
              <w:spacing w:line="240" w:lineRule="auto" w:after="40"/>
              <w:jc w:val="right"/>
            </w:pPr>
            <w:r/>
            <w:r>
              <w:rPr>
                <w:rFonts w:ascii="David" w:hAnsi="David" w:cs="David"/>
                <w:b w:val="0"/>
                <w:i w:val="0"/>
                <w:sz w:val="22"/>
                <w:rtl/>
                <w:szCs w:val="22"/>
              </w:rPr>
              <w:t>30 ש"ח</w:t>
            </w:r>
          </w:p>
        </w:tc>
      </w:tr>
      <w:tr>
        <w:tc>
          <w:tcPr>
            <w:tcW w:type="dxa" w:w="2268"/>
          </w:tcPr>
          <w:p>
            <w:pPr>
              <w:bidi/>
              <w:spacing w:line="240" w:lineRule="auto" w:after="40"/>
              <w:jc w:val="right"/>
            </w:pPr>
            <w:r/>
            <w:r>
              <w:rPr>
                <w:rFonts w:ascii="David" w:hAnsi="David" w:cs="David"/>
                <w:b w:val="0"/>
                <w:i w:val="0"/>
                <w:sz w:val="22"/>
                <w:rtl/>
                <w:szCs w:val="22"/>
              </w:rPr>
              <w:t>מים / סודה</w:t>
            </w:r>
          </w:p>
        </w:tc>
        <w:tc>
          <w:tcPr>
            <w:tcW w:type="dxa" w:w="3969"/>
          </w:tcPr>
          <w:p>
            <w:pPr>
              <w:bidi/>
              <w:spacing w:line="240" w:lineRule="auto" w:after="40"/>
              <w:jc w:val="right"/>
            </w:pPr>
            <w:r/>
            <w:r>
              <w:rPr>
                <w:rFonts w:ascii="David" w:hAnsi="David" w:cs="David"/>
                <w:b w:val="0"/>
                <w:i w:val="0"/>
                <w:sz w:val="22"/>
                <w:rtl/>
                <w:szCs w:val="22"/>
              </w:rPr>
              <w:t>כוס קרה</w:t>
            </w:r>
          </w:p>
        </w:tc>
        <w:tc>
          <w:tcPr>
            <w:tcW w:type="dxa" w:w="1701"/>
          </w:tcPr>
          <w:p>
            <w:pPr>
              <w:bidi/>
              <w:spacing w:line="240" w:lineRule="auto" w:after="40"/>
              <w:jc w:val="right"/>
            </w:pPr>
            <w:r/>
            <w:r>
              <w:rPr>
                <w:rFonts w:ascii="David" w:hAnsi="David" w:cs="David"/>
                <w:b w:val="0"/>
                <w:i w:val="0"/>
                <w:sz w:val="22"/>
                <w:rtl/>
                <w:szCs w:val="22"/>
              </w:rPr>
              <w:t>6 ש"ח</w:t>
            </w:r>
          </w:p>
        </w:tc>
      </w:tr>
      <w:tr>
        <w:tc>
          <w:tcPr>
            <w:tcW w:type="dxa" w:w="2268"/>
          </w:tcPr>
          <w:p>
            <w:pPr>
              <w:bidi/>
              <w:spacing w:line="240" w:lineRule="auto" w:after="40"/>
              <w:jc w:val="right"/>
            </w:pPr>
            <w:r/>
            <w:r>
              <w:rPr>
                <w:rFonts w:ascii="David" w:hAnsi="David" w:cs="David"/>
                <w:b w:val="0"/>
                <w:i w:val="0"/>
                <w:sz w:val="22"/>
                <w:rtl/>
                <w:szCs w:val="22"/>
              </w:rPr>
              <w:t>מיץ תפוזים טבעי</w:t>
            </w:r>
          </w:p>
        </w:tc>
        <w:tc>
          <w:tcPr>
            <w:tcW w:type="dxa" w:w="3969"/>
          </w:tcPr>
          <w:p>
            <w:pPr>
              <w:bidi/>
              <w:spacing w:line="240" w:lineRule="auto" w:after="40"/>
              <w:jc w:val="right"/>
            </w:pPr>
            <w:r/>
            <w:r>
              <w:rPr>
                <w:rFonts w:ascii="David" w:hAnsi="David" w:cs="David"/>
                <w:b w:val="0"/>
                <w:i w:val="0"/>
                <w:sz w:val="22"/>
                <w:rtl/>
                <w:szCs w:val="22"/>
              </w:rPr>
              <w:t>סחוט במקום</w:t>
            </w:r>
          </w:p>
        </w:tc>
        <w:tc>
          <w:tcPr>
            <w:tcW w:type="dxa" w:w="1701"/>
          </w:tcPr>
          <w:p>
            <w:pPr>
              <w:bidi/>
              <w:spacing w:line="240" w:lineRule="auto" w:after="40"/>
              <w:jc w:val="right"/>
            </w:pPr>
            <w:r/>
            <w:r>
              <w:rPr>
                <w:rFonts w:ascii="David" w:hAnsi="David" w:cs="David"/>
                <w:b w:val="0"/>
                <w:i w:val="0"/>
                <w:sz w:val="22"/>
                <w:rtl/>
                <w:szCs w:val="22"/>
              </w:rPr>
              <w:t>10 ש"ח</w:t>
            </w:r>
          </w:p>
        </w:tc>
      </w:tr>
      <w:tr>
        <w:tc>
          <w:tcPr>
            <w:tcW w:type="dxa" w:w="2268"/>
          </w:tcPr>
          <w:p>
            <w:pPr>
              <w:bidi/>
              <w:spacing w:line="240" w:lineRule="auto" w:after="40"/>
              <w:jc w:val="right"/>
            </w:pPr>
            <w:r/>
            <w:r>
              <w:rPr>
                <w:rFonts w:ascii="David" w:hAnsi="David" w:cs="David"/>
                <w:b w:val="0"/>
                <w:i w:val="0"/>
                <w:sz w:val="22"/>
                <w:rtl/>
                <w:szCs w:val="22"/>
              </w:rPr>
              <w:t>סלט פירות</w:t>
            </w:r>
          </w:p>
        </w:tc>
        <w:tc>
          <w:tcPr>
            <w:tcW w:type="dxa" w:w="3969"/>
          </w:tcPr>
          <w:p>
            <w:pPr>
              <w:bidi/>
              <w:spacing w:line="240" w:lineRule="auto" w:after="40"/>
              <w:jc w:val="right"/>
            </w:pPr>
            <w:r/>
            <w:r>
              <w:rPr>
                <w:rFonts w:ascii="David" w:hAnsi="David" w:cs="David"/>
                <w:b w:val="0"/>
                <w:i w:val="0"/>
                <w:sz w:val="22"/>
                <w:rtl/>
                <w:szCs w:val="22"/>
              </w:rPr>
              <w:t>פירות העונה</w:t>
            </w:r>
          </w:p>
        </w:tc>
        <w:tc>
          <w:tcPr>
            <w:tcW w:type="dxa" w:w="1701"/>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200"/>
        <w:jc w:val="both"/>
      </w:pPr>
      <w:r>
        <w:rPr>
          <w:rFonts w:ascii="David" w:hAnsi="David" w:cs="David"/>
          <w:b w:val="0"/>
          <w:i w:val="0"/>
          <w:sz w:val="24"/>
          <w:rtl/>
          <w:szCs w:val="24"/>
        </w:rPr>
        <w:t>קלפי אירוע לרביעיות: (1) המנה הגיעה קרה - מה אומרים למלצר בנימוס? (2) חבר צמחוני הצטרף - עזרו לו לבחור מנה מהתפריט. (3) אין מספיק כסף לחשבון - פתרו את המצב בדיבור. (4) הלקוח אלרגי ללימון - בררו מה יש בסלט.</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154"/>
          </w:tcPr>
          <w:p>
            <w:pPr>
              <w:bidi/>
              <w:spacing w:line="240" w:lineRule="auto" w:after="40"/>
              <w:jc w:val="right"/>
            </w:pPr>
            <w:r/>
            <w:r>
              <w:rPr>
                <w:rFonts w:ascii="David" w:hAnsi="David" w:cs="David"/>
                <w:b/>
                <w:i w:val="0"/>
                <w:sz w:val="22"/>
                <w:rtl/>
                <w:szCs w:val="22"/>
                <w:bCs/>
              </w:rPr>
              <w:t>קריטריון</w:t>
            </w:r>
          </w:p>
        </w:tc>
        <w:tc>
          <w:tcPr>
            <w:tcW w:type="dxa" w:w="2154"/>
          </w:tcPr>
          <w:p>
            <w:pPr>
              <w:bidi/>
              <w:spacing w:line="240" w:lineRule="auto" w:after="40"/>
              <w:jc w:val="right"/>
            </w:pPr>
            <w:r/>
            <w:r>
              <w:rPr>
                <w:rFonts w:ascii="David" w:hAnsi="David" w:cs="David"/>
                <w:b/>
                <w:i w:val="0"/>
                <w:sz w:val="22"/>
                <w:rtl/>
                <w:szCs w:val="22"/>
                <w:bCs/>
              </w:rPr>
              <w:t>מתחיל (1)</w:t>
            </w:r>
          </w:p>
        </w:tc>
        <w:tc>
          <w:tcPr>
            <w:tcW w:type="dxa" w:w="2154"/>
          </w:tcPr>
          <w:p>
            <w:pPr>
              <w:bidi/>
              <w:spacing w:line="240" w:lineRule="auto" w:after="40"/>
              <w:jc w:val="right"/>
            </w:pPr>
            <w:r/>
            <w:r>
              <w:rPr>
                <w:rFonts w:ascii="David" w:hAnsi="David" w:cs="David"/>
                <w:b/>
                <w:i w:val="0"/>
                <w:sz w:val="22"/>
                <w:rtl/>
                <w:szCs w:val="22"/>
                <w:bCs/>
              </w:rPr>
              <w:t>מתקדם (2)</w:t>
            </w:r>
          </w:p>
        </w:tc>
        <w:tc>
          <w:tcPr>
            <w:tcW w:type="dxa" w:w="2154"/>
          </w:tcPr>
          <w:p>
            <w:pPr>
              <w:bidi/>
              <w:spacing w:line="240" w:lineRule="auto" w:after="40"/>
              <w:jc w:val="right"/>
            </w:pPr>
            <w:r/>
            <w:r>
              <w:rPr>
                <w:rFonts w:ascii="David" w:hAnsi="David" w:cs="David"/>
                <w:b/>
                <w:i w:val="0"/>
                <w:sz w:val="22"/>
                <w:rtl/>
                <w:szCs w:val="22"/>
                <w:bCs/>
              </w:rPr>
              <w:t>שולט (3)</w:t>
            </w:r>
          </w:p>
        </w:tc>
      </w:tr>
      <w:tr>
        <w:tc>
          <w:tcPr>
            <w:tcW w:type="dxa" w:w="2154"/>
          </w:tcPr>
          <w:p>
            <w:pPr>
              <w:bidi/>
              <w:spacing w:line="240" w:lineRule="auto" w:after="40"/>
              <w:jc w:val="right"/>
            </w:pPr>
            <w:r/>
            <w:r>
              <w:rPr>
                <w:rFonts w:ascii="David" w:hAnsi="David" w:cs="David"/>
                <w:b w:val="0"/>
                <w:i w:val="0"/>
                <w:sz w:val="22"/>
                <w:rtl/>
                <w:szCs w:val="22"/>
              </w:rPr>
              <w:t>שטף והשתתפות</w:t>
            </w:r>
          </w:p>
        </w:tc>
        <w:tc>
          <w:tcPr>
            <w:tcW w:type="dxa" w:w="2154"/>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154"/>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154"/>
          </w:tcPr>
          <w:p>
            <w:pPr>
              <w:bidi/>
              <w:spacing w:line="240" w:lineRule="auto" w:after="40"/>
              <w:jc w:val="right"/>
            </w:pPr>
            <w:r/>
            <w:r>
              <w:rPr>
                <w:rFonts w:ascii="David" w:hAnsi="David" w:cs="David"/>
                <w:b w:val="0"/>
                <w:i w:val="0"/>
                <w:sz w:val="22"/>
                <w:rtl/>
                <w:szCs w:val="22"/>
              </w:rPr>
              <w:t>מדבר ברצף בביטחון</w:t>
            </w:r>
          </w:p>
        </w:tc>
      </w:tr>
      <w:tr>
        <w:tc>
          <w:tcPr>
            <w:tcW w:type="dxa" w:w="2154"/>
          </w:tcPr>
          <w:p>
            <w:pPr>
              <w:bidi/>
              <w:spacing w:line="240" w:lineRule="auto" w:after="40"/>
              <w:jc w:val="right"/>
            </w:pPr>
            <w:r/>
            <w:r>
              <w:rPr>
                <w:rFonts w:ascii="David" w:hAnsi="David" w:cs="David"/>
                <w:b w:val="0"/>
                <w:i w:val="0"/>
                <w:sz w:val="22"/>
                <w:rtl/>
                <w:szCs w:val="22"/>
              </w:rPr>
              <w:t>אוצר המילים של היחידה</w:t>
            </w:r>
          </w:p>
        </w:tc>
        <w:tc>
          <w:tcPr>
            <w:tcW w:type="dxa" w:w="2154"/>
          </w:tcPr>
          <w:p>
            <w:pPr>
              <w:bidi/>
              <w:spacing w:line="240" w:lineRule="auto" w:after="40"/>
              <w:jc w:val="right"/>
            </w:pPr>
            <w:r/>
            <w:r>
              <w:rPr>
                <w:rFonts w:ascii="David" w:hAnsi="David" w:cs="David"/>
                <w:b w:val="0"/>
                <w:i w:val="0"/>
                <w:sz w:val="22"/>
                <w:rtl/>
                <w:szCs w:val="22"/>
              </w:rPr>
              <w:t>משתמש ב־1-2 מילים מהיחידה</w:t>
            </w:r>
          </w:p>
        </w:tc>
        <w:tc>
          <w:tcPr>
            <w:tcW w:type="dxa" w:w="2154"/>
          </w:tcPr>
          <w:p>
            <w:pPr>
              <w:bidi/>
              <w:spacing w:line="240" w:lineRule="auto" w:after="40"/>
              <w:jc w:val="right"/>
            </w:pPr>
            <w:r/>
            <w:r>
              <w:rPr>
                <w:rFonts w:ascii="David" w:hAnsi="David" w:cs="David"/>
                <w:b w:val="0"/>
                <w:i w:val="0"/>
                <w:sz w:val="22"/>
                <w:rtl/>
                <w:szCs w:val="22"/>
              </w:rPr>
              <w:t>משתמש ב־3-5 מילים נכון</w:t>
            </w:r>
          </w:p>
        </w:tc>
        <w:tc>
          <w:tcPr>
            <w:tcW w:type="dxa" w:w="2154"/>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154"/>
          </w:tcPr>
          <w:p>
            <w:pPr>
              <w:bidi/>
              <w:spacing w:line="240" w:lineRule="auto" w:after="40"/>
              <w:jc w:val="right"/>
            </w:pPr>
            <w:r/>
            <w:r>
              <w:rPr>
                <w:rFonts w:ascii="David" w:hAnsi="David" w:cs="David"/>
                <w:b w:val="0"/>
                <w:i w:val="0"/>
                <w:sz w:val="22"/>
                <w:rtl/>
                <w:szCs w:val="22"/>
              </w:rPr>
              <w:t>הרכיב הלשוני (כמות/ציווי)</w:t>
            </w:r>
          </w:p>
        </w:tc>
        <w:tc>
          <w:tcPr>
            <w:tcW w:type="dxa" w:w="2154"/>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154"/>
          </w:tcPr>
          <w:p>
            <w:pPr>
              <w:bidi/>
              <w:spacing w:line="240" w:lineRule="auto" w:after="40"/>
              <w:jc w:val="right"/>
            </w:pPr>
            <w:r/>
            <w:r>
              <w:rPr>
                <w:rFonts w:ascii="David" w:hAnsi="David" w:cs="David"/>
                <w:b w:val="0"/>
                <w:i w:val="0"/>
                <w:sz w:val="22"/>
                <w:rtl/>
                <w:szCs w:val="22"/>
              </w:rPr>
              <w:t>משתמש נכון ברוב הפעמים</w:t>
            </w:r>
          </w:p>
        </w:tc>
        <w:tc>
          <w:tcPr>
            <w:tcW w:type="dxa" w:w="2154"/>
          </w:tcPr>
          <w:p>
            <w:pPr>
              <w:bidi/>
              <w:spacing w:line="240" w:lineRule="auto" w:after="40"/>
              <w:jc w:val="right"/>
            </w:pPr>
            <w:r/>
            <w:r>
              <w:rPr>
                <w:rFonts w:ascii="David" w:hAnsi="David" w:cs="David"/>
                <w:b w:val="0"/>
                <w:i w:val="0"/>
                <w:sz w:val="22"/>
                <w:rtl/>
                <w:szCs w:val="22"/>
              </w:rPr>
              <w:t>משתמש נכון ובמגוון</w:t>
            </w:r>
          </w:p>
        </w:tc>
      </w:tr>
      <w:tr>
        <w:tc>
          <w:tcPr>
            <w:tcW w:type="dxa" w:w="2154"/>
          </w:tcPr>
          <w:p>
            <w:pPr>
              <w:bidi/>
              <w:spacing w:line="240" w:lineRule="auto" w:after="40"/>
              <w:jc w:val="right"/>
            </w:pPr>
            <w:r/>
            <w:r>
              <w:rPr>
                <w:rFonts w:ascii="David" w:hAnsi="David" w:cs="David"/>
                <w:b w:val="0"/>
                <w:i w:val="0"/>
                <w:sz w:val="22"/>
                <w:rtl/>
                <w:szCs w:val="22"/>
              </w:rPr>
              <w:t>אינטראקציה</w:t>
            </w:r>
          </w:p>
        </w:tc>
        <w:tc>
          <w:tcPr>
            <w:tcW w:type="dxa" w:w="2154"/>
          </w:tcPr>
          <w:p>
            <w:pPr>
              <w:bidi/>
              <w:spacing w:line="240" w:lineRule="auto" w:after="40"/>
              <w:jc w:val="right"/>
            </w:pPr>
            <w:r/>
            <w:r>
              <w:rPr>
                <w:rFonts w:ascii="David" w:hAnsi="David" w:cs="David"/>
                <w:b w:val="0"/>
                <w:i w:val="0"/>
                <w:sz w:val="22"/>
                <w:rtl/>
                <w:szCs w:val="22"/>
              </w:rPr>
              <w:t>עונה רק כשפונים אליו</w:t>
            </w:r>
          </w:p>
        </w:tc>
        <w:tc>
          <w:tcPr>
            <w:tcW w:type="dxa" w:w="2154"/>
          </w:tcPr>
          <w:p>
            <w:pPr>
              <w:bidi/>
              <w:spacing w:line="240" w:lineRule="auto" w:after="40"/>
              <w:jc w:val="right"/>
            </w:pPr>
            <w:r/>
            <w:r>
              <w:rPr>
                <w:rFonts w:ascii="David" w:hAnsi="David" w:cs="David"/>
                <w:b w:val="0"/>
                <w:i w:val="0"/>
                <w:sz w:val="22"/>
                <w:rtl/>
                <w:szCs w:val="22"/>
              </w:rPr>
              <w:t>עונה ושואל לפעמים</w:t>
            </w:r>
          </w:p>
        </w:tc>
        <w:tc>
          <w:tcPr>
            <w:tcW w:type="dxa" w:w="2154"/>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קישורים לסרטון ולמאמרים</w:t>
      </w:r>
    </w:p>
    <w:p>
      <w:pPr>
        <w:bidi/>
        <w:spacing w:line="360" w:lineRule="auto" w:after="120"/>
        <w:jc w:val="both"/>
      </w:pPr>
      <w:r>
        <w:rPr>
          <w:rFonts w:ascii="David" w:hAnsi="David" w:cs="David"/>
          <w:b w:val="0"/>
          <w:i w:val="0"/>
          <w:sz w:val="24"/>
          <w:rtl/>
          <w:szCs w:val="24"/>
        </w:rPr>
        <w:t>הסרטון לשיעור 2: "תזונה נכונה לילדים" (יוטיוב): https://www.youtube.com/watch?v=heNv257IgQA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https://efsharibari.health.gov.il/tag-page/?tag=2160</w:t>
      </w:r>
    </w:p>
    <w:p>
      <w:pPr>
        <w:bidi/>
        <w:spacing w:line="360" w:lineRule="auto" w:after="40"/>
        <w:jc w:val="both"/>
      </w:pPr>
      <w:r>
        <w:rPr>
          <w:rFonts w:ascii="David" w:hAnsi="David" w:cs="David"/>
          <w:b w:val="0"/>
          <w:i w:val="0"/>
          <w:sz w:val="24"/>
          <w:rtl/>
          <w:szCs w:val="24"/>
        </w:rPr>
        <w:t>קישורים למאמרים המרכזיים (כולם בגישה חופשית):</w:t>
      </w:r>
    </w:p>
    <w:p>
      <w:pPr>
        <w:pStyle w:val="ListBullet"/>
        <w:bidi/>
        <w:spacing w:line="360" w:lineRule="auto" w:after="40"/>
        <w:jc w:val="both"/>
      </w:pPr>
      <w:r>
        <w:rPr>
          <w:rFonts w:ascii="David" w:hAnsi="David" w:cs="David"/>
          <w:b w:val="0"/>
          <w:i w:val="0"/>
          <w:sz w:val="22"/>
          <w:rtl/>
          <w:szCs w:val="22"/>
        </w:rPr>
        <w:t>גיליון 24 של לקסי־קיי (2025), גיליון מיוחד: עברית כשפה שנייה לדוברי ערבית - זמין לקריאה חופשית באתר המכללה האקדמית ע"ש קיי: https://kaye.ac.il/lkey/ (בגיליון זה: מנור; אבו־רביעה, דיתשי־ברק ודיהי; רכניץ; אבו־רביעה 2025א, 2025ב).</w:t>
      </w:r>
    </w:p>
    <w:p>
      <w:pPr>
        <w:pStyle w:val="ListBullet"/>
        <w:bidi/>
        <w:spacing w:line="360" w:lineRule="auto" w:after="40"/>
        <w:jc w:val="both"/>
      </w:pPr>
      <w:r>
        <w:rPr>
          <w:rFonts w:ascii="David" w:hAnsi="David" w:cs="David"/>
          <w:b w:val="0"/>
          <w:i w:val="0"/>
          <w:sz w:val="22"/>
          <w:rtl/>
          <w:szCs w:val="22"/>
        </w:rPr>
        <w:t>שחר־ימס, משלי ופריאור (2022): https://scriptil.org/wp-content/uploads/2022/03/Shahar-Yames-Michaly-Prior-2022.pdf</w:t>
      </w:r>
    </w:p>
    <w:p>
      <w:pPr>
        <w:pStyle w:val="ListBullet"/>
        <w:bidi/>
        <w:spacing w:line="360" w:lineRule="auto" w:after="40"/>
        <w:jc w:val="both"/>
      </w:pPr>
      <w:r>
        <w:rPr>
          <w:rFonts w:ascii="David" w:hAnsi="David" w:cs="David"/>
          <w:b w:val="0"/>
          <w:i w:val="0"/>
          <w:sz w:val="22"/>
          <w:rtl/>
          <w:szCs w:val="22"/>
        </w:rPr>
        <w:t>שתיל (2008): https://meyda.education.gov.il/files/adulteducation/miyonbuot.pdf</w:t>
      </w:r>
    </w:p>
    <w:p>
      <w:pPr>
        <w:pStyle w:val="ListBullet"/>
        <w:bidi/>
        <w:spacing w:line="360" w:lineRule="auto" w:after="40"/>
        <w:jc w:val="both"/>
      </w:pPr>
      <w:r>
        <w:rPr>
          <w:rFonts w:ascii="David" w:hAnsi="David" w:cs="David"/>
          <w:b w:val="0"/>
          <w:i w:val="0"/>
          <w:sz w:val="22"/>
          <w:rtl/>
          <w:szCs w:val="22"/>
        </w:rPr>
        <w:t>בלום־קולקה (2007): https://www.dyellin.ac.il/sites/default/files/journals/in_the_college/edition20/shoshana_blum.pdf</w:t>
      </w:r>
    </w:p>
    <w:p>
      <w:pPr>
        <w:pStyle w:val="ListBullet"/>
        <w:bidi/>
        <w:spacing w:line="360" w:lineRule="auto" w:after="40"/>
        <w:jc w:val="both"/>
      </w:pPr>
      <w:r>
        <w:rPr>
          <w:rFonts w:ascii="David" w:hAnsi="David" w:cs="David"/>
          <w:b w:val="0"/>
          <w:i w:val="0"/>
          <w:sz w:val="22"/>
          <w:rtl/>
          <w:szCs w:val="22"/>
        </w:rPr>
        <w:t>נבוטובסקי ואחרים (2018): https://education.biu.ac.il/node/9715</w:t>
      </w:r>
    </w:p>
    <w:p>
      <w:pPr>
        <w:pStyle w:val="ListBullet"/>
        <w:bidi/>
        <w:spacing w:line="360" w:lineRule="auto" w:after="40"/>
        <w:jc w:val="both"/>
      </w:pPr>
      <w:r>
        <w:rPr>
          <w:rFonts w:ascii="David" w:hAnsi="David" w:cs="David"/>
          <w:b w:val="0"/>
          <w:i w:val="0"/>
          <w:sz w:val="22"/>
          <w:rtl/>
          <w:szCs w:val="22"/>
        </w:rPr>
        <w:t>Albino (2017): https://journals.sagepub.com/doi/full/10.1177/2158244017691077</w:t>
      </w:r>
    </w:p>
    <w:p>
      <w:pPr>
        <w:pStyle w:val="ListBullet"/>
        <w:bidi/>
        <w:spacing w:line="360" w:lineRule="auto" w:after="40"/>
        <w:jc w:val="both"/>
      </w:pPr>
      <w:r>
        <w:rPr>
          <w:rFonts w:ascii="David" w:hAnsi="David" w:cs="David"/>
          <w:b w:val="0"/>
          <w:i w:val="0"/>
          <w:sz w:val="22"/>
          <w:rtl/>
          <w:szCs w:val="22"/>
        </w:rPr>
        <w:t>Hernandez-Cherrez et al. (2021): https://files.eric.ed.gov/fulltext/EJ1318968.pdf</w:t>
      </w:r>
    </w:p>
    <w:p>
      <w:pPr>
        <w:pStyle w:val="ListBullet"/>
        <w:bidi/>
        <w:spacing w:line="360" w:lineRule="auto" w:after="40"/>
        <w:jc w:val="both"/>
      </w:pPr>
      <w:r>
        <w:rPr>
          <w:rFonts w:ascii="David" w:hAnsi="David" w:cs="David"/>
          <w:b w:val="0"/>
          <w:i w:val="0"/>
          <w:sz w:val="22"/>
          <w:rtl/>
          <w:szCs w:val="22"/>
        </w:rPr>
        <w:t>Namaziandost et al. (2019): https://doi.org/10.1080/2331186X.2019.1683933</w:t>
      </w:r>
    </w:p>
    <w:p>
      <w:pPr>
        <w:pStyle w:val="ListBullet"/>
        <w:bidi/>
        <w:spacing w:line="360" w:lineRule="auto" w:after="40"/>
        <w:jc w:val="both"/>
      </w:pPr>
      <w:r>
        <w:rPr>
          <w:rFonts w:ascii="David" w:hAnsi="David" w:cs="David"/>
          <w:b w:val="0"/>
          <w:i w:val="0"/>
          <w:sz w:val="22"/>
          <w:rtl/>
          <w:szCs w:val="22"/>
        </w:rPr>
        <w:t>Piccardo, North &amp; Goodier (2019): https://www.je-lks.org/ojs/index.php/Je-LKS_EN/article/view/1612</w:t>
      </w:r>
    </w:p>
    <w:p>
      <w:pPr>
        <w:pStyle w:val="ListBullet"/>
        <w:bidi/>
        <w:spacing w:line="360" w:lineRule="auto" w:after="4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