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360" w:lineRule="auto"/>
        <w:jc w:val="right"/>
      </w:pPr>
      <w:r>
        <w:rPr>
          <w:rFonts w:ascii="David" w:hAnsi="David" w:cs="David"/>
          <w:b w:val="0"/>
          <w:sz w:val="24"/>
          <w:rtl w:val="1"/>
        </w:rPr>
      </w:r>
    </w:p>
    <w:p>
      <w:pPr>
        <w:bidi/>
        <w:spacing w:after="120" w:before="0" w:line="360" w:lineRule="auto"/>
        <w:jc w:val="center"/>
      </w:pPr>
      <w:r>
        <w:rPr>
          <w:rFonts w:ascii="David" w:hAnsi="David" w:cs="David"/>
          <w:b/>
          <w:sz w:val="32"/>
          <w:rtl w:val="1"/>
        </w:rPr>
        <w:t>הקריה האקדמית אונו</w:t>
      </w:r>
    </w:p>
    <w:p>
      <w:pPr>
        <w:bidi/>
        <w:spacing w:after="800" w:before="0" w:line="360" w:lineRule="auto"/>
        <w:jc w:val="center"/>
      </w:pPr>
      <w:r>
        <w:rPr>
          <w:rFonts w:ascii="David" w:hAnsi="David" w:cs="David"/>
          <w:b/>
          <w:sz w:val="26"/>
          <w:rtl w:val="1"/>
        </w:rPr>
        <w:t>הפקולטה למדעי הרוח והחברה</w:t>
      </w:r>
    </w:p>
    <w:p>
      <w:pPr>
        <w:bidi/>
        <w:spacing w:after="160" w:before="0" w:line="360" w:lineRule="auto"/>
        <w:jc w:val="center"/>
      </w:pPr>
      <w:r>
        <w:rPr>
          <w:rFonts w:ascii="David" w:hAnsi="David" w:cs="David"/>
          <w:b/>
          <w:sz w:val="30"/>
          <w:rtl w:val="1"/>
        </w:rPr>
        <w:t>פסיכולוגיה התפתחותית א' - ינקות והתבגרות (מקוון)</w:t>
      </w:r>
    </w:p>
    <w:p>
      <w:pPr>
        <w:bidi/>
        <w:spacing w:after="1200" w:before="0" w:line="360" w:lineRule="auto"/>
        <w:jc w:val="center"/>
      </w:pPr>
      <w:r>
        <w:rPr>
          <w:rFonts w:ascii="David" w:hAnsi="David" w:cs="David"/>
          <w:b/>
          <w:sz w:val="28"/>
          <w:rtl w:val="1"/>
        </w:rPr>
        <w:t>עבודה מסכמת</w:t>
      </w:r>
    </w:p>
    <w:p>
      <w:pPr>
        <w:bidi/>
        <w:spacing w:after="600" w:before="0" w:line="360" w:lineRule="auto"/>
        <w:jc w:val="center"/>
      </w:pPr>
      <w:r>
        <w:rPr>
          <w:rFonts w:ascii="David" w:hAnsi="David" w:cs="David"/>
          <w:b w:val="0"/>
          <w:sz w:val="24"/>
          <w:rtl w:val="1"/>
        </w:rPr>
        <w:t>מרצים: פרופ' טובה הרטמן וד"ר צפירה גרבלסקי-ליכטמן</w:t>
      </w:r>
    </w:p>
    <w:p>
      <w:pPr>
        <w:bidi/>
        <w:spacing w:after="160" w:before="0" w:line="360" w:lineRule="auto"/>
        <w:jc w:val="center"/>
      </w:pPr>
      <w:r>
        <w:rPr>
          <w:rFonts w:ascii="David" w:hAnsi="David" w:cs="David"/>
          <w:b/>
          <w:sz w:val="24"/>
          <w:rtl w:val="1"/>
        </w:rPr>
        <w:t>מגישה: חולוד אבו עבאס     ת"ז: ______________</w:t>
      </w:r>
    </w:p>
    <w:p>
      <w:pPr>
        <w:bidi/>
        <w:spacing w:after="160" w:before="0" w:line="360" w:lineRule="auto"/>
        <w:jc w:val="center"/>
      </w:pPr>
      <w:r>
        <w:rPr>
          <w:rFonts w:ascii="David" w:hAnsi="David" w:cs="David"/>
          <w:b w:val="0"/>
          <w:sz w:val="24"/>
          <w:rtl w:val="1"/>
        </w:rPr>
        <w:t>תאריך הגשה: 22.7.2026</w:t>
      </w:r>
    </w:p>
    <w:p>
      <w:r>
        <w:br w:type="page"/>
      </w:r>
    </w:p>
    <w:p>
      <w:pPr>
        <w:bidi/>
        <w:spacing w:after="60" w:before="160" w:line="360" w:lineRule="auto"/>
        <w:jc w:val="right"/>
      </w:pPr>
      <w:r>
        <w:rPr>
          <w:rFonts w:ascii="David" w:hAnsi="David" w:cs="David"/>
          <w:b/>
          <w:sz w:val="24"/>
          <w:rtl w:val="1"/>
        </w:rPr>
        <w:t>שאלה 1 - סיפור מקרה</w:t>
      </w:r>
    </w:p>
    <w:p>
      <w:pPr>
        <w:bidi/>
        <w:spacing w:after="120" w:before="0" w:line="360" w:lineRule="auto"/>
        <w:jc w:val="both"/>
      </w:pPr>
      <w:r>
        <w:rPr>
          <w:rFonts w:ascii="David" w:hAnsi="David" w:cs="David"/>
          <w:b w:val="0"/>
          <w:sz w:val="24"/>
          <w:rtl w:val="1"/>
        </w:rPr>
        <w:t>כרים הוא ילד בן תשע, הרביעי מבין חמישה אחים, שגדל במשפחה גדולה וחמה בעיר בצפון. בבית גרים ההורים, האחים והסבתא, וכל היום יש תנועה של קרובים שנכנסים ויוצאים. אני מכירה את כרים כי אני בת דודה של אמו, וראיתי אותו גדל מקרוב. אם בוחנים את ההתפתחות שלו לפי תיאוריית משך החיים, שרואה את החיים כרצף של תקופות, כרים נמצא באמצע הילדות, בגיל בית הספר היסודי, וזה בדיוק הגיל שבו רואים קפיצה גדולה ביכולות. מבחינת ההתפתחות הנורמטיבית, כלומר מה שנמצא בתוך ההתפלגות הרגילה של בני גילו, הכול אצלו זרם בקצב תקין. הוא זחל, עמד והלך עוד לפני גיל שנה, דיבר במשפטים שלמים סביב גיל שנתיים, והיום הוא קורא, כותב ופותר תרגילי חשבון כמו רוב הילדים בכיתה.</w:t>
      </w:r>
    </w:p>
    <w:p>
      <w:pPr>
        <w:bidi/>
        <w:spacing w:after="120" w:before="0" w:line="360" w:lineRule="auto"/>
        <w:jc w:val="both"/>
      </w:pPr>
      <w:r>
        <w:rPr>
          <w:rFonts w:ascii="David" w:hAnsi="David" w:cs="David"/>
          <w:b w:val="0"/>
          <w:sz w:val="24"/>
          <w:rtl w:val="1"/>
        </w:rPr>
        <w:t>הייחוד של כרים מתחיל דווקא בגוף. הפנוטיפ שלו, מה שרואים בהתנהגות הגלויה, הוא של ילד אתלטי וזריז במיוחד, שלומד כל מיומנות גופנית כמעט מיד. קרוב לוודאי שיש כאן שילוב בין הגנוטיפ, נטייה שהוא נולד איתה, לבין סביבה שבה כדורגל ותנועה הם חלק מהיום יום. מצד שני, לשבת בשקט מול מחברת זה עונש בשבילו. בכיתה הוא נע כל הזמן, קופץ ממקום למקום, ולפעמים מסתבך בגלל חוסר השקט. מבחינת ההסתגלות, כרים מסתגל מהר למצבים חדשים כשהם כוללים תנועה או קבוצה, אבל מתקשה יותר במסגרות שדורשות ישיבה ממושכת. אז מצד אחד יש התפתחות תקינה לגמרי, ומצד שני פרופיל אישי מאוד מובהק, כישרון תנועתי גבוה לצד קושי בריכוז, וזה מה שהופך אותו לכרים ולא לילד אחר.</w:t>
      </w:r>
    </w:p>
    <w:p>
      <w:pPr>
        <w:bidi/>
        <w:spacing w:after="60" w:before="160" w:line="360" w:lineRule="auto"/>
        <w:jc w:val="right"/>
      </w:pPr>
      <w:r>
        <w:rPr>
          <w:rFonts w:ascii="David" w:hAnsi="David" w:cs="David"/>
          <w:b/>
          <w:sz w:val="24"/>
          <w:rtl w:val="1"/>
        </w:rPr>
        <w:t>שאלה 2 - גורמי סיכון וגורמי מגן</w:t>
      </w:r>
    </w:p>
    <w:p>
      <w:pPr>
        <w:bidi/>
        <w:spacing w:after="120" w:before="0" w:line="360" w:lineRule="auto"/>
        <w:jc w:val="both"/>
      </w:pPr>
      <w:r>
        <w:rPr>
          <w:rFonts w:ascii="David" w:hAnsi="David" w:cs="David"/>
          <w:b w:val="0"/>
          <w:sz w:val="24"/>
          <w:rtl w:val="1"/>
        </w:rPr>
        <w:t>גורמי סיכון הם תנאים, בילד עצמו או בסביבה שלו, שמגדילים את הסיכוי שההתפתחות תיתקל בקשיים. גורמי מגן הם ההפך, תנאים שמגנים על הילד, מרככים את הפגיעה של הסיכון ומחזקים את החוסן שלו. הסיכון והמגן יכולים להיות פנימיים, כמו מזג או קושי בריכוז, או חיצוניים, כמו צפיפות בבית ומצב כלכלי. בדרך כלל לא גורם אחד מכריע אלא ההצטברות של כמה, וגם ההפך נכון, שלפעמים דמות מבוגרת אחת שמאמינה בילד מספיקה כדי לאזן הרבה ולבנות חוסן.</w:t>
      </w:r>
    </w:p>
    <w:p>
      <w:pPr>
        <w:bidi/>
        <w:spacing w:after="120" w:before="0" w:line="360" w:lineRule="auto"/>
        <w:jc w:val="both"/>
      </w:pPr>
      <w:r>
        <w:rPr>
          <w:rFonts w:ascii="David" w:hAnsi="David" w:cs="David"/>
          <w:b w:val="0"/>
          <w:sz w:val="24"/>
          <w:rtl w:val="1"/>
        </w:rPr>
        <w:t>בסביבה של כרים יש כמה גורמי סיכון אמיתיים. הבית צפוף, שבעה אנשים בדירה קטנה, וכמעט אין פינה שקטה להכין בה שיעורים. אח בכור שלו מתמודד עם לקות למידה ומושך אליו הרבה מהתשומת לב של ההורים. האב עובד שעות ארוכות בבניין וכמעט לא נמצא בבית בשעות היום, כך שהזמינות שלו מוגבלת. ואי השקט של כרים עצמו מכניס אותו לחיכוכים חוזרים עם המורים. אבל מולם עומדים גם גורמי מגן חזקים. המשפחה המורחבת מלוכדת, הסבתא נוכחת כל היום ונותנת יציבות, ויש תחושת קהילה חזקה בשכונה שכולם מכירים בה זה את זה. הנקודה שבאמת שינתה משהו היא מורה לחינוך גופני שזיהה את הכישרון שלו, מינה אותו לקפטן והטיל עליו אחריות. מרגע שכרים קיבל תפקיד וחיזוקים חיוביים על ההתנהגות שלו במגרש, הביטחון העצמי שלו עלה, וזה גלש בהדרגה גם לכיתה. הקשר החם עם אמא וההצלחות במגרש הם העוגן שמאזן חלק גדול מהסיכון (Masten, 2001).</w:t>
      </w:r>
    </w:p>
    <w:p>
      <w:pPr>
        <w:bidi/>
        <w:spacing w:after="60" w:before="160" w:line="360" w:lineRule="auto"/>
        <w:jc w:val="right"/>
      </w:pPr>
      <w:r>
        <w:rPr>
          <w:rFonts w:ascii="David" w:hAnsi="David" w:cs="David"/>
          <w:b/>
          <w:sz w:val="24"/>
          <w:rtl w:val="1"/>
        </w:rPr>
        <w:t>שאלה 3 - מעגלי השפעה</w:t>
      </w:r>
    </w:p>
    <w:p>
      <w:pPr>
        <w:bidi/>
        <w:spacing w:after="120" w:before="0" w:line="360" w:lineRule="auto"/>
        <w:jc w:val="both"/>
      </w:pPr>
      <w:r>
        <w:rPr>
          <w:rFonts w:ascii="David" w:hAnsi="David" w:cs="David"/>
          <w:b w:val="0"/>
          <w:sz w:val="24"/>
          <w:rtl w:val="1"/>
        </w:rPr>
        <w:t>מעגלי ההשפעה, לפי המודל האקולוגי, מציגים את ההתפתחות כמשהו שקורה בתוך כמה מעגלים סביבתיים שמקיפים את הילד, מהקרוב אליו ועד הרחוק. במרכז נמצא המיקרו-מערכת, כל מה שהילד במגע ישיר ויומיומי איתו, המשפחה, בית הספר וקבוצת הכדורגל. אצל כרים הקבוצה היא כמעט בית שני, המקום שבו הוא מרגיש מוצלח ושייך, ואפשר לראות איך אימון אחד בשבוע מחזיק לו את הביטחון גם בימים פחות טובים.</w:t>
      </w:r>
    </w:p>
    <w:p>
      <w:pPr>
        <w:bidi/>
        <w:spacing w:after="120" w:before="0" w:line="360" w:lineRule="auto"/>
        <w:jc w:val="both"/>
      </w:pPr>
      <w:r>
        <w:rPr>
          <w:rFonts w:ascii="David" w:hAnsi="David" w:cs="David"/>
          <w:b w:val="0"/>
          <w:sz w:val="24"/>
          <w:rtl w:val="1"/>
        </w:rPr>
        <w:t>המזו-מערכת היא רשת הקשרים בין חלקי המיקרו, מה שקורה כשהם נפגשים זה עם זה. הדוגמה הטובה אצל כרים היא הפגישה בין המאמן להורים. כשהמאמן סיפר להם כמה כרים אחראי במגרש, ההורים התחילו להסתכל עליו אחרת גם בבית, והמורה בכיתה נתנה לו יותר מקום להוציא אנרגיה. האקסו-מערכת כוללת מסגרות שכרים עצמו לא נמצא בהן, אבל הן משפיעות עליו דרך אחרים. שעות העבודה הארוכות של אבא בבניין, החלטה כלכלית שכרים לא היה שותף לה, קובעות בפועל כמה הוא בכלל רואה את אבא במהלך השבוע.</w:t>
      </w:r>
    </w:p>
    <w:p>
      <w:pPr>
        <w:bidi/>
        <w:spacing w:after="120" w:before="0" w:line="360" w:lineRule="auto"/>
        <w:jc w:val="both"/>
      </w:pPr>
      <w:r>
        <w:rPr>
          <w:rFonts w:ascii="David" w:hAnsi="David" w:cs="David"/>
          <w:b w:val="0"/>
          <w:sz w:val="24"/>
          <w:rtl w:val="1"/>
        </w:rPr>
        <w:t>המקרו-מערכת היא רובד התרבות, הערכים והמצב הכלכלי-חברתי. כרים גדל בחברה ערבית מסורתית שמעמידה את המשפחה המורחבת במרכז, וזה נותן לו רשת תמיכה רחבה של דודים, בני דודים וסבתא, אבל גם מציב עליו ציפיות ותפקידים כבן במשפחה. לפי הגישה ההתנהגותית, הסביבה הרחבה הזאת היא שמכתיבה אילו התנהגויות ייחשבו רצויות ויזכו לעידוד. הכרונו-מערכת היא ממד הזמן, השינויים והמעברים לאורך החיים. המעבר לשכונה חדשה ובואה של הסבתא לגור בבית היו שני אירועים שעיצבו מחדש את המרקם המשפחתי. והמעגלים לא עובדים בנפרד, כניסת הסבתא הביתה, שהיא אירוע בזמן, שינתה את חלוקת התפקידים במיקרו והוסיפה לכרים דמות מבוגרת זמינה בדיוק כשאמא הייתה עמוסה (דרייפוס-חנן, 2024).</w:t>
      </w:r>
    </w:p>
    <w:p>
      <w:pPr>
        <w:bidi/>
        <w:spacing w:after="60" w:before="160" w:line="360" w:lineRule="auto"/>
        <w:jc w:val="right"/>
      </w:pPr>
      <w:r>
        <w:rPr>
          <w:rFonts w:ascii="David" w:hAnsi="David" w:cs="David"/>
          <w:b/>
          <w:sz w:val="24"/>
          <w:rtl w:val="1"/>
        </w:rPr>
        <w:t>שאלה 4 - תיאוריית ההתפתחות הקוגניטיבית (פיאז'ה)</w:t>
      </w:r>
    </w:p>
    <w:p>
      <w:pPr>
        <w:bidi/>
        <w:spacing w:after="120" w:before="0" w:line="360" w:lineRule="auto"/>
        <w:jc w:val="both"/>
      </w:pPr>
      <w:r>
        <w:rPr>
          <w:rFonts w:ascii="David" w:hAnsi="David" w:cs="David"/>
          <w:b w:val="0"/>
          <w:sz w:val="24"/>
          <w:rtl w:val="1"/>
        </w:rPr>
        <w:t>פיאז'ה תיאר ארבעה שלבים ברצף ההתפתחות הקוגניטיבית, כשלכל שלב טווח גיל משוער. הראשון הוא השלב הסנסומוטורי, מהלידה ועד גיל שנתיים. אחריו השלב הקדם-מבצעי, בין גיל שנתיים לשבע. השלישי הוא שלב המבצעים הקונקרטיים, בין גיל שבע לאחת עשרה. והאחרון הוא שלב המבצעים הפורמליים, מגיל אחת עשרה והלאה. לפי פיאז'ה הילד בונה את הידע בעצמו דרך סכימות, ומתקדם משלב לשלב כשהוא נתקל במשהו שלא מסתדר עם הסכימה הקיימת, נכנס לחוסר איזון, ונאלץ להתאים את החשיבה שלו כדי לקלוט את המציאות החדשה.</w:t>
      </w:r>
    </w:p>
    <w:p>
      <w:pPr>
        <w:bidi/>
        <w:spacing w:after="120" w:before="0" w:line="360" w:lineRule="auto"/>
        <w:jc w:val="both"/>
      </w:pPr>
      <w:r>
        <w:rPr>
          <w:rFonts w:ascii="David" w:hAnsi="David" w:cs="David"/>
          <w:b w:val="0"/>
          <w:sz w:val="24"/>
          <w:rtl w:val="1"/>
        </w:rPr>
        <w:t>כרים, בן תשע, נמצא בבירור בשלב המבצעים הקונקרטיים, ואפשר לראות את זה בפעולות שלו. הוא כבר שולט בשימור, כלומר מבין שכמות נשארת אותה כמות גם כשמשנים את הצורה, ואם שופכים מיץ לכוס אחרת הוא יודע שלא נהיה יותר. יש לו גם הפיכות בחשיבה, הוא מסוגל לעקוב אחרי פעולה ולהחזיר אותה אחורה בראש. הכי בולט אצלו זה המיון והסיווג. את אוסף קלפי הכדורגל שלו הוא מסדר לפי ליגות, אחר כך לפי קבוצות, ואז לפי עמדות, וממיין אותם שוב ושוב לפי קטגוריה אחרת בכל פעם. הוא תופס חוקי משחק מסובכים ומקפיד עליהם עד הפרט האחרון. אבל כשמנסים לדבר איתו על משהו מופשט ותאורטי, כמו "מה היה קורה אם לא היה כוח משיכה", הוא מתקשה ונאחז בדוגמאות ממשיות מהחיים, וזה בדיוק הגבול של השלב הקונקרטי, שעדיין קשור למוחשי ולא עובר עוד לחשיבה מופשטת (Babakr et al., 2019).</w:t>
      </w:r>
    </w:p>
    <w:p>
      <w:pPr>
        <w:bidi/>
        <w:spacing w:after="60" w:before="160" w:line="360" w:lineRule="auto"/>
        <w:jc w:val="right"/>
      </w:pPr>
      <w:r>
        <w:rPr>
          <w:rFonts w:ascii="David" w:hAnsi="David" w:cs="David"/>
          <w:b/>
          <w:sz w:val="24"/>
          <w:rtl w:val="1"/>
        </w:rPr>
        <w:t>שאלה 5 - ניסוי מצב הזר</w:t>
      </w:r>
    </w:p>
    <w:p>
      <w:pPr>
        <w:bidi/>
        <w:spacing w:after="120" w:before="0" w:line="360" w:lineRule="auto"/>
        <w:jc w:val="both"/>
      </w:pPr>
      <w:r>
        <w:rPr>
          <w:rFonts w:ascii="David" w:hAnsi="David" w:cs="David"/>
          <w:b w:val="0"/>
          <w:sz w:val="24"/>
          <w:rtl w:val="1"/>
        </w:rPr>
        <w:t>ניסוי מצב הזר נבנה כדי לזהות את סוג ההתקשרות בין תינוק לדמות המטפלת, והוא מורכב משבע אפיזודות קצרות שמעלות את המתח בהדרגה. בראשונה מכניסים את ההורה והתינוק לחדר משחקים לא מוכר, והנסיינית יוצאת. בשנייה ההורה יושב והתינוק חופשי לחקור ולשחק, כשההורה משמש לו בסיס בטוח. בשלישית נכנסת דמות זרה, מדברת עם ההורה ומתקרבת לאט לתינוק. ברביעית מגיעה ההיפרדות הראשונה, ההורה יוצא והתינוק נשאר עם הזרה. בחמישית בא האיחוד הראשון, ההורה חוזר ומרגיע, והזרה יוצאת. בשישית מתרחשת ההיפרדות השנייה, וההורה יוצא כך שהתינוק נשאר לבד לגמרי. בשביעית הזרה חוזרת, ואחריה ההורה, שאוסף את התינוק. מהתגובות לאורך הרצף, ובעיקר מרגעי האיחוד, זיהו החוקרים ארבעה סוגים של התקשרות: בטוחה, נמנעת, חרדה-אמביוולנטית, ולא מאורגנת. מעניין שכשבדקו את הדפוסים האלה בין תרבויות שונות, מצאו שההתקשרות הבטוחה נפוצה בכולן, אבל השכיחות של הסוגים האחרים משתנה מחברה לחברה (van IJzendoorn &amp; Kroonenberg, 1988).</w:t>
      </w:r>
    </w:p>
    <w:p>
      <w:pPr>
        <w:bidi/>
        <w:spacing w:after="120" w:before="0" w:line="360" w:lineRule="auto"/>
        <w:jc w:val="both"/>
      </w:pPr>
      <w:r>
        <w:rPr>
          <w:rFonts w:ascii="David" w:hAnsi="David" w:cs="David"/>
          <w:b w:val="0"/>
          <w:sz w:val="24"/>
          <w:rtl w:val="1"/>
        </w:rPr>
        <w:t>את כרים מאפיינת התקשרות חרדה-אמביוולנטית. בתקופה שבה נולד אחיו הקטן ואמו טיפלה במקביל בסבתא חולה, התגובות שלה כלפיו היו לא עקביות, לפעמים זמינה מאוד ולפעמים עסוקה ומרוחקת, וכרים למד שאי אפשר לדעת מראש מה הוא יקבל. מתוך החוויה הזאת הוא בנה לעצמו מודל פנימי מלא ספק, ציפייה שהקרבה עלולה להיעלם בכל רגע. בניסוי כזה ילד כמוהו נסער מאוד בהיפרדות, אבל באיחוד קשה להרגיע אותו, והוא מתנדנד בין רצון להיצמד לבין דחייה. גם היום אפשר לראות את זה. הוא זקוק להרבה אישורים חוזרים, מתקשה במעברים, ונצמד לאמא יותר מבני גילו. כשהתחיל בית ספר חדש הוא בכה בכניסה כמה בקרים ברצף. הדפוס הזה משפיע על הקשרים שלו, כי הוא נוטה לחשוש שיינטש, ולכן בודק שוב ושוב שהאהבה עדיין שם.</w:t>
      </w:r>
    </w:p>
    <w:p>
      <w:pPr>
        <w:bidi/>
        <w:spacing w:after="60" w:before="160" w:line="360" w:lineRule="auto"/>
        <w:jc w:val="right"/>
      </w:pPr>
      <w:r>
        <w:rPr>
          <w:rFonts w:ascii="David" w:hAnsi="David" w:cs="David"/>
          <w:b/>
          <w:sz w:val="24"/>
          <w:rtl w:val="1"/>
        </w:rPr>
        <w:t>שאלה 6 - תיאוריית ריבוי האינטליגנציות</w:t>
      </w:r>
    </w:p>
    <w:p>
      <w:pPr>
        <w:bidi/>
        <w:spacing w:after="120" w:before="0" w:line="360" w:lineRule="auto"/>
        <w:jc w:val="both"/>
      </w:pPr>
      <w:r>
        <w:rPr>
          <w:rFonts w:ascii="David" w:hAnsi="David" w:cs="David"/>
          <w:b w:val="0"/>
          <w:sz w:val="24"/>
          <w:rtl w:val="1"/>
        </w:rPr>
        <w:t>תיאוריית ריבוי האינטליגנציות של גרדנר יצאה נגד התפיסה הישנה שאפשר לסכם את החוכמה של אדם בציון משכל אחד, ה-IQ, שנשען בעיקר על יכולת מילולית ומתמטית. גרדנר טען שקיימים כמה ערוצים נפרדים של אינטליגנציה, ולכל אדם תמהיל אחר שלהם. שמונת הסוגים שהוא מנה הם: לשונית, של שפה ומילים. לוגית-מתמטית, של מספרים והיגיון. חזותית-מרחבית, של התמצאות במרחב ובדימויים. מוזיקלית, של צליל, קצב ומנגינה. גופנית-תנועתית, של שליטה מדויקת בגוף ובתנועה. בין-אישית, של קריאת אנשים אחרים. תוך-אישית, של היכרות עם העולם הפנימי. וטבעונית, של רגישות לטבע. הכוח של הגישה הזאת הוא שהיא מסתכלת על ילד דרך מה שהוא כן יכול, ולא רק דרך מה שהוא מתקשה בו.</w:t>
      </w:r>
    </w:p>
    <w:p>
      <w:pPr>
        <w:bidi/>
        <w:spacing w:after="120" w:before="0" w:line="360" w:lineRule="auto"/>
        <w:jc w:val="both"/>
      </w:pPr>
      <w:r>
        <w:rPr>
          <w:rFonts w:ascii="David" w:hAnsi="David" w:cs="David"/>
          <w:b w:val="0"/>
          <w:sz w:val="24"/>
          <w:rtl w:val="1"/>
        </w:rPr>
        <w:t>בכרים בולטת האינטליגנציה הגופנית-תנועתית. הגוף שלו הוא כלי החשיבה והביטוי המרכזי, והוא לומד תנועה חדשה במגרש כמעט בהצצה אחת. לצידה ניכרת גם נטייה מוזיקלית חזקה, שמתבטאת בתופים שהוא מנגן בהם בקצב מדויק להפליא. פעם המורה הראה תרגיל כדורגל מסובך פעם אחת, וכרים חזר עליו מיד בצורה מושלמת בזמן שילדים אחרים עוד ניסו להבין מה קרה. הוא עושה את זה מתוך מוטיבציה פנימית, כי התנועה עצמה מהנה לו ולא בשביל פרס. דרך הגוף והתנועה הוא גם מבטא רגשות שקשה לו להוציא במילים, ושם, במגרש ועל התופים, הוא מרגיש הכי מוצלח ובטוח בעצמו. אם המערכת סביבו תזהה את החוזקה הזאת ותבנה עליה, במקום להילחם רק בחוסר השקט, יש סיכוי טוב שהיא תסחוב איתה גם הישגים בתחומים אחרים.</w:t>
      </w:r>
    </w:p>
    <w:p>
      <w:pPr>
        <w:bidi/>
        <w:spacing w:after="60" w:before="160" w:line="360" w:lineRule="auto"/>
        <w:jc w:val="right"/>
      </w:pPr>
      <w:r>
        <w:rPr>
          <w:rFonts w:ascii="David" w:hAnsi="David" w:cs="David"/>
          <w:b/>
          <w:sz w:val="24"/>
          <w:rtl w:val="1"/>
        </w:rPr>
        <w:t>רשימת מקורות</w:t>
      </w:r>
    </w:p>
    <w:p>
      <w:pPr>
        <w:bidi/>
        <w:spacing w:after="60" w:before="0" w:line="240" w:lineRule="auto"/>
        <w:ind w:left="360"/>
        <w:jc w:val="right"/>
      </w:pPr>
      <w:r>
        <w:rPr>
          <w:rFonts w:ascii="David" w:hAnsi="David" w:cs="David"/>
          <w:b w:val="0"/>
          <w:sz w:val="22"/>
          <w:rtl w:val="1"/>
        </w:rPr>
        <w:t>דרייפוס-חנן, ש' (2024). שאלה של התמקמות: הפסיכולוגיה החינוכית במרחב הקהילתי. פסיכולוגיה עברית. אוחזר מתוך https://www.hebpsy.net/articles.asp?id=4720</w:t>
      </w:r>
    </w:p>
    <w:p>
      <w:pPr>
        <w:bidi/>
        <w:spacing w:after="60" w:before="0" w:line="240" w:lineRule="auto"/>
        <w:ind w:left="360"/>
        <w:jc w:val="right"/>
      </w:pPr>
      <w:r>
        <w:rPr>
          <w:rFonts w:ascii="David" w:hAnsi="David" w:cs="David"/>
          <w:b w:val="0"/>
          <w:sz w:val="22"/>
          <w:rtl w:val="1"/>
        </w:rPr>
        <w:t>Babakr, Z. H., Mohamedamin, P., &amp; Kakamad, K. (2019). Piaget's cognitive developmental theory: Critical review. Education Quarterly Reviews, 2(3), 517-524.</w:t>
      </w:r>
    </w:p>
    <w:p>
      <w:pPr>
        <w:bidi/>
        <w:spacing w:after="60" w:before="0" w:line="240" w:lineRule="auto"/>
        <w:ind w:left="360"/>
        <w:jc w:val="right"/>
      </w:pPr>
      <w:r>
        <w:rPr>
          <w:rFonts w:ascii="David" w:hAnsi="David" w:cs="David"/>
          <w:b w:val="0"/>
          <w:sz w:val="22"/>
          <w:rtl w:val="1"/>
        </w:rPr>
        <w:t>Masten, A. S. (2001). Ordinary magic: Resilience processes in development. American Psychologist, 56(3), 227-238.</w:t>
      </w:r>
    </w:p>
    <w:p>
      <w:pPr>
        <w:bidi/>
        <w:spacing w:after="60" w:before="0" w:line="240" w:lineRule="auto"/>
        <w:ind w:left="360"/>
        <w:jc w:val="right"/>
      </w:pPr>
      <w:r>
        <w:rPr>
          <w:rFonts w:ascii="David" w:hAnsi="David" w:cs="David"/>
          <w:b w:val="0"/>
          <w:sz w:val="22"/>
          <w:rtl w:val="1"/>
        </w:rPr>
        <w:t>van IJzendoorn, M. H., &amp; Kroonenberg, P. M. (1988). Cross-cultural patterns of attachment: A meta-analysis of the strange situation. Child Development, 59(1), 147-156.</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