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800" w:before="0" w:line="360" w:lineRule="auto"/>
        <w:jc w:val="right"/>
      </w:pPr>
      <w:r>
        <w:rPr>
          <w:rFonts w:ascii="David" w:hAnsi="David" w:cs="David"/>
          <w:b w:val="0"/>
          <w:sz w:val="24"/>
          <w:rtl w:val="1"/>
        </w:rPr>
      </w:r>
    </w:p>
    <w:p>
      <w:pPr>
        <w:bidi/>
        <w:spacing w:after="120" w:before="0" w:line="360" w:lineRule="auto"/>
        <w:jc w:val="center"/>
      </w:pPr>
      <w:r>
        <w:rPr>
          <w:rFonts w:ascii="David" w:hAnsi="David" w:cs="David"/>
          <w:b/>
          <w:sz w:val="32"/>
          <w:rtl w:val="1"/>
        </w:rPr>
        <w:t>הקריה האקדמית אונו</w:t>
      </w:r>
    </w:p>
    <w:p>
      <w:pPr>
        <w:bidi/>
        <w:spacing w:after="800" w:before="0" w:line="360" w:lineRule="auto"/>
        <w:jc w:val="center"/>
      </w:pPr>
      <w:r>
        <w:rPr>
          <w:rFonts w:ascii="David" w:hAnsi="David" w:cs="David"/>
          <w:b/>
          <w:sz w:val="26"/>
          <w:rtl w:val="1"/>
        </w:rPr>
        <w:t>הפקולטה למדעי הרוח והחברה</w:t>
      </w:r>
    </w:p>
    <w:p>
      <w:pPr>
        <w:bidi/>
        <w:spacing w:after="160" w:before="0" w:line="360" w:lineRule="auto"/>
        <w:jc w:val="center"/>
      </w:pPr>
      <w:r>
        <w:rPr>
          <w:rFonts w:ascii="David" w:hAnsi="David" w:cs="David"/>
          <w:b/>
          <w:sz w:val="30"/>
          <w:rtl w:val="1"/>
        </w:rPr>
        <w:t>פסיכולוגיה התפתחותית א' - ינקות והתבגרות (מקוון)</w:t>
      </w:r>
    </w:p>
    <w:p>
      <w:pPr>
        <w:bidi/>
        <w:spacing w:after="1200" w:before="0" w:line="360" w:lineRule="auto"/>
        <w:jc w:val="center"/>
      </w:pPr>
      <w:r>
        <w:rPr>
          <w:rFonts w:ascii="David" w:hAnsi="David" w:cs="David"/>
          <w:b/>
          <w:sz w:val="28"/>
          <w:rtl w:val="1"/>
        </w:rPr>
        <w:t>עבודה מסכמת</w:t>
      </w:r>
    </w:p>
    <w:p>
      <w:pPr>
        <w:bidi/>
        <w:spacing w:after="600" w:before="0" w:line="360" w:lineRule="auto"/>
        <w:jc w:val="center"/>
      </w:pPr>
      <w:r>
        <w:rPr>
          <w:rFonts w:ascii="David" w:hAnsi="David" w:cs="David"/>
          <w:b w:val="0"/>
          <w:sz w:val="24"/>
          <w:rtl w:val="1"/>
        </w:rPr>
        <w:t>מרצים: פרופ' טובה הרטמן וד"ר צפירה גרבלסקי-ליכטמן</w:t>
      </w:r>
    </w:p>
    <w:p>
      <w:pPr>
        <w:bidi/>
        <w:spacing w:after="160" w:before="0" w:line="360" w:lineRule="auto"/>
        <w:jc w:val="center"/>
      </w:pPr>
      <w:r>
        <w:rPr>
          <w:rFonts w:ascii="David" w:hAnsi="David" w:cs="David"/>
          <w:b/>
          <w:sz w:val="24"/>
          <w:rtl w:val="1"/>
        </w:rPr>
        <w:t>מגישה: נופר טסמה     ת"ז: 211496567</w:t>
      </w:r>
    </w:p>
    <w:p>
      <w:pPr>
        <w:bidi/>
        <w:spacing w:after="160" w:before="0" w:line="360" w:lineRule="auto"/>
        <w:jc w:val="center"/>
      </w:pPr>
      <w:r>
        <w:rPr>
          <w:rFonts w:ascii="David" w:hAnsi="David" w:cs="David"/>
          <w:b w:val="0"/>
          <w:sz w:val="24"/>
          <w:rtl w:val="1"/>
        </w:rPr>
        <w:t>תאריך הגשה: 22.7.2026</w:t>
      </w:r>
    </w:p>
    <w:p>
      <w:r>
        <w:br w:type="page"/>
      </w:r>
    </w:p>
    <w:p>
      <w:pPr>
        <w:bidi/>
        <w:spacing w:after="60" w:before="160" w:line="360" w:lineRule="auto"/>
        <w:jc w:val="right"/>
      </w:pPr>
      <w:r>
        <w:rPr>
          <w:rFonts w:ascii="David" w:hAnsi="David" w:cs="David"/>
          <w:b/>
          <w:sz w:val="24"/>
          <w:rtl w:val="1"/>
        </w:rPr>
        <w:t>שאלה 1 - סיפור מקרה</w:t>
      </w:r>
    </w:p>
    <w:p>
      <w:pPr>
        <w:bidi/>
        <w:spacing w:after="120" w:before="0" w:line="360" w:lineRule="auto"/>
        <w:jc w:val="both"/>
      </w:pPr>
      <w:r>
        <w:rPr>
          <w:rFonts w:ascii="David" w:hAnsi="David" w:cs="David"/>
          <w:b w:val="0"/>
          <w:sz w:val="24"/>
          <w:rtl w:val="1"/>
        </w:rPr>
        <w:t>אביגיל היא ילדה בת שש וחצי, בת בכורה למשפחה שגרה בפרבר בשרון, ויש לה אח קטן בן שנתיים. אני חברה קרובה של המשפחה, וליוויתי אותה מקרוב מאז שהייתה תינוקת. אם מסתכלים על ההתפתחות שלה דרך תיאוריית משך החיים, שרואה את ההתפתחות כרצף של תקופות מהלידה ועד הזקנה, אביגיל נמצאת עכשיו בתקופת הילדות המוקדמת, ורוב מה שקורה אצלה הוא בדיוק מה שמצפים בגיל הזה. מבחינת ההתפתחות הנורמטיבית, כלומר מה שנמצא בתוך ההתפלגות הרגילה של האוכלוסייה, היא עברה את אבני הדרך בזמן. היא ישבה בלי תמיכה בסביבות חצי שנה, זחלה, עמדה, וצעדה את הצעדים הראשונים קצת אחרי גיל שנה. מילים ראשונות הגיעו בערך בגיל שנה, ומשם השפה רק התפוצצה. היום היא מדברת שוטף, מחזיקה עיפרון נכון, מציירת דמויות עם פרטים, ומספרת סיפורים שלמים עם התחלה, אמצע וסוף.</w:t>
      </w:r>
    </w:p>
    <w:p>
      <w:pPr>
        <w:bidi/>
        <w:spacing w:after="120" w:before="0" w:line="360" w:lineRule="auto"/>
        <w:jc w:val="both"/>
      </w:pPr>
      <w:r>
        <w:rPr>
          <w:rFonts w:ascii="David" w:hAnsi="David" w:cs="David"/>
          <w:b w:val="0"/>
          <w:sz w:val="24"/>
          <w:rtl w:val="1"/>
        </w:rPr>
        <w:t>לצד מה שנורמטיבי יש לה גם התפתחות אינדיבידואלית, הצבע האישי שרק שלה. הפנוטיפ שלה, ההתנהגות הגלויה שאפשר לראות ולמדוד, הוא של ילדה מילולית במיוחד, עם אוצר מילים גדול בהרבה מהגיל. מן הסתם מדובר בשילוב בין הגנוטיפ, הבסיס התורשתי שאיתו נולדה, לבין סביבה ביתית שמדברת ומקריאה לה הרבה, וקשה להפריד בין השניים. מנגד, מבחינה חברתית היא זהירה. במקום חדש היא נצמדת לאמא, בודקת מהצד, ורק אחרי כמה דקות מצטרפת. גם מוטורית היא קצת פחות בטוחה, ופחדה זמן רב לרכוב על אופניים בלי גלגלי עזר. מבחינת ההסתגלות, אביגיל מסתגלת יפה לשינויים, אבל בקצב שלה, לאט ובזהירות. זה לא אומר שהיא לא מסתגלת, רק שהיא צריכה זמן. השילוב הזה, של התפתחות תקינה לגמרי עם חוזקה מילולית בולטת ומזג זהיר, הוא מה שהופך אותה לייחודית, גם כשההתפתחות עצמה נשארת בתוך הטווח הרגיל.</w:t>
      </w:r>
    </w:p>
    <w:p>
      <w:pPr>
        <w:bidi/>
        <w:spacing w:after="60" w:before="160" w:line="360" w:lineRule="auto"/>
        <w:jc w:val="right"/>
      </w:pPr>
      <w:r>
        <w:rPr>
          <w:rFonts w:ascii="David" w:hAnsi="David" w:cs="David"/>
          <w:b/>
          <w:sz w:val="24"/>
          <w:rtl w:val="1"/>
        </w:rPr>
        <w:t>שאלה 2 - גורמי סיכון וגורמי מגן</w:t>
      </w:r>
    </w:p>
    <w:p>
      <w:pPr>
        <w:bidi/>
        <w:spacing w:after="120" w:before="0" w:line="360" w:lineRule="auto"/>
        <w:jc w:val="both"/>
      </w:pPr>
      <w:r>
        <w:rPr>
          <w:rFonts w:ascii="David" w:hAnsi="David" w:cs="David"/>
          <w:b w:val="0"/>
          <w:sz w:val="24"/>
          <w:rtl w:val="1"/>
        </w:rPr>
        <w:t>גורמי סיכון הם תנאים, בתוך הילד עצמו או בסביבה שלו, שמגדילים את ההסתברות להתפתחות בעייתית או לקושי בהסתגלות. גורמי מגן הם ההפך, תנאים שמרככים את הפגיעה של הסיכון, מחזקים את החוסן, ומאפשרים לילד לצאת מתקופות קשות בשלום. הסיכון והמגן יכולים להיות פנימיים, כמו מזג, מצב בריאותי או נטייה תורשתית, או חיצוניים, כמו מצב כלכלי, יציבות במשפחה ותמיכה מבחוץ. בדרך כלל לא גורם בודד הוא שמכריע אלא ההצטברות, כמה סיכונים שנופלים יחד מכבידים הרבה יותר מאחד. ומצד המגן, לפעמים מספיק קשר יציב וחם אחד, עם דמות מבוגרת זמינה, כדי לאזן חלק גדול מהסיכון ולבנות חוסן.</w:t>
      </w:r>
    </w:p>
    <w:p>
      <w:pPr>
        <w:bidi/>
        <w:spacing w:after="120" w:before="0" w:line="360" w:lineRule="auto"/>
        <w:jc w:val="both"/>
      </w:pPr>
      <w:r>
        <w:rPr>
          <w:rFonts w:ascii="David" w:hAnsi="David" w:cs="David"/>
          <w:b w:val="0"/>
          <w:sz w:val="24"/>
          <w:rtl w:val="1"/>
        </w:rPr>
        <w:t>אצל אביגיל אפשר לזהות כמה גורמי סיכון אמיתיים. כשהייתה בת שלוש אביה נסע לעבוד בחו"ל כמעט עשרה חודשים, וזה פגע בזמינות שלו והכביד על אמא שנשארה לבד עם שתי ילדות. באותה תקופה נולד גם האח, והאם עברה תקופה לחוצה שבה הייתה פחות פנויה רגשית. המזג המעוכב של אביגיל עצמה, אותה נטייה להירתע ולהיסוג, הוא סיכון פנימי שבתנאים אחרים היה יכול להתגלגל לחרדה חברתית. אבל מולם עמדו גורמי מגן חזקים לא פחות. הקשר החם והבטוח עם אמא נשאר יציב לאורך כל התקופה. הסבתא נכנסה לתמונה, אספה אותה מהגן כל יום ונתנה עוגן קבוע. הגן היה יציב, עם אותה גננת ואותם ילדים. וגם היכולת המילולית הגבוהה שלה עבדה לטובתה, כי היא הצליחה להסביר מה מציק לה במקום להתפרץ. הגננת עבדה איתה בעדינות, ובכל פעם שאביגיל העזה להצטרף למשחק היא קיבלה חיזוק חיובי קטן, חיוך או מילה טובה, וכך, קצת בדומה להתניה אופרנטית, ההשתתפות נעשתה אצלה מוכרת ובטוחה. המאזן הזה הוא שהוציא אותה מהתקופות הקשות בלי צלקות של ממש (ברגר, 2008).</w:t>
      </w:r>
    </w:p>
    <w:p>
      <w:pPr>
        <w:bidi/>
        <w:spacing w:after="60" w:before="160" w:line="360" w:lineRule="auto"/>
        <w:jc w:val="right"/>
      </w:pPr>
      <w:r>
        <w:rPr>
          <w:rFonts w:ascii="David" w:hAnsi="David" w:cs="David"/>
          <w:b/>
          <w:sz w:val="24"/>
          <w:rtl w:val="1"/>
        </w:rPr>
        <w:t>שאלה 3 - מעגלי השפעה</w:t>
      </w:r>
    </w:p>
    <w:p>
      <w:pPr>
        <w:bidi/>
        <w:spacing w:after="120" w:before="0" w:line="360" w:lineRule="auto"/>
        <w:jc w:val="both"/>
      </w:pPr>
      <w:r>
        <w:rPr>
          <w:rFonts w:ascii="David" w:hAnsi="David" w:cs="David"/>
          <w:b w:val="0"/>
          <w:sz w:val="24"/>
          <w:rtl w:val="1"/>
        </w:rPr>
        <w:t>מעגלי ההשפעה, לפי המודל האקולוגי, מתארים את ההתפתחות כמשהו שקורה בתוך כמה מעגלים סביבתיים שמקיפים את הילד, מהקרוב ביותר אליו ועד הרחוק. במרכז יש את המיקרו-מערכת, כל מה שהילד נמצא איתו במגע ישיר ויומיומי, המשפחה, הגן והחברים. אצל אביגיל זה בעיקר הקשר עם אמא ועם הסבתא. אפשר ממש לראות את המעגל הזה עובד ברגעים הקטנים, כשאמא יושבת איתה על המיטה לפני השינה, מקשיבה לסיפור שהיא ממציאה ומגיבה לכל פרט. הרגעים האלה, שחוזרים כמעט כל ערב, הם הקרקע שעליה נבנה הביטחון שלה.</w:t>
      </w:r>
    </w:p>
    <w:p>
      <w:pPr>
        <w:bidi/>
        <w:spacing w:after="120" w:before="0" w:line="360" w:lineRule="auto"/>
        <w:jc w:val="both"/>
      </w:pPr>
      <w:r>
        <w:rPr>
          <w:rFonts w:ascii="David" w:hAnsi="David" w:cs="David"/>
          <w:b w:val="0"/>
          <w:sz w:val="24"/>
          <w:rtl w:val="1"/>
        </w:rPr>
        <w:t>המזו-מערכת היא רשת הקשרים בין חלקי המיקרו, מה שקורה כשהם נפגשים זה עם זה. הדוגמה הכי ברורה אצל אביגיל היא השיחות הקבועות בין אמא לגננת. השתיים תיאמו ביניהן גישה אחת לביישנות שלה, לא לדחוף אבל גם לא לוותר, וכשהמסר בבית ובגן זהה, לילדה הרבה יותר קל. האקסו-מערכת, לעומת זאת, כוללת מסגרות שהילדה עצמה אף פעם לא נמצאת בהן, אבל הן משפיעות עליה דרך אנשים אחרים. ההחלטה של אבא לצאת לעבוד בחו"ל היא דוגמה מובהקת. אביגיל לא הייתה שותפה להחלטה ולא הבינה אותה בכלל, אבל היא זו שחיה את התוצאה, עשרה חודשים שלמים בלי אבא בבית בשגרה.</w:t>
      </w:r>
    </w:p>
    <w:p>
      <w:pPr>
        <w:bidi/>
        <w:spacing w:after="120" w:before="0" w:line="360" w:lineRule="auto"/>
        <w:jc w:val="both"/>
      </w:pPr>
      <w:r>
        <w:rPr>
          <w:rFonts w:ascii="David" w:hAnsi="David" w:cs="David"/>
          <w:b w:val="0"/>
          <w:sz w:val="24"/>
          <w:rtl w:val="1"/>
        </w:rPr>
        <w:t>המקרו-מערכת היא הרובד הרחב של התרבות, הערכים והמצב הכלכלי-חברתי. אביגיל גדלה בחברה ישראלית שמעריכה ילדים דברנים ובטוחים בעצמם, וזו ציפייה שדווקא התאימה לחוזקה המילולית שלה ועודדה אותה עוד יותר. לפי הגישה ההתנהגותית, הסביבה הרחבה הזאת היא שקובעת אילו התנהגויות יזכו לעידוד ואילו לא, וכך ערכי התרבות מחלחלים פנימה עד לרמת המשפחה והילדה. הכרונו-מערכת היא ממד הזמן, האירועים והמעברים שעוברים על הילד לאורך החיים. לידת האח וחזרתו של אבא הביתה היו שני מעברים שעיצבו מחדש את המשפחה שבתוכה היא גדלה. והמעגלים לא פועלים בנפרד זה מזה. חזרתו של אבא, שהיא אירוע בזמן, שינתה את האווירה בבית והקלה גם על אמא, וכל אלה יחד השפיעו בסוף על אביגיל (Bronfenbrenner, 1977).</w:t>
      </w:r>
    </w:p>
    <w:p>
      <w:pPr>
        <w:bidi/>
        <w:spacing w:after="60" w:before="160" w:line="360" w:lineRule="auto"/>
        <w:jc w:val="right"/>
      </w:pPr>
      <w:r>
        <w:rPr>
          <w:rFonts w:ascii="David" w:hAnsi="David" w:cs="David"/>
          <w:b/>
          <w:sz w:val="24"/>
          <w:rtl w:val="1"/>
        </w:rPr>
        <w:t>שאלה 4 - תיאוריית ההתפתחות הקוגניטיבית (פיאז'ה)</w:t>
      </w:r>
    </w:p>
    <w:p>
      <w:pPr>
        <w:bidi/>
        <w:spacing w:after="120" w:before="0" w:line="360" w:lineRule="auto"/>
        <w:jc w:val="both"/>
      </w:pPr>
      <w:r>
        <w:rPr>
          <w:rFonts w:ascii="David" w:hAnsi="David" w:cs="David"/>
          <w:b w:val="0"/>
          <w:sz w:val="24"/>
          <w:rtl w:val="1"/>
        </w:rPr>
        <w:t>פיאז'ה חילק את ההתפתחות הקוגניטיבית לארבעה שלבים, כשלכל שלב טווח גיל משלו. השלב הסנסומוטורי, מלידה ועד גיל שנתיים בערך. השלב הקדם-מבצעי, מגיל שנתיים עד שבע. שלב המבצעים הקונקרטיים, מגיל שבע עד אחת עשרה בערך. ושלב המבצעים הפורמליים, מגיל אחת עשרה ומעלה. לפי פיאז'ה הילד לא סופג ידע בצורה פסיבית אלא בונה אותו בעצמו, דרך סכימות, תבניות חשיבה שהוא מרכיב על העולם. כשמשהו חדש מסתדר עם סכימה קיימת הילד מטמיע אותו פנימה, וכשמשהו לא מסתדר נוצר חוסר איזון, והוא נאלץ להתאים ולשנות את הסכימה כדי לקלוט את המציאות. המתח הזה בין הטמעה להתאמה הוא המנוע של הצמיחה הקוגניטיבית.</w:t>
      </w:r>
    </w:p>
    <w:p>
      <w:pPr>
        <w:bidi/>
        <w:spacing w:after="120" w:before="0" w:line="360" w:lineRule="auto"/>
        <w:jc w:val="both"/>
      </w:pPr>
      <w:r>
        <w:rPr>
          <w:rFonts w:ascii="David" w:hAnsi="David" w:cs="David"/>
          <w:b w:val="0"/>
          <w:sz w:val="24"/>
          <w:rtl w:val="1"/>
        </w:rPr>
        <w:t>אביגיל, בגיל שש וחצי, נמצאת בעיצומו של השלב הקדם-מבצעי, וזה ניכר היטב במה שהיא אומרת ועושה. הדוגמה הכי ברורה היא השימור. יום אחד מזגו לה מיץ מכוס נמוכה ורחבה לכוס גבוהה וצרה, והיא התעקשה שעכשיו יש לה יותר, כי "זה הגיע גבוה". היא מתמקדת רק בממד אחד, הגובה, ומתעלמת מהרוחב, וזו בדיוק הריכוזיות שפיאז'ה תיאר, יחד עם הקושי לחשוב אחורה ולהחזיר בראש את המיץ לכוס הראשונה. היא גם מייחסת רגשות וכוונות לחפצים, אומרת שהבובה "עצובה שהשאירו אותה לבד" ובטוחה שהירח "הולך אחרינו" באוטו, וזה אותו אנימיזם מובהק. האגוצנטריות בולטת גם היא: כשהיא מספרת סיפור בטלפון היא מצמידה תמונה למסך, משוכנעת שגם בצד השני רואים בדיוק מה שהיא רואה, כי עוד קשה לה לתפוס שיש נקודת מבט אחרת משלה. ומעל הכול, המשחק הסימבולי שלה פורח, מקל שהופך לסוס וכרית שנעשית תינוקת, וזה סימן ההיכר של השלב. כל אלה מציבים אותה בבירור בחשיבה קדם-מבצעית, ממש על סף המעבר לשלב הבא.</w:t>
      </w:r>
    </w:p>
    <w:p>
      <w:pPr>
        <w:bidi/>
        <w:spacing w:after="60" w:before="160" w:line="360" w:lineRule="auto"/>
        <w:jc w:val="right"/>
      </w:pPr>
      <w:r>
        <w:rPr>
          <w:rFonts w:ascii="David" w:hAnsi="David" w:cs="David"/>
          <w:b/>
          <w:sz w:val="24"/>
          <w:rtl w:val="1"/>
        </w:rPr>
        <w:t>שאלה 5 - ניסוי מצב הזר</w:t>
      </w:r>
    </w:p>
    <w:p>
      <w:pPr>
        <w:bidi/>
        <w:spacing w:after="120" w:before="0" w:line="360" w:lineRule="auto"/>
        <w:jc w:val="both"/>
      </w:pPr>
      <w:r>
        <w:rPr>
          <w:rFonts w:ascii="David" w:hAnsi="David" w:cs="David"/>
          <w:b w:val="0"/>
          <w:sz w:val="24"/>
          <w:rtl w:val="1"/>
        </w:rPr>
        <w:t>ניסוי מצב הזר נבנה כדי לבחון את סוג ההתקשרות בין תינוק לדמות המטפלת, והוא מורכב משבע אפיזודות קצרות שמעלות את המתח בהדרגה. באפיזודה הראשונה הנסיינית מכניסה את ההורה והתינוק לחדר משחקים ויוצאת. בשנייה ההורה יושב והתינוק חופשי לחקור ולשחק, כשההורה משמש לו בסיס בטוח לצאת ממנו ולחזור אליו. בשלישית נכנסת דמות זרה, מדברת עם ההורה ומתקרבת לאט לתינוק. ברביעית מגיעה ההיפרדות הראשונה, ההורה יוצא והתינוק נשאר עם הזרה שמנסה להרגיע אותו. בחמישית בא האיחוד הראשון, ההורה חוזר ומנחם, והזרה יוצאת. בשישית מתרחשת ההיפרדות השנייה, וההורה יוצא כך שהתינוק נשאר לבד לגמרי. בשביעית הזרה חוזרת, ואחריה ההורה, שאוסף את התינוק אליו. מהתגובות לאורך הרצף, ובעיקר מרגעי האיחוד, זיהו החוקרים ארבעה סוגים של התקשרות: בטוחה, שבה הילד נעצב בפרידה ונרגע בחזרה. נמנעת, שבה הוא מתעלם מההורה. חרדה-אמביוולנטית, שבה הוא נצמד ודוחה בו זמנית. ולא מאורגנת, שבה אין דפוס עקבי בכלל (מיקולינסר, 1998).</w:t>
      </w:r>
    </w:p>
    <w:p>
      <w:pPr>
        <w:bidi/>
        <w:spacing w:after="120" w:before="0" w:line="360" w:lineRule="auto"/>
        <w:jc w:val="both"/>
      </w:pPr>
      <w:r>
        <w:rPr>
          <w:rFonts w:ascii="David" w:hAnsi="David" w:cs="David"/>
          <w:b w:val="0"/>
          <w:sz w:val="24"/>
          <w:rtl w:val="1"/>
        </w:rPr>
        <w:t>את אביגיל מאפיינת התקשרות בטוחה. כשאמא נוכחת היא חוקרת את הסביבה בביטחון, בפרידה היא נעצבת באמת, ובאיחוד היא ניגשת אליה, נרגעת מהר וחוזרת לשחק. לפי התיאוריה, מהחוויות החוזרות עם אמא היא בנתה לעצמה מין מודל פנימי, ציפייה בסיסית שכשיהיה לה קשה מישהו יהיה שם בשבילה, והציפייה הזאת ממשיכה איתה גם מחוץ לבית. אפשר לראות את זה ביום-יום. ביום הראשון בחוג חדש היא קודם וידאה בעיניים שאמא נשארת ליד הדלת, ורק אז הרשתה לעצמה לגשת לילדים. הביטחון הבסיסי הזה מאפשר לה לסמוך על אנשים, לבקש עזרה כשקשה לה, לווסת רגשות מהר יחסית, ובסוף גם להיכנס לקשרים חברתיים, למרות הזהירות שבהתחלה. אצל ילדה עם התקשרות נמנעת אותו רגע פרידה היה נראה אחרת לגמרי, בלי החיפוש אחרי הקרבה של אמא, ובדיוק ההבדל הזה מלמד כמה סוג ההתקשרות ממשיך להשפיע הרבה אחרי הינקות.</w:t>
      </w:r>
    </w:p>
    <w:p>
      <w:pPr>
        <w:bidi/>
        <w:spacing w:after="60" w:before="160" w:line="360" w:lineRule="auto"/>
        <w:jc w:val="right"/>
      </w:pPr>
      <w:r>
        <w:rPr>
          <w:rFonts w:ascii="David" w:hAnsi="David" w:cs="David"/>
          <w:b/>
          <w:sz w:val="24"/>
          <w:rtl w:val="1"/>
        </w:rPr>
        <w:t>שאלה 6 - תיאוריית ריבוי האינטליגנציות</w:t>
      </w:r>
    </w:p>
    <w:p>
      <w:pPr>
        <w:bidi/>
        <w:spacing w:after="120" w:before="0" w:line="360" w:lineRule="auto"/>
        <w:jc w:val="both"/>
      </w:pPr>
      <w:r>
        <w:rPr>
          <w:rFonts w:ascii="David" w:hAnsi="David" w:cs="David"/>
          <w:b w:val="0"/>
          <w:sz w:val="24"/>
          <w:rtl w:val="1"/>
        </w:rPr>
        <w:t>תיאוריית ריבוי האינטליגנציות של גרדנר יצאה נגד התפיסה הישנה שאפשר לכווץ את החוכמה של אדם לציון משכל אחד, ה-IQ, שנמדד בעיקר דרך יכולת מילולית ומתמטית. גרדנר טען שיש כמה סוגים עצמאיים של אינטליגנציה, ולכל אדם תמהיל אחר שלהם. השמונה שהוא מנה הם: אינטליגנציה לשונית, של מילים ושפה. לוגית-מתמטית, של מספרים, היגיון וקשרים. מרחבית, של דמיון חזותי ותפיסת מרחב. מוזיקלית, של צלילים, מקצב ומנגינה. גופנית-תנועתית, של שליטה מדויקת בגוף. בין-אישית, של קריאת אנשים אחרים. תוך-אישית, של הבנת העולם הפנימי של עצמך. וטבעונית, של רגישות והבחנה בעולם הטבע. היתרון בגישה הזאת, במיוחד בעיניים של מחנכת, הוא שהיא לא פוסלת ילד בגלל שהוא חלש בערוץ אחד, אלא מחפשת דרך שבה כל ילד יכול להצליח (Gardner &amp; Hatch, 1989).</w:t>
      </w:r>
    </w:p>
    <w:p>
      <w:pPr>
        <w:bidi/>
        <w:spacing w:after="120" w:before="0" w:line="360" w:lineRule="auto"/>
        <w:jc w:val="both"/>
      </w:pPr>
      <w:r>
        <w:rPr>
          <w:rFonts w:ascii="David" w:hAnsi="David" w:cs="David"/>
          <w:b w:val="0"/>
          <w:sz w:val="24"/>
          <w:rtl w:val="1"/>
        </w:rPr>
        <w:t>אצל אביגיל האינטליגנציה הלשונית בולטת מעל כולן. היא למדה להכיר אותיות עוד לפני הגן, אוצר המילים שלה מפתיע מבוגרים, והיא לא מפסיקה להמציא סיפורים ולספר אותם בקול, לפעמים גם כשאף אחד לא ממש מקשיב. פעם היא בנתה עלילה שלמה על "ממלכת העננים", עם דמויות, שמות וכללים, וחזרה עליה כמעט מילה במילה למחרת בבוקר. מה שיפה הוא שהיא עושה את זה מתוך מוטיבציה פנימית, מתוך הנאה אמיתית מהמילים עצמן ומהמשחק שבהן, ולא כדי לקבל שבח מבחוץ. לצד הלשונית מבצבצת אצלה גם אינטליגנציה תוך-אישית לא קטנה, כי דרך אותן מילים היא מצליחה לזהות ולהסביר מה היא מרגישה, "אני מתביישת עכשיו" או "זה הכעיס אותי", משהו שרוב הילדים בגילה עוד מתקשים בו. אם ילוו אותה נכון, החוזקה הזאת יכולה להיות הבסיס שעליו היא תבנה בהמשך גם תחומים אחרים.</w:t>
      </w:r>
    </w:p>
    <w:p>
      <w:pPr>
        <w:bidi/>
        <w:spacing w:after="60" w:before="160" w:line="360" w:lineRule="auto"/>
        <w:jc w:val="right"/>
      </w:pPr>
      <w:r>
        <w:rPr>
          <w:rFonts w:ascii="David" w:hAnsi="David" w:cs="David"/>
          <w:b/>
          <w:sz w:val="24"/>
          <w:rtl w:val="1"/>
        </w:rPr>
        <w:t>רשימת מקורות</w:t>
      </w:r>
    </w:p>
    <w:p>
      <w:pPr>
        <w:bidi/>
        <w:spacing w:after="60" w:before="0" w:line="240" w:lineRule="auto"/>
        <w:ind w:left="360"/>
        <w:jc w:val="right"/>
      </w:pPr>
      <w:r>
        <w:rPr>
          <w:rFonts w:ascii="David" w:hAnsi="David" w:cs="David"/>
          <w:b w:val="0"/>
          <w:sz w:val="22"/>
          <w:rtl w:val="1"/>
        </w:rPr>
        <w:t>ברגר, ר' (2008). טבע, משחק ויצירה כעזרים לביסוס הגן כמרחב המפתח חוסן. פסיכולוגיה עברית. אוחזר מתוך https://www.hebpsy.net/articles.asp?id=1760</w:t>
      </w:r>
    </w:p>
    <w:p>
      <w:pPr>
        <w:bidi/>
        <w:spacing w:after="60" w:before="0" w:line="240" w:lineRule="auto"/>
        <w:ind w:left="360"/>
        <w:jc w:val="right"/>
      </w:pPr>
      <w:r>
        <w:rPr>
          <w:rFonts w:ascii="David" w:hAnsi="David" w:cs="David"/>
          <w:b w:val="0"/>
          <w:sz w:val="22"/>
          <w:rtl w:val="1"/>
        </w:rPr>
        <w:t>מיקולינסר, מ' (1998). סגנון היקשרות בבגרות ואסטרטגיות של ויסות רגשות: הנחות עבודה וסקירת ממצאים. פסיכולוגיה, ז', 33-48.</w:t>
      </w:r>
    </w:p>
    <w:p>
      <w:pPr>
        <w:bidi/>
        <w:spacing w:after="60" w:before="0" w:line="240" w:lineRule="auto"/>
        <w:ind w:left="360"/>
        <w:jc w:val="right"/>
      </w:pPr>
      <w:r>
        <w:rPr>
          <w:rFonts w:ascii="David" w:hAnsi="David" w:cs="David"/>
          <w:b w:val="0"/>
          <w:sz w:val="22"/>
          <w:rtl w:val="1"/>
        </w:rPr>
        <w:t>Bronfenbrenner, U. (1977). Toward an experimental ecology of human development. American Psychologist, 32(7), 513-531.</w:t>
      </w:r>
    </w:p>
    <w:p>
      <w:pPr>
        <w:bidi/>
        <w:spacing w:after="60" w:before="0" w:line="240" w:lineRule="auto"/>
        <w:ind w:left="360"/>
        <w:jc w:val="right"/>
      </w:pPr>
      <w:r>
        <w:rPr>
          <w:rFonts w:ascii="David" w:hAnsi="David" w:cs="David"/>
          <w:b w:val="0"/>
          <w:sz w:val="22"/>
          <w:rtl w:val="1"/>
        </w:rPr>
        <w:t>Gardner, H., &amp; Hatch, T. (1989). Multiple intelligences go to school: Educational implications of the theory of multiple intelligences. Educational Researcher, 18(8), 4-10.</w:t>
      </w:r>
    </w:p>
    <w:sectPr w:rsidR="00FC693F" w:rsidRPr="0006063C" w:rsidSect="00034616">
      <w:pgSz w:w="12240" w:h="15840"/>
      <w:pgMar w:top="1120" w:right="1440" w:bottom="11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avid" w:hAnsi="David" w:cs="Davi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