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rPr>
        <w:t xml:space="preserve">רווחה נפשית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rPr>
        <w:t xml:space="preserve">עבודה מוגשת במסגרת סמינריון תנאי כליאה של אסירים פליליים בישראל ובעולם</w:t>
      </w:r>
    </w:p>
    <w:p>
      <w:r>
        <w:t xml:space="preserve"/>
      </w:r>
    </w:p>
    <w:p>
      <w:pPr>
        <w:bidi/>
        <w:spacing w:after="120" w:line="360"/>
        <w:jc w:val="center"/>
      </w:pPr>
      <w:r>
        <w:rPr>
          <w:rFonts w:ascii="David" w:cs="David" w:eastAsia="David" w:hAnsi="David"/>
          <w:sz w:val="24"/>
          <w:szCs w:val="24"/>
          <w:rtl/>
        </w:rPr>
        <w:t xml:space="preserve">מאת</w:t>
      </w:r>
    </w:p>
    <w:p>
      <w:pPr>
        <w:bidi/>
        <w:spacing w:after="120" w:line="360"/>
        <w:jc w:val="center"/>
      </w:pPr>
      <w:r>
        <w:rPr>
          <w:rFonts w:ascii="David" w:cs="David" w:eastAsia="David" w:hAnsi="David"/>
          <w:sz w:val="24"/>
          <w:szCs w:val="24"/>
          <w:highlight w:val="yellow"/>
          <w:rtl/>
        </w:rPr>
        <w:t xml:space="preserve">שם, מספר זהות</w:t>
      </w:r>
    </w:p>
    <w:p>
      <w:pPr>
        <w:bidi/>
        <w:spacing w:after="120" w:line="360"/>
        <w:jc w:val="center"/>
      </w:pPr>
      <w:r>
        <w:rPr>
          <w:rFonts w:ascii="David" w:cs="David" w:eastAsia="David" w:hAnsi="David"/>
          <w:sz w:val="24"/>
          <w:szCs w:val="24"/>
          <w:highlight w:val="yellow"/>
          <w:rtl/>
        </w:rPr>
        <w:t xml:space="preserve">שם, מספר זהות</w:t>
      </w:r>
    </w:p>
    <w:p>
      <w:r>
        <w:t xml:space="preserve"/>
      </w:r>
    </w:p>
    <w:p>
      <w:r>
        <w:t xml:space="preserve"/>
      </w:r>
    </w:p>
    <w:p>
      <w:pPr>
        <w:bidi/>
        <w:spacing w:after="120" w:line="360"/>
        <w:jc w:val="center"/>
      </w:pPr>
      <w:r>
        <w:rPr>
          <w:rFonts w:ascii="David" w:cs="David" w:eastAsia="David" w:hAnsi="David"/>
          <w:sz w:val="24"/>
          <w:szCs w:val="24"/>
          <w:rtl/>
        </w:rPr>
        <w:t xml:space="preserve">החוג לקרימינולוגיה</w:t>
      </w:r>
    </w:p>
    <w:p>
      <w:pPr>
        <w:bidi/>
        <w:spacing w:after="120" w:line="360"/>
        <w:jc w:val="center"/>
      </w:pPr>
      <w:r>
        <w:rPr>
          <w:rFonts w:ascii="David" w:cs="David" w:eastAsia="David" w:hAnsi="David"/>
          <w:sz w:val="24"/>
          <w:szCs w:val="24"/>
          <w:rt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rPr>
        <w:t xml:space="preserve">אשקלון, </w:t>
      </w:r>
      <w:r>
        <w:rPr>
          <w:rFonts w:ascii="David" w:cs="David" w:eastAsia="David" w:hAnsi="David"/>
          <w:sz w:val="24"/>
          <w:szCs w:val="24"/>
          <w:highlight w:val="yellow"/>
          <w:rtl/>
        </w:rPr>
        <w:t xml:space="preserve">אלול תשפ"ו, ספטמבר </w:t>
      </w:r>
      <w:r>
        <w:rPr>
          <w:rFonts w:ascii="Times New Roman" w:cs="Times New Roman" w:eastAsia="Times New Roman" w:hAnsi="Times New Roman"/>
          <w:sz w:val="24"/>
          <w:szCs w:val="24"/>
          <w:highlight w:val="yellow"/>
        </w:rPr>
        <w:t xml:space="preserve">2026</w:t>
      </w:r>
    </w:p>
    <w:p>
      <w:pPr>
        <w:pStyle w:val="Heading1"/>
        <w:pageBreakBefore/>
        <w:bidi/>
        <w:spacing w:after="240" w:before="0" w:line="360"/>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rPr>
        <w:t xml:space="preserve">תקציר בעברית</w:t>
      </w:r>
    </w:p>
    <w:p>
      <w:pPr>
        <w:bidi/>
        <w:spacing w:after="120" w:line="360"/>
        <w:jc w:val="both"/>
      </w:pPr>
      <w:r>
        <w:rPr>
          <w:rFonts w:ascii="David" w:cs="David" w:eastAsia="David" w:hAnsi="David"/>
          <w:sz w:val="24"/>
          <w:szCs w:val="24"/>
          <w:rtl/>
        </w:rPr>
        <w:t xml:space="preserve">המחקר בחן באיזו מידה קיים קשר בין רווחה נפשית לבין תפיסת הלגיטימיות של סגל הכליאה בקרב אסירים שפוטים בישראל.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והניתוח צומצם ל</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הלגיטימיות נמדדה בשלושה פריטים והרווחה הנפשית בחמישה,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שפוטים ברמת הלגיטימיות הגבוהה דיווחו על רווחה נפשית גבוהה בכ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מאלו ברמה הנמוכה.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rPr>
        <w:t xml:space="preserve">תקציר באנגלית</w:t>
      </w:r>
    </w:p>
    <w:p>
      <w:pPr>
        <w:spacing w:after="120" w:line="360"/>
        <w:jc w:val="both"/>
      </w:pPr>
      <w:r>
        <w:rPr>
          <w:rFonts w:ascii="Times New Roman" w:cs="Times New Roman" w:eastAsia="Times New Roman" w:hAnsi="Times New Roman"/>
          <w:sz w:val="24"/>
          <w:szCs w:val="24"/>
        </w:rPr>
        <w:t xml:space="preserve">This study examined to what extent mental well-being is associated with the perceived legitimacy of prison staff among sentenced prisoners in Israel.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prisoners in the high-legitimacy group reported well-being about 0.7 points higher than those in the low-legitimacy group.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rPr>
        <w:t xml:space="preserve">מבוא</w:t>
      </w:r>
    </w:p>
    <w:p>
      <w:pPr>
        <w:bidi/>
        <w:spacing w:after="120" w:line="360"/>
        <w:jc w:val="both"/>
      </w:pPr>
      <w:r>
        <w:rPr>
          <w:rFonts w:ascii="David" w:cs="David" w:eastAsia="David" w:hAnsi="David"/>
          <w:sz w:val="24"/>
          <w:szCs w:val="24"/>
          <w:rtl/>
        </w:rPr>
        <w:t xml:space="preserve">בית הסוהר הוא מוסד שבו סמכות הסגל כמעט מוחלטת, ובכל זאת הסדר היומיומי באגף תלוי בשיתוף פעולה של האסירים. ספרקס ובוטומס (</w:t>
      </w:r>
      <w:r>
        <w:rPr>
          <w:rFonts w:ascii="Times New Roman" w:cs="Times New Roman" w:eastAsia="Times New Roman" w:hAnsi="Times New Roman"/>
          <w:sz w:val="24"/>
          <w:szCs w:val="24"/>
        </w:rPr>
        <w:t xml:space="preserve">1995</w:t>
      </w:r>
      <w:r>
        <w:rPr>
          <w:rFonts w:ascii="David" w:cs="David" w:eastAsia="David" w:hAnsi="David"/>
          <w:sz w:val="24"/>
          <w:szCs w:val="24"/>
          <w:rtl/>
        </w:rPr>
        <w:t xml:space="preserve">), על בסיס עבודת שדה בשני בתי סוהר בביטחון מרבי באנגליה,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מצוטט אצל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jc w:val="both"/>
      </w:pPr>
      <w:r>
        <w:rPr>
          <w:rFonts w:ascii="David" w:cs="David" w:eastAsia="David" w:hAnsi="David"/>
          <w:sz w:val="24"/>
          <w:szCs w:val="24"/>
          <w:rtl/>
        </w:rPr>
        <w:t xml:space="preserve">ההקשר הישראלי מוסיף לשאלה משקל. תקנות בתי הסוהר קובעות שטח מחיה של </w:t>
      </w:r>
      <w:r>
        <w:rPr>
          <w:rFonts w:ascii="Times New Roman" w:cs="Times New Roman" w:eastAsia="Times New Roman" w:hAnsi="Times New Roman"/>
          <w:sz w:val="24"/>
          <w:szCs w:val="24"/>
        </w:rPr>
        <w:t xml:space="preserve">4.5</w:t>
      </w:r>
      <w:r>
        <w:rPr>
          <w:rFonts w:ascii="David" w:cs="David" w:eastAsia="David" w:hAnsi="David"/>
          <w:sz w:val="24"/>
          <w:szCs w:val="24"/>
          <w:rtl/>
        </w:rPr>
        <w:t xml:space="preserve"> מטרים רבועים לאסיר, אך במאי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מועד הפעימה הראשונה שקבע בג"ץ בעתירה </w:t>
      </w:r>
      <w:r>
        <w:rPr>
          <w:rFonts w:ascii="Times New Roman" w:cs="Times New Roman" w:eastAsia="Times New Roman" w:hAnsi="Times New Roman"/>
          <w:sz w:val="24"/>
          <w:szCs w:val="24"/>
        </w:rPr>
        <w:t xml:space="preserve">1892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14,</w:t>
      </w:r>
      <w:r>
        <w:rPr>
          <w:rFonts w:ascii="David" w:cs="David" w:eastAsia="David" w:hAnsi="David"/>
          <w:sz w:val="24"/>
          <w:szCs w:val="24"/>
          <w:rtl/>
        </w:rPr>
        <w:t xml:space="preserve">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ממקומות הכליאה עדיין היו קטנים מתקן זה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מצוטט אצל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בעקבות פסיקת בג"ץ הפך השחרור המנהלי לכלי המרכזי לצמצום הצפיפות, וכיום משתחררים מדי שנה אלפי אסירים חודשים רבים לפני תום עונשם בלי שמסוכנותם נבחנת, ולעיתים בלי שידעו את מועד שחרורם עד ליום השחרור עצמו (גזל-אייל ומרזוק-מקלדה,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המשפט הישראלי גם אינו קובע בחקיקה ראשית את תכליות הכליאה, והוא משלב תפיסה שלפיה העונש מתמצה בשלילת החירות עם רטוריקה שמכירה בסבל נוסף כחלק מהמאסר (דגן,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ענף המחקר של שירות בתי הסוהר מקדם בשנים האחרונות מדיניות מבוססת נתונים, ובכלל זה הערכה שיטתית של תוכניות התקון (ועקנין, </w:t>
      </w:r>
      <w:r>
        <w:rPr>
          <w:rFonts w:ascii="Times New Roman" w:cs="Times New Roman" w:eastAsia="Times New Roman" w:hAnsi="Times New Roman"/>
          <w:sz w:val="24"/>
          <w:szCs w:val="24"/>
        </w:rPr>
        <w:t xml:space="preserve">2025</w:t>
      </w:r>
      <w:r>
        <w:rPr>
          <w:rFonts w:ascii="David" w:cs="David" w:eastAsia="David" w:hAnsi="David"/>
          <w:sz w:val="24"/>
          <w:szCs w:val="24"/>
          <w:rtl/>
        </w:rPr>
        <w:t xml:space="preserve">). על רקע זה נערך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סקר תנאי המחיה הראשון בהיקפו בשירות בתי הסוהר, בקרב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המחקר הנוכחי לוקח מאותו מערך נתונים חוט אחד ובוחן אותו לעומק: הקשר בין רווחתו הנפשית של האסיר לבין האופן שבו הוא תופס את לגיטימיות הסגל.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תהליכי ההסתגלות למאסר, שהם חלק ממוקד המחקר, רלוונטיים לשפוטים יותר מלעצורים, ומחקר ישראלי עדכני הראה שהסתגלות זו עשויה להסתיר מצוקה נפשית שאינה מזוהה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מטרת המחקר ומבנה העבודה</w:t>
      </w:r>
    </w:p>
    <w:p>
      <w:pPr>
        <w:bidi/>
        <w:spacing w:after="120" w:line="360"/>
        <w:jc w:val="both"/>
      </w:pPr>
      <w:r>
        <w:rPr>
          <w:rFonts w:ascii="David" w:cs="David" w:eastAsia="David" w:hAnsi="David"/>
          <w:sz w:val="24"/>
          <w:szCs w:val="24"/>
          <w:rtl/>
        </w:rPr>
        <w:t xml:space="preserve">מטרת המחקר היא לבחון את הקשר בין רווחה נפשית לבין תפיסת הלגיטימיות של סגל הכליאה בקרב אסירים שפוטים. הלגיטימיות היא המשתנה התלוי והרווחה הנפשית היא המשתנה הבלתי תלוי. העבודה פותחת בסקירת ספרות בשני חלקים, הסתגלות למאסר ורווחה נפשית מצד אחד ולגיטימיות של סגל הכליאה מצד שני, ומסתיימת בשאלת המחקר ובהשערה. לאחר מכן מוצגים פרק השיטה, פרק הממצאים והדיון, ובסופם מגבלות המחקר, סיכום, גילוי נאות ורשימת המקורות. הפלטים הסטטיסטיים מובאים בנספח א'.</w:t>
      </w:r>
    </w:p>
    <w:p>
      <w:pPr>
        <w:pStyle w:val="Heading1"/>
        <w:pageBreakBefore/>
        <w:bidi/>
        <w:spacing w:after="240" w:before="0" w:line="360"/>
        <w:jc w:val="right"/>
      </w:pPr>
      <w:r>
        <w:rPr>
          <w:rFonts w:ascii="David" w:cs="David" w:eastAsia="David" w:hAnsi="David"/>
          <w:b/>
          <w:bCs/>
          <w:sz w:val="32"/>
          <w:szCs w:val="32"/>
          <w:rtl/>
        </w:rPr>
        <w:t xml:space="preserve">סקירת ספרות</w:t>
      </w:r>
    </w:p>
    <w:p>
      <w:pPr>
        <w:pStyle w:val="Heading2"/>
        <w:keepNext/>
        <w:bidi/>
        <w:spacing w:after="120" w:before="240" w:line="360"/>
        <w:jc w:val="right"/>
      </w:pPr>
      <w:r>
        <w:rPr>
          <w:rFonts w:ascii="David" w:cs="David" w:eastAsia="David" w:hAnsi="David"/>
          <w:b/>
          <w:bCs/>
          <w:sz w:val="28"/>
          <w:szCs w:val="28"/>
          <w:rtl/>
        </w:rPr>
        <w:t xml:space="preserve">הסתגלות למאסר ורווחה נפשית</w:t>
      </w:r>
    </w:p>
    <w:p>
      <w:pPr>
        <w:bidi/>
        <w:spacing w:after="120" w:line="360"/>
        <w:jc w:val="both"/>
      </w:pPr>
      <w:r>
        <w:rPr>
          <w:rFonts w:ascii="David" w:cs="David" w:eastAsia="David" w:hAnsi="David"/>
          <w:sz w:val="24"/>
          <w:szCs w:val="24"/>
          <w:rtl/>
        </w:rPr>
        <w:t xml:space="preserve">נקודת המוצא לכל דיון בהסתגלות למאסר היא מודל המחסור, שנוסח בעקבות עבודתו של סייקס על "כאבי המאסר": אובדן החירות, אובדן טובין ושירותים, אובדן קשרים אינטימיים, אובדן האוטונומיה ואובדן תחושת הביטחון. המודל מניח שהתנהגות האסיר היא תוצאה ישירה של סביבת בית הסוהר, ולכן תנאי כליאה נוקשים צפויים להוליד התנהגות שלילית יותר, ובכלל זה הפרות משמעת ואלימות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מצוטט אצל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סקירת הספרות של שירות בתי הסוהר, שבחנה את הקשר בין תנאי הכליאה הפיזיים לבין התנהגות אסירים, אובדנות ורצידיביזם, מצאה שתנאי כליאה קשים מקושרים לאלימות ולאובדנות, ושקבוצות מסוימות, ובהן אסירים בסיכון אובדני, רגישות להם במיוחד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מכאן צומחת השאלה כיצד אדם מסתגל למקום שנועד לשלול ממנו כמעט הכול.</w:t>
      </w:r>
    </w:p>
    <w:p>
      <w:pPr>
        <w:bidi/>
        <w:spacing w:after="120" w:line="360"/>
        <w:jc w:val="both"/>
      </w:pPr>
      <w:r>
        <w:rPr>
          <w:rFonts w:ascii="David" w:cs="David" w:eastAsia="David" w:hAnsi="David"/>
          <w:sz w:val="24"/>
          <w:szCs w:val="24"/>
          <w:rtl/>
        </w:rPr>
        <w:t xml:space="preserve">הספרות המאוחרת עברה מתיאור כללי של המאסר לבחינה של הבדלים בין בתי סוהר ובין אסירים. במרכזה עומדת מסגרת "איכות החיים המוסרית" של בית הסוהר, שפותחה בקיימברידג' וזיהתה שמה שחשוב ביותר לאסירים אינו התנאים החומריים אלא היחסים עם הסגל, ההוגנות, הביטחון, האנושיות והאמון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מצוטט אצל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בהמשך לכך זיהו אוטי וליבלינג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על בסיס </w:t>
      </w:r>
      <w:r>
        <w:rPr>
          <w:rFonts w:ascii="Times New Roman" w:cs="Times New Roman" w:eastAsia="Times New Roman" w:hAnsi="Times New Roman"/>
          <w:sz w:val="24"/>
          <w:szCs w:val="24"/>
        </w:rPr>
        <w:t xml:space="preserve">518</w:t>
      </w:r>
      <w:r>
        <w:rPr>
          <w:rFonts w:ascii="David" w:cs="David" w:eastAsia="David" w:hAnsi="David"/>
          <w:sz w:val="24"/>
          <w:szCs w:val="24"/>
          <w:rtl/>
        </w:rPr>
        <w:t xml:space="preserve"> סקרי איכות חיים באנגליה ובוויילס בין </w:t>
      </w:r>
      <w:r>
        <w:rPr>
          <w:rFonts w:ascii="Times New Roman" w:cs="Times New Roman" w:eastAsia="Times New Roman" w:hAnsi="Times New Roman"/>
          <w:sz w:val="24"/>
          <w:szCs w:val="24"/>
        </w:rPr>
        <w:t xml:space="preserve">2009</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שני ספים אמפיריים לכל ממד: סף "לא בטוח" וסף "בטוח מינימלית". בממד היחסים בין סגל לאסירים עמדו הספים על </w:t>
      </w:r>
      <w:r>
        <w:rPr>
          <w:rFonts w:ascii="Times New Roman" w:cs="Times New Roman" w:eastAsia="Times New Roman" w:hAnsi="Times New Roman"/>
          <w:sz w:val="24"/>
          <w:szCs w:val="24"/>
        </w:rPr>
        <w:t xml:space="preserve">3.05</w:t>
      </w:r>
      <w:r>
        <w:rPr>
          <w:rFonts w:ascii="David" w:cs="David" w:eastAsia="David" w:hAnsi="David"/>
          <w:sz w:val="24"/>
          <w:szCs w:val="24"/>
          <w:rtl/>
        </w:rPr>
        <w:t xml:space="preserve"> ו</w:t>
      </w:r>
      <w:r>
        <w:rPr>
          <w:rFonts w:ascii="Times New Roman" w:cs="Times New Roman" w:eastAsia="Times New Roman" w:hAnsi="Times New Roman"/>
          <w:sz w:val="24"/>
          <w:szCs w:val="24"/>
        </w:rPr>
        <w:t xml:space="preserve">-3.55</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ובבתי סוהר שמתחת לסף התחתון נמצאו שיעורים גבוהים באופן מובהק של תקיפות, פגיעה עצמית ומקרי מוות. בהולנד בחנו ון גינקן ואחרים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את הקשר בין אקלים בית הסוהר לרווחה בקרב </w:t>
      </w:r>
      <w:r>
        <w:rPr>
          <w:rFonts w:ascii="Times New Roman" w:cs="Times New Roman" w:eastAsia="Times New Roman" w:hAnsi="Times New Roman"/>
          <w:sz w:val="24"/>
          <w:szCs w:val="24"/>
        </w:rPr>
        <w:t xml:space="preserve">4,538</w:t>
      </w:r>
      <w:r>
        <w:rPr>
          <w:rFonts w:ascii="David" w:cs="David" w:eastAsia="David" w:hAnsi="David"/>
          <w:sz w:val="24"/>
          <w:szCs w:val="24"/>
          <w:rtl/>
        </w:rPr>
        <w:t xml:space="preserve"> אסירים, באמצעות סקר "החיים במשמורת" שממנו נגזר גם השאלון הישראלי. הם מצאו שרוב השונות ברווחה נמצאת ברמת האסיר ולא ברמת האגף, ושתפיסות אישיות של אוטונומיה, ביטחון ויחסים עם אסירים אחרים קשורות לרווחה גבוהה יותר. היחסים עם הסגל, בניגוד לצפוי, לא נמצאו קשורים לרווחה באופן ישיר, והחוקרים הסבירו זאת במתאם בין יחסי הסגל לתחושת האוטונומיה: יחס הוגן של הסוהרים מגדיל את תחושת השליטה של האסיר, וזו שקשורה לרווחה. ממצא ישראלי מקביל עלה במרכזי החינוך של שירות בתי הסוהר, שם תמיכה של הסגל בצרכים הפסיכולוגיים של האסירים, ובראשם אוטונומיה וקשר, ניבאה מוטיבציה אוטונומית והתמדה בלמידה בקרב </w:t>
      </w:r>
      <w:r>
        <w:rPr>
          <w:rFonts w:ascii="Times New Roman" w:cs="Times New Roman" w:eastAsia="Times New Roman" w:hAnsi="Times New Roman"/>
          <w:sz w:val="24"/>
          <w:szCs w:val="24"/>
        </w:rPr>
        <w:t xml:space="preserve">271</w:t>
      </w:r>
      <w:r>
        <w:rPr>
          <w:rFonts w:ascii="David" w:cs="David" w:eastAsia="David" w:hAnsi="David"/>
          <w:sz w:val="24"/>
          <w:szCs w:val="24"/>
          <w:rtl/>
        </w:rPr>
        <w:t xml:space="preserve"> אסירים (נחשון דהן וכץ,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הקשר בין יחס הסגל לרווחה נחקר גם במערכי אורך. באוסטרליה עקבו סרג'נט ואחרים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אחר אסירים בניו סאות' ויילס בשלוש נקודות זמן ומצאו שצדק פרוצדורלי קשור לרווחה נפשית גבוהה יותר. בנתוני החתך תיווכו את הקשר גם היחסים עם הסגל וגם תחושת הביטחון, אך בניתוח האורך רק היחסים עם הסגל תיווכו אותו, והחוקרים הסיקו שהכשרת סוהרים בצדק פרוצדורלי היא הדרך המעשית לשפר את רווחת האסירים. הם נשענו על מחקר הולנדי קודם, שבו תפיסת יחס הוגן מצד הסוהרים שלושה שבועות אחרי הקליטה ניבאה פחות בעיות נפשיות שלושה חודשים אחריה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מצוטט אצל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בישראל, מחקר בקרב </w:t>
      </w:r>
      <w:r>
        <w:rPr>
          <w:rFonts w:ascii="Times New Roman" w:cs="Times New Roman" w:eastAsia="Times New Roman" w:hAnsi="Times New Roman"/>
          <w:sz w:val="24"/>
          <w:szCs w:val="24"/>
        </w:rPr>
        <w:t xml:space="preserve">76</w:t>
      </w:r>
      <w:r>
        <w:rPr>
          <w:rFonts w:ascii="David" w:cs="David" w:eastAsia="David" w:hAnsi="David"/>
          <w:sz w:val="24"/>
          <w:szCs w:val="24"/>
          <w:rtl/>
        </w:rPr>
        <w:t xml:space="preserve"> אסירים בכלא צלמון ובכלא מעשיהו מצא ש</w:t>
      </w:r>
      <w:r>
        <w:rPr>
          <w:rFonts w:ascii="Times New Roman" w:cs="Times New Roman" w:eastAsia="Times New Roman" w:hAnsi="Times New Roman"/>
          <w:sz w:val="24"/>
          <w:szCs w:val="24"/>
        </w:rPr>
        <w:t xml:space="preserve">-63.5</w:t>
      </w:r>
      <w:r>
        <w:rPr>
          <w:rFonts w:ascii="David" w:cs="David" w:eastAsia="David" w:hAnsi="David"/>
          <w:sz w:val="24"/>
          <w:szCs w:val="24"/>
          <w:rtl/>
        </w:rPr>
        <w:t xml:space="preserve"> אחוזים מהם סובלים מתסמינים פוסט-טראומטיים ברמות חומרה שונות, אך תסמינים אלו לא נמצאו קשורים לתפקודם בכלא. החוקרות הציעו שאסירים אלו עוטים "מסכת כלא" רגשית והתנהגותית כדי להסתגל, כך שדווקא האוכלוסייה שנחשבת שקטה ומסתגלת גוררת מצוקה שאינה מזוהה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לעומת זאת, מחקר ישראלי אחר הראה שהרווחה הנפשית הסובייקטיבית של אסירים אינה קבועה: בקרב </w:t>
      </w:r>
      <w:r>
        <w:rPr>
          <w:rFonts w:ascii="Times New Roman" w:cs="Times New Roman" w:eastAsia="Times New Roman" w:hAnsi="Times New Roman"/>
          <w:sz w:val="24"/>
          <w:szCs w:val="24"/>
        </w:rPr>
        <w:t xml:space="preserve">93</w:t>
      </w:r>
      <w:r>
        <w:rPr>
          <w:rFonts w:ascii="David" w:cs="David" w:eastAsia="David" w:hAnsi="David"/>
          <w:sz w:val="24"/>
          <w:szCs w:val="24"/>
          <w:rtl/>
        </w:rPr>
        <w:t xml:space="preserve"> גברים שהשתתפו בקבוצה פסיכו-חינוכית מכינה לטיפול, ירדו מדדי המצוקה, הדיכאון והחרדה ועלתה הרווחה הנפשית הסובייקטיבית בתום ההשתתפות (שני ואחרים,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גם בקרב </w:t>
      </w:r>
      <w:r>
        <w:rPr>
          <w:rFonts w:ascii="Times New Roman" w:cs="Times New Roman" w:eastAsia="Times New Roman" w:hAnsi="Times New Roman"/>
          <w:sz w:val="24"/>
          <w:szCs w:val="24"/>
        </w:rPr>
        <w:t xml:space="preserve">102</w:t>
      </w:r>
      <w:r>
        <w:rPr>
          <w:rFonts w:ascii="David" w:cs="David" w:eastAsia="David" w:hAnsi="David"/>
          <w:sz w:val="24"/>
          <w:szCs w:val="24"/>
          <w:rtl/>
        </w:rPr>
        <w:t xml:space="preserve"> אסירים משוחררים שטופלו ברשות לשיקום האסיר נמצא שהרווחה הנפשית הסובייקטיבית, שנמדדה בשביעות רצון מהחיים וברגשות חיוביים ושליליים, קשורה חיובית לתמיכה חברתית ולהתמודדות דתית חיובית (מורלי ואחרים,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כיוון ההשפעה במחקרים אלו הוא מיחס הסגל ומההתערבות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עוצמתו.</w:t>
      </w:r>
    </w:p>
    <w:p>
      <w:pPr>
        <w:pStyle w:val="Heading2"/>
        <w:keepNext/>
        <w:bidi/>
        <w:spacing w:after="120" w:before="240" w:line="360"/>
        <w:jc w:val="right"/>
      </w:pPr>
      <w:r>
        <w:rPr>
          <w:rFonts w:ascii="David" w:cs="David" w:eastAsia="David" w:hAnsi="David"/>
          <w:b/>
          <w:bCs/>
          <w:sz w:val="28"/>
          <w:szCs w:val="28"/>
          <w:rtl/>
        </w:rPr>
        <w:t xml:space="preserve">לגיטימיות של סגל הכליאה</w:t>
      </w:r>
    </w:p>
    <w:p>
      <w:pPr>
        <w:bidi/>
        <w:spacing w:after="120" w:line="360"/>
        <w:jc w:val="both"/>
      </w:pPr>
      <w:r>
        <w:rPr>
          <w:rFonts w:ascii="David" w:cs="David" w:eastAsia="David" w:hAnsi="David"/>
          <w:sz w:val="24"/>
          <w:szCs w:val="24"/>
          <w:rtl/>
        </w:rPr>
        <w:t xml:space="preserve">הבסיס התאורטי של מחקרי הלגיטימיות בכליאה הונח על ידי ספרקס ובוטומס (</w:t>
      </w:r>
      <w:r>
        <w:rPr>
          <w:rFonts w:ascii="Times New Roman" w:cs="Times New Roman" w:eastAsia="Times New Roman" w:hAnsi="Times New Roman"/>
          <w:sz w:val="24"/>
          <w:szCs w:val="24"/>
        </w:rPr>
        <w:t xml:space="preserve">1995</w:t>
      </w:r>
      <w:r>
        <w:rPr>
          <w:rFonts w:ascii="David" w:cs="David" w:eastAsia="David" w:hAnsi="David"/>
          <w:sz w:val="24"/>
          <w:szCs w:val="24"/>
          <w:rtl/>
        </w:rPr>
        <w:t xml:space="preserve">), שהעבירו אל בית הסוהר את תאוריות הלגיטימיות של ביתהם ושל טיילר. לפי טיילר, אנשים מצייתים לרשות בעיקר משום שהם תופסים אותה כלגיטימית, והלגיטימיות נבנית דרך צדק פרוצדורלי, כלומר דרך האופן שבו ההחלטות מתקבלות ולא רק דרך תוצאותיהן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מצוטט אצל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ספרקס ובוטומס טענו שבתי סוהר סובלים מבעיית לגיטימציה כרונית, אך שאפשר לזהות את התנאים שבהם אסירים מעניקים לסגל ולמשטר מידה של הכרה: סדירות ויעילות במתן השירותים, הוגנות חלוקתית ופרוצדורלית ביחס, ואיכויות אנושיות בשגרת היום. דווקא במקום שבו פערי הכוח קיצוניים, האופן שבו הסמכות מופעלת קובע אם היא תזכה לציות נורמטיבי או רק לציות אינסטרומנטלי מפחד.</w:t>
      </w:r>
    </w:p>
    <w:p>
      <w:pPr>
        <w:bidi/>
        <w:spacing w:after="120" w:line="360"/>
        <w:jc w:val="both"/>
      </w:pPr>
      <w:r>
        <w:rPr>
          <w:rFonts w:ascii="David" w:cs="David" w:eastAsia="David" w:hAnsi="David"/>
          <w:sz w:val="24"/>
          <w:szCs w:val="24"/>
          <w:rtl/>
        </w:rPr>
        <w:t xml:space="preserve">הממצא האמפירי הרחב ביותר בתחום מגיע מאנגליה ומוויילס. ברנטון-סמית ומקארתי (</w:t>
      </w:r>
      <w:r>
        <w:rPr>
          <w:rFonts w:ascii="Times New Roman" w:cs="Times New Roman" w:eastAsia="Times New Roman" w:hAnsi="Times New Roman"/>
          <w:sz w:val="24"/>
          <w:szCs w:val="24"/>
        </w:rPr>
        <w:t xml:space="preserve">2016</w:t>
      </w:r>
      <w:r>
        <w:rPr>
          <w:rFonts w:ascii="David" w:cs="David" w:eastAsia="David" w:hAnsi="David"/>
          <w:sz w:val="24"/>
          <w:szCs w:val="24"/>
          <w:rtl/>
        </w:rPr>
        <w:t xml:space="preserve">) ניתחו סקר של יותר מ</w:t>
      </w:r>
      <w:r>
        <w:rPr>
          <w:rFonts w:ascii="Times New Roman" w:cs="Times New Roman" w:eastAsia="Times New Roman" w:hAnsi="Times New Roman"/>
          <w:sz w:val="24"/>
          <w:szCs w:val="24"/>
        </w:rPr>
        <w:t xml:space="preserve">-3,000</w:t>
      </w:r>
      <w:r>
        <w:rPr>
          <w:rFonts w:ascii="David" w:cs="David" w:eastAsia="David" w:hAnsi="David"/>
          <w:sz w:val="24"/>
          <w:szCs w:val="24"/>
          <w:rt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בייארסברגן ואחרים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נתוני </w:t>
      </w:r>
      <w:r>
        <w:rPr>
          <w:rFonts w:ascii="Times New Roman" w:cs="Times New Roman" w:eastAsia="Times New Roman" w:hAnsi="Times New Roman"/>
          <w:sz w:val="24"/>
          <w:szCs w:val="24"/>
        </w:rPr>
        <w:t xml:space="preserve">1,610</w:t>
      </w:r>
      <w:r>
        <w:rPr>
          <w:rFonts w:ascii="David" w:cs="David" w:eastAsia="David" w:hAnsi="David"/>
          <w:sz w:val="24"/>
          <w:szCs w:val="24"/>
          <w:rtl/>
        </w:rPr>
        <w:t xml:space="preserve"> אסירים לנתוני </w:t>
      </w:r>
      <w:r>
        <w:rPr>
          <w:rFonts w:ascii="Times New Roman" w:cs="Times New Roman" w:eastAsia="Times New Roman" w:hAnsi="Times New Roman"/>
          <w:sz w:val="24"/>
          <w:szCs w:val="24"/>
        </w:rPr>
        <w:t xml:space="preserve">690</w:t>
      </w:r>
      <w:r>
        <w:rPr>
          <w:rFonts w:ascii="David" w:cs="David" w:eastAsia="David" w:hAnsi="David"/>
          <w:sz w:val="24"/>
          <w:szCs w:val="24"/>
          <w:rtl/>
        </w:rPr>
        <w:t xml:space="preserve"> אנשי סגל, והראו שמאפייני הסגל ביחידה קשורים לתפיסת הצדק הפרוצדורלי של האסירים מעבר למאפייני האסירים עצמם. בסלובניה, האצין ומשקו (</w:t>
      </w:r>
      <w:r>
        <w:rPr>
          <w:rFonts w:ascii="Times New Roman" w:cs="Times New Roman" w:eastAsia="Times New Roman" w:hAnsi="Times New Roman"/>
          <w:sz w:val="24"/>
          <w:szCs w:val="24"/>
        </w:rPr>
        <w:t xml:space="preserve">2018</w:t>
      </w:r>
      <w:r>
        <w:rPr>
          <w:rFonts w:ascii="David" w:cs="David" w:eastAsia="David" w:hAnsi="David"/>
          <w:sz w:val="24"/>
          <w:szCs w:val="24"/>
          <w:rtl/>
        </w:rPr>
        <w:t xml:space="preserve">) ערכו ראיונות מובנים עם </w:t>
      </w:r>
      <w:r>
        <w:rPr>
          <w:rFonts w:ascii="Times New Roman" w:cs="Times New Roman" w:eastAsia="Times New Roman" w:hAnsi="Times New Roman"/>
          <w:sz w:val="24"/>
          <w:szCs w:val="24"/>
        </w:rPr>
        <w:t xml:space="preserve">193</w:t>
      </w:r>
      <w:r>
        <w:rPr>
          <w:rFonts w:ascii="David" w:cs="David" w:eastAsia="David" w:hAnsi="David"/>
          <w:sz w:val="24"/>
          <w:szCs w:val="24"/>
          <w:rt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jc w:val="both"/>
      </w:pPr>
      <w:r>
        <w:rPr>
          <w:rFonts w:ascii="David" w:cs="David" w:eastAsia="David" w:hAnsi="David"/>
          <w:sz w:val="24"/>
          <w:szCs w:val="24"/>
          <w:rtl/>
        </w:rPr>
        <w:t xml:space="preserve">ממצא נוסף חשוב למחקר הנוכחי. פרנקה ואחרים (</w:t>
      </w:r>
      <w:r>
        <w:rPr>
          <w:rFonts w:ascii="Times New Roman" w:cs="Times New Roman" w:eastAsia="Times New Roman" w:hAnsi="Times New Roman"/>
          <w:sz w:val="24"/>
          <w:szCs w:val="24"/>
        </w:rPr>
        <w:t xml:space="preserve">2010</w:t>
      </w:r>
      <w:r>
        <w:rPr>
          <w:rFonts w:ascii="David" w:cs="David" w:eastAsia="David" w:hAnsi="David"/>
          <w:sz w:val="24"/>
          <w:szCs w:val="24"/>
          <w:rt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סקירת היקף עדכנית סיכמה את הספרות סביב שני צירים, מה מעצב את הלגיטימיות וכיצד היא קשורה לציות, והצביעה על כך שרוב המחקרים נערכו במדינות מערביות מעטות </w:t>
      </w:r>
      <w:r>
        <w:rPr>
          <w:rFonts w:ascii="Times New Roman" w:cs="Times New Roman" w:eastAsia="Times New Roman" w:hAnsi="Times New Roman"/>
          <w:sz w:val="24"/>
          <w:szCs w:val="24"/>
        </w:rPr>
        <w:t xml:space="preserve">(Ryan &amp; Bergin, 2022)</w:t>
      </w:r>
      <w:r>
        <w:rPr>
          <w:rFonts w:ascii="David" w:cs="David" w:eastAsia="David" w:hAnsi="David"/>
          <w:sz w:val="24"/>
          <w:szCs w:val="24"/>
          <w:rtl/>
        </w:rPr>
        <w:t xml:space="preserve">. ביקורת עדכנית על הגישה הפרוצדורלית טוענת שהיא נשענת יותר מדי על יחס הוגן של הסוהרים ופחות מדי על מנגנוני השתתפות של אסירים בקבלת החלטות, שיכולים לקרב את ערכי המוסד לערכי האסירים וליצור ציות נורמטיבי יציב יותר </w:t>
      </w:r>
      <w:r>
        <w:rPr>
          <w:rFonts w:ascii="Times New Roman" w:cs="Times New Roman" w:eastAsia="Times New Roman" w:hAnsi="Times New Roman"/>
          <w:sz w:val="24"/>
          <w:szCs w:val="24"/>
        </w:rPr>
        <w:t xml:space="preserve">(Deambrogio, 2025)</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בישראל, המחקר של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sz w:val="24"/>
          <w:szCs w:val="24"/>
        </w:rPr>
        <w:t xml:space="preserve">4.23</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2"/>
        <w:keepNext/>
        <w:bidi/>
        <w:spacing w:after="120" w:before="240" w:line="360"/>
        <w:jc w:val="right"/>
      </w:pPr>
      <w:r>
        <w:rPr>
          <w:rFonts w:ascii="David" w:cs="David" w:eastAsia="David" w:hAnsi="David"/>
          <w:b/>
          <w:bCs/>
          <w:sz w:val="28"/>
          <w:szCs w:val="28"/>
          <w:rtl/>
        </w:rPr>
        <w:t xml:space="preserve">שאלת המחקר</w:t>
      </w:r>
    </w:p>
    <w:p>
      <w:pPr>
        <w:bidi/>
        <w:spacing w:after="120" w:line="360"/>
        <w:jc w:val="both"/>
      </w:pPr>
      <w:r>
        <w:rPr>
          <w:rFonts w:ascii="David" w:cs="David" w:eastAsia="David" w:hAnsi="David"/>
          <w:sz w:val="24"/>
          <w:szCs w:val="24"/>
          <w:rtl/>
        </w:rPr>
        <w:t xml:space="preserve">שאלת המחקר: באיזו מידה קיים קשר בין רווחה נפשית לבין תפיסת הלגיטימיות של סגל הכליאה בקרב אסירים שפוטים בלבד?</w:t>
      </w:r>
    </w:p>
    <w:p>
      <w:pPr>
        <w:bidi/>
        <w:spacing w:after="120" w:line="360"/>
        <w:jc w:val="both"/>
      </w:pPr>
      <w:r>
        <w:rPr>
          <w:rFonts w:ascii="David" w:cs="David" w:eastAsia="David" w:hAnsi="David"/>
          <w:sz w:val="24"/>
          <w:szCs w:val="24"/>
          <w:rtl/>
        </w:rPr>
        <w:t xml:space="preserve">משתנה תלוי: תפיסת הלגיטימיות של סגל הכליאה. משתנה בלתי תלוי: רווחה נפשית. אוכלוסיית המחקר מתוארת לפי מגדר, גיל, לאום, מספר מאסרים וותק באגף.</w:t>
      </w:r>
    </w:p>
    <w:p>
      <w:pPr>
        <w:bidi/>
        <w:spacing w:after="120" w:line="360"/>
        <w:jc w:val="both"/>
      </w:pPr>
      <w:r>
        <w:rPr>
          <w:rFonts w:ascii="David" w:cs="David" w:eastAsia="David" w:hAnsi="David"/>
          <w:sz w:val="24"/>
          <w:szCs w:val="24"/>
          <w:rtl/>
        </w:rPr>
        <w:t xml:space="preserve">השערת המחקר: יימצא קשר חיובי מובהק בין רווחה נפשית לבין תפיסת הלגיטימיות של הסגל, כך שככל שהרווחה הנפשית גבוהה יותר, הלגיטימיות המיוחסת לסגל גבוהה יותר, ולהפך. ההשערה נשענת על הקשר שנמצא בין יחס הסגל למצוקה נפשית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ועל הקשר בין דלות סביבתית לירידה בלגיטימיות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שיטת המחקר</w:t>
      </w:r>
    </w:p>
    <w:p>
      <w:pPr>
        <w:bidi/>
        <w:spacing w:after="120" w:line="360"/>
        <w:jc w:val="both"/>
      </w:pPr>
      <w:r>
        <w:rPr>
          <w:rFonts w:ascii="David" w:cs="David" w:eastAsia="David" w:hAnsi="David"/>
          <w:sz w:val="24"/>
          <w:szCs w:val="24"/>
          <w:rtl/>
        </w:rPr>
        <w:t xml:space="preserve">המחקר הוא מחקר כמותי מתאמי במערך חתך, המבוסס על ניתוח משני של נתונים סינתטיים. המשתנה התלוי הוא תפיסת הלגיטימיות של סגל הכליאה, והמשתנה הבלתי תלוי הוא הרווחה הנפשית של האסיר. שני המשתנים הם ציוני סולם רציפים בטווח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המחושבים כממוצע פריטי דיווח עצמי, ולצדם משתני רקע המשמשים לתיאור האוכלוסייה.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אמיתי. השיטה נדרשת משום שסקרי אסירים מכילים מידע רגיש שאינו ניתן למסירה לחוקרים חיצוניים. ניתוח של קובץ כזה צפוי להתנהג כמו ניתוח של הסקר האמיתי, אך 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ולכן כל תוצאה בעבודה זו היא תכונה של הקובץ הסינתטי ולא ממצא על אסירים אמיתיים (י' ועקנין, חומרי הקורס, יולי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הקובץ המקורי הוא סקר תנאי המחיה שנערך באגפים הפליליים של שירות בתי הסוהר בין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באוקטובר ל</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בנובמבר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jc w:val="both"/>
      </w:pPr>
      <w:r>
        <w:rPr>
          <w:rFonts w:ascii="David" w:cs="David" w:eastAsia="David" w:hAnsi="David"/>
          <w:sz w:val="24"/>
          <w:szCs w:val="24"/>
          <w:rtl/>
        </w:rPr>
        <w:t xml:space="preserve">בסקר המקורי השתתפו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כלואים פליליים בגירים,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שהם </w:t>
      </w:r>
      <w:r>
        <w:rPr>
          <w:rFonts w:ascii="Times New Roman" w:cs="Times New Roman" w:eastAsia="Times New Roman" w:hAnsi="Times New Roman"/>
          <w:sz w:val="24"/>
          <w:szCs w:val="24"/>
        </w:rPr>
        <w:t xml:space="preserve">41</w:t>
      </w:r>
      <w:r>
        <w:rPr>
          <w:rFonts w:ascii="David" w:cs="David" w:eastAsia="David" w:hAnsi="David"/>
          <w:sz w:val="24"/>
          <w:szCs w:val="24"/>
          <w:rtl/>
        </w:rPr>
        <w:t xml:space="preserve"> אחוזים מכל הכלואים שהיו במצבת האסירים הפעילה באותה עת. השאלונים הועברו על ידי </w:t>
      </w:r>
      <w:r>
        <w:rPr>
          <w:rFonts w:ascii="Times New Roman" w:cs="Times New Roman" w:eastAsia="Times New Roman" w:hAnsi="Times New Roman"/>
          <w:sz w:val="24"/>
          <w:szCs w:val="24"/>
        </w:rPr>
        <w:t xml:space="preserve">196</w:t>
      </w:r>
      <w:r>
        <w:rPr>
          <w:rFonts w:ascii="David" w:cs="David" w:eastAsia="David" w:hAnsi="David"/>
          <w:sz w:val="24"/>
          <w:szCs w:val="24"/>
          <w:rtl/>
        </w:rPr>
        <w:t xml:space="preserve"> מנהלי אגפים וקציני חינוך, ההשתתפות הייתה אנונימית ורצונית, והמחקר אושר על ידי ועדת האתיקה של שירות בתי הסוהר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הקובץ הסינתטי כולל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שורות, מהן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-1,411</w:t>
      </w:r>
      <w:r>
        <w:rPr>
          <w:rFonts w:ascii="David" w:cs="David" w:eastAsia="David" w:hAnsi="David"/>
          <w:sz w:val="24"/>
          <w:szCs w:val="24"/>
          <w:rtl/>
        </w:rPr>
        <w:t xml:space="preserve"> עצורים; הפער הקטן מהמספרים שפורסמו נובע מתהליך הסינתזה (י' ועקנין, חומרי הקורס, יולי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המחקר הנוכחי כולל את השפוטים בלבד </w:t>
      </w:r>
      <w:r>
        <w:rPr>
          <w:rFonts w:ascii="Times New Roman" w:cs="Times New Roman" w:eastAsia="Times New Roman" w:hAnsi="Times New Roman"/>
          <w:sz w:val="24"/>
          <w:szCs w:val="24"/>
        </w:rPr>
        <w:t xml:space="preserve">(N = 2,379)</w:t>
      </w:r>
      <w:r>
        <w:rPr>
          <w:rFonts w:ascii="David" w:cs="David" w:eastAsia="David" w:hAnsi="David"/>
          <w:sz w:val="24"/>
          <w:szCs w:val="24"/>
          <w:rtl/>
        </w:rPr>
        <w:t xml:space="preserve">. רובם המכריע גברים (</w:t>
      </w:r>
      <w:r>
        <w:rPr>
          <w:rFonts w:ascii="Times New Roman" w:cs="Times New Roman" w:eastAsia="Times New Roman" w:hAnsi="Times New Roman"/>
          <w:sz w:val="24"/>
          <w:szCs w:val="24"/>
        </w:rPr>
        <w:t xml:space="preserve">2,302,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96.8</w:t>
      </w:r>
      <w:r>
        <w:rPr>
          <w:rFonts w:ascii="David" w:cs="David" w:eastAsia="David" w:hAnsi="David"/>
          <w:sz w:val="24"/>
          <w:szCs w:val="24"/>
          <w:rtl/>
        </w:rPr>
        <w:t xml:space="preserve"> אחוזים) ומיעוטם נשים (</w:t>
      </w:r>
      <w:r>
        <w:rPr>
          <w:rFonts w:ascii="Times New Roman" w:cs="Times New Roman" w:eastAsia="Times New Roman" w:hAnsi="Times New Roman"/>
          <w:sz w:val="24"/>
          <w:szCs w:val="24"/>
        </w:rPr>
        <w:t xml:space="preserve">77,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3.2</w:t>
      </w:r>
      <w:r>
        <w:rPr>
          <w:rFonts w:ascii="David" w:cs="David" w:eastAsia="David" w:hAnsi="David"/>
          <w:sz w:val="24"/>
          <w:szCs w:val="24"/>
          <w:rtl/>
        </w:rPr>
        <w:t xml:space="preserve"> אחוזים). הגיל הממוצע </w:t>
      </w:r>
      <w:r>
        <w:rPr>
          <w:rFonts w:ascii="Times New Roman" w:cs="Times New Roman" w:eastAsia="Times New Roman" w:hAnsi="Times New Roman"/>
          <w:sz w:val="24"/>
          <w:szCs w:val="24"/>
        </w:rPr>
        <w:t xml:space="preserve">37.9</w:t>
      </w:r>
      <w:r>
        <w:rPr>
          <w:rFonts w:ascii="David" w:cs="David" w:eastAsia="David" w:hAnsi="David"/>
          <w:sz w:val="24"/>
          <w:szCs w:val="24"/>
          <w:rtl/>
        </w:rPr>
        <w:t xml:space="preserve"> שנים (סטיית תקן </w:t>
      </w:r>
      <w:r>
        <w:rPr>
          <w:rFonts w:ascii="Times New Roman" w:cs="Times New Roman" w:eastAsia="Times New Roman" w:hAnsi="Times New Roman"/>
          <w:sz w:val="24"/>
          <w:szCs w:val="24"/>
        </w:rPr>
        <w:t xml:space="preserve">12.0</w:t>
      </w:r>
      <w:r>
        <w:rPr>
          <w:rFonts w:ascii="David" w:cs="David" w:eastAsia="David" w:hAnsi="David"/>
          <w:sz w:val="24"/>
          <w:szCs w:val="24"/>
          <w:rtl/>
        </w:rPr>
        <w:t xml:space="preserve">), בטווח של </w:t>
      </w:r>
      <w:r>
        <w:rPr>
          <w:rFonts w:ascii="Times New Roman" w:cs="Times New Roman" w:eastAsia="Times New Roman" w:hAnsi="Times New Roman"/>
          <w:sz w:val="24"/>
          <w:szCs w:val="24"/>
        </w:rPr>
        <w:t xml:space="preserve">18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82.</w:t>
      </w:r>
      <w:r>
        <w:rPr>
          <w:rFonts w:ascii="David" w:cs="David" w:eastAsia="David" w:hAnsi="David"/>
          <w:sz w:val="24"/>
          <w:szCs w:val="24"/>
          <w:rtl/>
        </w:rPr>
        <w:t xml:space="preserve"> מעט יותר ממחצית (</w:t>
      </w:r>
      <w:r>
        <w:rPr>
          <w:rFonts w:ascii="Times New Roman" w:cs="Times New Roman" w:eastAsia="Times New Roman" w:hAnsi="Times New Roman"/>
          <w:sz w:val="24"/>
          <w:szCs w:val="24"/>
        </w:rPr>
        <w:t xml:space="preserve">1,243,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52.2</w:t>
      </w:r>
      <w:r>
        <w:rPr>
          <w:rFonts w:ascii="David" w:cs="David" w:eastAsia="David" w:hAnsi="David"/>
          <w:sz w:val="24"/>
          <w:szCs w:val="24"/>
          <w:rtl/>
        </w:rPr>
        <w:t xml:space="preserve"> אחוזים) לא יהודים ו</w:t>
      </w:r>
      <w:r>
        <w:rPr>
          <w:rFonts w:ascii="Times New Roman" w:cs="Times New Roman" w:eastAsia="Times New Roman" w:hAnsi="Times New Roman"/>
          <w:sz w:val="24"/>
          <w:szCs w:val="24"/>
        </w:rPr>
        <w:t xml:space="preserve">-1,136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47.8</w:t>
      </w:r>
      <w:r>
        <w:rPr>
          <w:rFonts w:ascii="David" w:cs="David" w:eastAsia="David" w:hAnsi="David"/>
          <w:sz w:val="24"/>
          <w:szCs w:val="24"/>
          <w:rtl/>
        </w:rPr>
        <w:t xml:space="preserve"> אחוזים) יהודים. עבור </w:t>
      </w:r>
      <w:r>
        <w:rPr>
          <w:rFonts w:ascii="Times New Roman" w:cs="Times New Roman" w:eastAsia="Times New Roman" w:hAnsi="Times New Roman"/>
          <w:sz w:val="24"/>
          <w:szCs w:val="24"/>
        </w:rPr>
        <w:t xml:space="preserve">1,162</w:t>
      </w:r>
      <w:r>
        <w:rPr>
          <w:rFonts w:ascii="David" w:cs="David" w:eastAsia="David" w:hAnsi="David"/>
          <w:sz w:val="24"/>
          <w:szCs w:val="24"/>
          <w:rtl/>
        </w:rPr>
        <w:t xml:space="preserve"> מהשפוטים (</w:t>
      </w:r>
      <w:r>
        <w:rPr>
          <w:rFonts w:ascii="Times New Roman" w:cs="Times New Roman" w:eastAsia="Times New Roman" w:hAnsi="Times New Roman"/>
          <w:sz w:val="24"/>
          <w:szCs w:val="24"/>
        </w:rPr>
        <w:t xml:space="preserve">48.8</w:t>
      </w:r>
      <w:r>
        <w:rPr>
          <w:rFonts w:ascii="David" w:cs="David" w:eastAsia="David" w:hAnsi="David"/>
          <w:sz w:val="24"/>
          <w:szCs w:val="24"/>
          <w:rtl/>
        </w:rPr>
        <w:t xml:space="preserve"> אחוזים) זהו המאסר הראשון, </w:t>
      </w:r>
      <w:r>
        <w:rPr>
          <w:rFonts w:ascii="Times New Roman" w:cs="Times New Roman" w:eastAsia="Times New Roman" w:hAnsi="Times New Roman"/>
          <w:sz w:val="24"/>
          <w:szCs w:val="24"/>
        </w:rPr>
        <w:t xml:space="preserve">528</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22.2</w:t>
      </w:r>
      <w:r>
        <w:rPr>
          <w:rFonts w:ascii="David" w:cs="David" w:eastAsia="David" w:hAnsi="David"/>
          <w:sz w:val="24"/>
          <w:szCs w:val="24"/>
          <w:rtl/>
        </w:rPr>
        <w:t xml:space="preserve"> אחוזים) במאסרם השני ו</w:t>
      </w:r>
      <w:r>
        <w:rPr>
          <w:rFonts w:ascii="Times New Roman" w:cs="Times New Roman" w:eastAsia="Times New Roman" w:hAnsi="Times New Roman"/>
          <w:sz w:val="24"/>
          <w:szCs w:val="24"/>
        </w:rPr>
        <w:t xml:space="preserve">-689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29.0</w:t>
      </w:r>
      <w:r>
        <w:rPr>
          <w:rFonts w:ascii="David" w:cs="David" w:eastAsia="David" w:hAnsi="David"/>
          <w:sz w:val="24"/>
          <w:szCs w:val="24"/>
          <w:rtl/>
        </w:rPr>
        <w:t xml:space="preserve"> אחוזים) במאסר שלישי ומעלה. רוב השפוטים (</w:t>
      </w:r>
      <w:r>
        <w:rPr>
          <w:rFonts w:ascii="Times New Roman" w:cs="Times New Roman" w:eastAsia="Times New Roman" w:hAnsi="Times New Roman"/>
          <w:sz w:val="24"/>
          <w:szCs w:val="24"/>
        </w:rPr>
        <w:t xml:space="preserve">1,624,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68.3</w:t>
      </w:r>
      <w:r>
        <w:rPr>
          <w:rFonts w:ascii="David" w:cs="David" w:eastAsia="David" w:hAnsi="David"/>
          <w:sz w:val="24"/>
          <w:szCs w:val="24"/>
          <w:rtl/>
        </w:rPr>
        <w:t xml:space="preserve"> אחוזים) שוהים באגף הנוכחי יותר משלושה חודשים, </w:t>
      </w:r>
      <w:r>
        <w:rPr>
          <w:rFonts w:ascii="Times New Roman" w:cs="Times New Roman" w:eastAsia="Times New Roman" w:hAnsi="Times New Roman"/>
          <w:sz w:val="24"/>
          <w:szCs w:val="24"/>
        </w:rPr>
        <w:t xml:space="preserve">480</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20.2</w:t>
      </w:r>
      <w:r>
        <w:rPr>
          <w:rFonts w:ascii="David" w:cs="David" w:eastAsia="David" w:hAnsi="David"/>
          <w:sz w:val="24"/>
          <w:szCs w:val="24"/>
          <w:rtl/>
        </w:rPr>
        <w:t xml:space="preserve"> אחוזים) בין חודש לשלושה חודשים, </w:t>
      </w:r>
      <w:r>
        <w:rPr>
          <w:rFonts w:ascii="Times New Roman" w:cs="Times New Roman" w:eastAsia="Times New Roman" w:hAnsi="Times New Roman"/>
          <w:sz w:val="24"/>
          <w:szCs w:val="24"/>
        </w:rPr>
        <w:t xml:space="preserve">219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9.2</w:t>
      </w:r>
      <w:r>
        <w:rPr>
          <w:rFonts w:ascii="David" w:cs="David" w:eastAsia="David" w:hAnsi="David"/>
          <w:sz w:val="24"/>
          <w:szCs w:val="24"/>
          <w:rtl/>
        </w:rPr>
        <w:t xml:space="preserve"> אחוזים) בין שבוע לחודש ו</w:t>
      </w:r>
      <w:r>
        <w:rPr>
          <w:rFonts w:ascii="Times New Roman" w:cs="Times New Roman" w:eastAsia="Times New Roman" w:hAnsi="Times New Roman"/>
          <w:sz w:val="24"/>
          <w:szCs w:val="24"/>
        </w:rPr>
        <w:t xml:space="preserve">-56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אחוזים) פחות משבוע. </w:t>
      </w:r>
      <w:r>
        <w:rPr>
          <w:rFonts w:ascii="Times New Roman" w:cs="Times New Roman" w:eastAsia="Times New Roman" w:hAnsi="Times New Roman"/>
          <w:sz w:val="24"/>
          <w:szCs w:val="24"/>
        </w:rPr>
        <w:t xml:space="preserve">486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20.4</w:t>
      </w:r>
      <w:r>
        <w:rPr>
          <w:rFonts w:ascii="David" w:cs="David" w:eastAsia="David" w:hAnsi="David"/>
          <w:sz w:val="24"/>
          <w:szCs w:val="24"/>
          <w:rtl/>
        </w:rPr>
        <w:t xml:space="preserve"> אחוזים) נמצאים במסלול שיקום. ההתפלגות המלאה מובאת בלוח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בפרק הממצאים.</w:t>
      </w:r>
    </w:p>
    <w:p>
      <w:pPr>
        <w:pStyle w:val="Heading2"/>
        <w:keepNext/>
        <w:bidi/>
        <w:spacing w:after="120" w:before="240" w:line="360"/>
        <w:jc w:val="right"/>
      </w:pPr>
      <w:r>
        <w:rPr>
          <w:rFonts w:ascii="David" w:cs="David" w:eastAsia="David" w:hAnsi="David"/>
          <w:b/>
          <w:bCs/>
          <w:sz w:val="28"/>
          <w:szCs w:val="28"/>
          <w:rtl/>
        </w:rPr>
        <w:t xml:space="preserve">כלי המחקר</w:t>
      </w:r>
    </w:p>
    <w:p>
      <w:pPr>
        <w:bidi/>
        <w:spacing w:after="120" w:line="360"/>
        <w:jc w:val="both"/>
      </w:pPr>
      <w:r>
        <w:rPr>
          <w:rFonts w:ascii="David" w:cs="David" w:eastAsia="David" w:hAnsi="David"/>
          <w:sz w:val="24"/>
          <w:szCs w:val="24"/>
          <w:rtl/>
        </w:rPr>
        <w:t xml:space="preserve">כלי המחקר הוא שאלון הדיווח העצמי של סקר תנאי המחיה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השאלון נבנה על בסיס שאלון אקלים בית הסוהר של מחקר "החיים במשמורת" </w:t>
      </w:r>
      <w:r>
        <w:rPr>
          <w:rFonts w:ascii="Times New Roman" w:cs="Times New Roman" w:eastAsia="Times New Roman" w:hAnsi="Times New Roman"/>
          <w:sz w:val="24"/>
          <w:szCs w:val="24"/>
        </w:rPr>
        <w:t xml:space="preserve">(Life in Custody)</w:t>
      </w:r>
      <w:r>
        <w:rPr>
          <w:rFonts w:ascii="David" w:cs="David" w:eastAsia="David" w:hAnsi="David"/>
          <w:sz w:val="24"/>
          <w:szCs w:val="24"/>
          <w:rtl/>
        </w:rPr>
        <w:t xml:space="preserve"> ההולנדי, הכולל </w:t>
      </w:r>
      <w:r>
        <w:rPr>
          <w:rFonts w:ascii="Times New Roman" w:cs="Times New Roman" w:eastAsia="Times New Roman" w:hAnsi="Times New Roman"/>
          <w:sz w:val="24"/>
          <w:szCs w:val="24"/>
        </w:rPr>
        <w:t xml:space="preserve">136</w:t>
      </w:r>
      <w:r>
        <w:rPr>
          <w:rFonts w:ascii="David" w:cs="David" w:eastAsia="David" w:hAnsi="David"/>
          <w:sz w:val="24"/>
          <w:szCs w:val="24"/>
          <w:rtl/>
        </w:rPr>
        <w:t xml:space="preserve"> פריטים בשישה תחומים: אוטונומיה, ביטחון, יחסים בבית הסוהר, קשר עם העולם שבחוץ, פעילויות משמעותיות ותנאים פיזיים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לפי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מהימנויות הנושאים בשאלון המקורי נעו בין </w:t>
      </w:r>
      <w:r>
        <w:rPr>
          <w:rFonts w:ascii="Times New Roman" w:cs="Times New Roman" w:eastAsia="Times New Roman" w:hAnsi="Times New Roman"/>
          <w:sz w:val="24"/>
          <w:szCs w:val="24"/>
        </w:rPr>
        <w:t xml:space="preserve">0.78</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-0.90.</w:t>
      </w:r>
      <w:r>
        <w:rPr>
          <w:rFonts w:ascii="David" w:cs="David" w:eastAsia="David" w:hAnsi="David"/>
          <w:sz w:val="24"/>
          <w:szCs w:val="24"/>
          <w:rtl/>
        </w:rPr>
        <w:t xml:space="preserve"> לצורך הסקר הישראלי נבחרו </w:t>
      </w:r>
      <w:r>
        <w:rPr>
          <w:rFonts w:ascii="Times New Roman" w:cs="Times New Roman" w:eastAsia="Times New Roman" w:hAnsi="Times New Roman"/>
          <w:sz w:val="24"/>
          <w:szCs w:val="24"/>
        </w:rPr>
        <w:t xml:space="preserve">39</w:t>
      </w:r>
      <w:r>
        <w:rPr>
          <w:rFonts w:ascii="David" w:cs="David" w:eastAsia="David" w:hAnsi="David"/>
          <w:sz w:val="24"/>
          <w:szCs w:val="24"/>
          <w:rt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ליקרט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(שביעות רצון או הסכמה נמוכה מאוד)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(גבוהה מאוד). מהימנויות תשעת הנושאים בסקר המקורי נעו בין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משתמש בשניים מהנושאים ובמשתני רקע.</w:t>
      </w:r>
    </w:p>
    <w:p>
      <w:pPr>
        <w:bidi/>
        <w:spacing w:after="120" w:line="360"/>
        <w:jc w:val="both"/>
      </w:pPr>
      <w:r>
        <w:rPr>
          <w:rFonts w:ascii="David" w:cs="David" w:eastAsia="David" w:hAnsi="David"/>
          <w:sz w:val="24"/>
          <w:szCs w:val="24"/>
          <w:rt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מהתנאים ללגיטימיות שזיהו ספרקס ובוטומס (</w:t>
      </w:r>
      <w:r>
        <w:rPr>
          <w:rFonts w:ascii="Times New Roman" w:cs="Times New Roman" w:eastAsia="Times New Roman" w:hAnsi="Times New Roman"/>
          <w:sz w:val="24"/>
          <w:szCs w:val="24"/>
        </w:rPr>
        <w:t xml:space="preserve">1995</w:t>
      </w:r>
      <w:r>
        <w:rPr>
          <w:rFonts w:ascii="David" w:cs="David" w:eastAsia="David" w:hAnsi="David"/>
          <w:sz w:val="24"/>
          <w:szCs w:val="24"/>
          <w:rtl/>
        </w:rPr>
        <w:t xml:space="preserve">): נגישות של הסגל ואיכות אנושית בשגרה, יחס מכבד, והוגנות פרוצדורלית בטיפול בבקשות. בסקר המקורי מהימנות הסולם הייתה </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י' ועקנין, חומרי הקורס, יולי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שניים מהשלושה, וציון גבוה מבטא לגיטימיות גבוהה.</w:t>
      </w:r>
    </w:p>
    <w:p>
      <w:pPr>
        <w:bidi/>
        <w:spacing w:after="120" w:line="360"/>
        <w:jc w:val="both"/>
      </w:pPr>
      <w:r>
        <w:rPr>
          <w:rFonts w:ascii="David" w:cs="David" w:eastAsia="David" w:hAnsi="David"/>
          <w:sz w:val="24"/>
          <w:szCs w:val="24"/>
          <w:rt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sz w:val="24"/>
          <w:szCs w:val="24"/>
        </w:rPr>
        <w:t xml:space="preserve">0.85</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0.82</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י' ועקנין, חומרי הקורס, יולי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jc w:val="both"/>
      </w:pPr>
      <w:r>
        <w:rPr>
          <w:rFonts w:ascii="David" w:cs="David" w:eastAsia="David" w:hAnsi="David"/>
          <w:sz w:val="24"/>
          <w:szCs w:val="24"/>
          <w:rtl/>
        </w:rPr>
        <w:t xml:space="preserve">משתני רקע לתיאור האוכלוסייה. מגדר, גיל בשנים וקבוצת גיל, לאום בשתי קטגוריות (יהודים ולא יהודים), מספר המאסרים כשפוט בשלוש קטגוריות (מאסר ראשון, שני, שלישי ומעלה), ותק באגף בארבע קטגוריות והשתתפות במסלול שיקום (י' ועקנין, חומרי הקורס, יולי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ניתוחים סטטיסטיים</w:t>
      </w:r>
    </w:p>
    <w:p>
      <w:pPr>
        <w:bidi/>
        <w:spacing w:after="120" w:line="360"/>
        <w:jc w:val="both"/>
      </w:pPr>
      <w:r>
        <w:rPr>
          <w:rFonts w:ascii="David" w:cs="David" w:eastAsia="David" w:hAnsi="David"/>
          <w:sz w:val="24"/>
          <w:szCs w:val="24"/>
          <w:rtl/>
        </w:rPr>
        <w:t xml:space="preserve">הנתונים נותחו בתוכנת </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בשלב הראשון סוננו השפוטים בלבד ונבדקה התפלגות סוג האסיר ומשתני הרקע של האוכלוסייה. בשלב השני חושבה סטטיסטיקה תיאורית לשמונת הפריטים ונבדקה מהימנות שני הסולמות באמצעות אלפא של קרונבך, ולאחר מכן חושבו ציוני הסולמות ונבדקו התפלגויותיהם, כולל מבחני נורמליות. בשלב השלישי חושב מתאם פירסון בין הרווחה הנפשית ללגיטימיות, ובשל ההתפלגות המוטה של הלגיטימיות חושב גם מתאם ספירמן, וכן מתאמים בין כל פריט לגיטימיות לבין הרווחה. לבסוף חולקו השפוטים לשלוש רמות לגיטימיות והושוו ממוצעי הרווחה הנפשית ביניהן. רמת המובהקות שנקבעה היא </w:t>
      </w:r>
      <w:r>
        <w:rPr>
          <w:rFonts w:ascii="Times New Roman" w:cs="Times New Roman" w:eastAsia="Times New Roman" w:hAnsi="Times New Roman"/>
          <w:sz w:val="24"/>
          <w:szCs w:val="24"/>
        </w:rPr>
        <w:t xml:space="preserve">p &lt; 0.05</w:t>
      </w:r>
      <w:r>
        <w:rPr>
          <w:rFonts w:ascii="David" w:cs="David" w:eastAsia="David" w:hAnsi="David"/>
          <w:sz w:val="24"/>
          <w:szCs w:val="24"/>
          <w:rtl/>
        </w:rPr>
        <w:t xml:space="preserve">. הפלטים המרכזיים מובאים בנספח א'.</w:t>
      </w:r>
    </w:p>
    <w:p>
      <w:pPr>
        <w:pStyle w:val="Heading1"/>
        <w:pageBreakBefore/>
        <w:bidi/>
        <w:spacing w:after="240" w:before="0" w:line="360"/>
        <w:jc w:val="right"/>
      </w:pPr>
      <w:r>
        <w:rPr>
          <w:rFonts w:ascii="David" w:cs="David" w:eastAsia="David" w:hAnsi="David"/>
          <w:b/>
          <w:bCs/>
          <w:sz w:val="32"/>
          <w:szCs w:val="32"/>
          <w:rtl/>
        </w:rPr>
        <w:t xml:space="preserve">ממצאים</w:t>
      </w:r>
    </w:p>
    <w:p>
      <w:pPr>
        <w:bidi/>
        <w:spacing w:after="120" w:line="360"/>
        <w:jc w:val="both"/>
      </w:pPr>
      <w:r>
        <w:rPr>
          <w:rFonts w:ascii="David" w:cs="David" w:eastAsia="David" w:hAnsi="David"/>
          <w:sz w:val="24"/>
          <w:szCs w:val="24"/>
          <w:rtl/>
        </w:rPr>
        <w:t xml:space="preserve">הפרק מציג את הממצאים בסדר הניתוחים: תיאור האוכלוסייה, סטטיסטיקה תיאורית של הפריטים, מהימנות הסולמות, ממוצעי הסולמות, ולבסוף המתאם בין רווחה נפשית ללגיטימיות והצגת הממצא.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1</w:t>
      </w:r>
      <w:r>
        <w:rPr>
          <w:rFonts w:ascii="David" w:cs="David" w:eastAsia="David" w:hAnsi="David"/>
          <w:b/>
          <w:bCs/>
          <w:sz w:val="24"/>
          <w:szCs w:val="24"/>
          <w:rt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100.0</w:t>
            </w:r>
          </w:p>
        </w:tc>
      </w:tr>
    </w:tbl>
    <w:p>
      <w:pPr>
        <w:bidi/>
        <w:spacing w:after="200" w:before="60" w:line="276"/>
        <w:jc w:val="right"/>
      </w:pP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עולה כי כמעט שני שלישים מהמשיבים הם שפוטים, בדומה לשיעור של </w:t>
      </w:r>
      <w:r>
        <w:rPr>
          <w:rFonts w:ascii="Times New Roman" w:cs="Times New Roman" w:eastAsia="Times New Roman" w:hAnsi="Times New Roman"/>
          <w:sz w:val="24"/>
          <w:szCs w:val="24"/>
        </w:rPr>
        <w:t xml:space="preserve">62.3</w:t>
      </w:r>
      <w:r>
        <w:rPr>
          <w:rFonts w:ascii="David" w:cs="David" w:eastAsia="David" w:hAnsi="David"/>
          <w:sz w:val="24"/>
          <w:szCs w:val="24"/>
          <w:rtl/>
        </w:rPr>
        <w:t xml:space="preserve"> אחוזים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כל הניתוחים מכאן ואילך נערכו על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השפוטים בלבד. 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מציג את מאפייני הרקע שלהם.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2</w:t>
      </w:r>
      <w:r>
        <w:rPr>
          <w:rFonts w:ascii="David" w:cs="David" w:eastAsia="David" w:hAnsi="David"/>
          <w:b/>
          <w:bCs/>
          <w:sz w:val="24"/>
          <w:szCs w:val="24"/>
          <w:rtl/>
        </w:rPr>
        <w:t xml:space="preserve">: מאפייני הרקע של השפוטים </w:t>
      </w:r>
      <w:r>
        <w:rPr>
          <w:rFonts w:ascii="Times New Roman" w:cs="Times New Roman" w:eastAsia="Times New Roman" w:hAnsi="Times New Roman"/>
          <w:b/>
          <w:bCs/>
          <w:sz w:val="24"/>
          <w:szCs w:val="24"/>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18</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40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60</w:t>
            </w:r>
            <w:r>
              <w:rPr>
                <w:rFonts w:ascii="David" w:cs="David" w:eastAsia="David" w:hAnsi="David"/>
                <w:b w:val="false"/>
                <w:bCs w:val="false"/>
                <w:sz w:val="22"/>
                <w:szCs w:val="22"/>
                <w:rt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79.6</w:t>
            </w:r>
          </w:p>
        </w:tc>
      </w:tr>
    </w:tbl>
    <w:p>
      <w:pPr>
        <w:bidi/>
        <w:spacing w:after="200" w:before="60" w:line="276"/>
        <w:jc w:val="right"/>
      </w:pP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ניתן ללמוד כי אוכלוסיית השפוטים היא בעיקרה גברים בגילי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59,</w:t>
      </w:r>
      <w:r>
        <w:rPr>
          <w:rFonts w:ascii="David" w:cs="David" w:eastAsia="David" w:hAnsi="David"/>
          <w:sz w:val="24"/>
          <w:szCs w:val="24"/>
          <w:rt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סטטיסטיקה תיאורית של הפריטים</w:t>
      </w:r>
    </w:p>
    <w:p>
      <w:pPr>
        <w:bidi/>
        <w:spacing w:after="120" w:line="360"/>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3</w:t>
      </w:r>
      <w:r>
        <w:rPr>
          <w:rFonts w:ascii="David" w:cs="David" w:eastAsia="David" w:hAnsi="David"/>
          <w:b/>
          <w:bCs/>
          <w:sz w:val="24"/>
          <w:szCs w:val="24"/>
          <w:rt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w:t>
            </w:r>
          </w:p>
        </w:tc>
      </w:tr>
    </w:tbl>
    <w:p>
      <w:pPr>
        <w:bidi/>
        <w:spacing w:after="200" w:before="60" w:line="276"/>
        <w:jc w:val="right"/>
      </w:pPr>
      <w:r>
        <w:rPr>
          <w:rFonts w:ascii="David" w:cs="David" w:eastAsia="David" w:hAnsi="David"/>
          <w:sz w:val="20"/>
          <w:szCs w:val="20"/>
          <w:rtl/>
        </w:rPr>
        <w:t xml:space="preserve">הערה. כל הפריטים נמדדו בסולם של </w:t>
      </w:r>
      <w:r>
        <w:rPr>
          <w:rFonts w:ascii="Times New Roman" w:cs="Times New Roman" w:eastAsia="Times New Roman" w:hAnsi="Times New Roman"/>
          <w:sz w:val="20"/>
          <w:szCs w:val="20"/>
        </w:rPr>
        <w:t xml:space="preserve">1</w:t>
      </w:r>
      <w:r>
        <w:rPr>
          <w:rFonts w:ascii="David" w:cs="David" w:eastAsia="David" w:hAnsi="David"/>
          <w:sz w:val="20"/>
          <w:szCs w:val="20"/>
          <w:rtl/>
        </w:rPr>
        <w:t xml:space="preserve"> עד </w:t>
      </w:r>
      <w:r>
        <w:rPr>
          <w:rFonts w:ascii="Times New Roman" w:cs="Times New Roman" w:eastAsia="Times New Roman" w:hAnsi="Times New Roman"/>
          <w:sz w:val="20"/>
          <w:szCs w:val="20"/>
        </w:rPr>
        <w:t xml:space="preserve">5.</w:t>
      </w:r>
      <w:r>
        <w:rPr>
          <w:rFonts w:ascii="David" w:cs="David" w:eastAsia="David" w:hAnsi="David"/>
          <w:sz w:val="20"/>
          <w:szCs w:val="20"/>
          <w:rtl/>
        </w:rPr>
        <w:t xml:space="preserve"> מקור: פלט </w:t>
      </w:r>
      <w:r>
        <w:rPr>
          <w:rFonts w:ascii="Times New Roman" w:cs="Times New Roman" w:eastAsia="Times New Roman" w:hAnsi="Times New Roman"/>
          <w:sz w:val="20"/>
          <w:szCs w:val="20"/>
        </w:rPr>
        <w:t xml:space="preserve">Frequencies</w:t>
      </w:r>
      <w:r>
        <w:rPr>
          <w:rFonts w:ascii="David" w:cs="David" w:eastAsia="David" w:hAnsi="David"/>
          <w:sz w:val="20"/>
          <w:szCs w:val="20"/>
          <w:rtl/>
        </w:rPr>
        <w:t xml:space="preserve">, נספח א'.</w:t>
      </w: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sz w:val="24"/>
          <w:szCs w:val="24"/>
        </w:rPr>
        <w:t xml:space="preserve">4.44</w:t>
      </w:r>
      <w:r>
        <w:rPr>
          <w:rFonts w:ascii="David" w:cs="David" w:eastAsia="David" w:hAnsi="David"/>
          <w:sz w:val="24"/>
          <w:szCs w:val="24"/>
          <w:rt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sz w:val="24"/>
          <w:szCs w:val="24"/>
        </w:rPr>
        <w:t xml:space="preserve">3.58</w:t>
      </w:r>
      <w:r>
        <w:rPr>
          <w:rFonts w:ascii="David" w:cs="David" w:eastAsia="David" w:hAnsi="David"/>
          <w:sz w:val="24"/>
          <w:szCs w:val="24"/>
          <w:rt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-4.4</w:t>
      </w:r>
      <w:r>
        <w:rPr>
          <w:rFonts w:ascii="David" w:cs="David" w:eastAsia="David" w:hAnsi="David"/>
          <w:sz w:val="24"/>
          <w:szCs w:val="24"/>
          <w:rtl/>
        </w:rPr>
        <w:t xml:space="preserve"> וממוצע פריטי הבריאות והרווחה בין </w:t>
      </w:r>
      <w:r>
        <w:rPr>
          <w:rFonts w:ascii="Times New Roman" w:cs="Times New Roman" w:eastAsia="Times New Roman" w:hAnsi="Times New Roman"/>
          <w:sz w:val="24"/>
          <w:szCs w:val="24"/>
        </w:rPr>
        <w:t xml:space="preserve">3.6</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לפריט הטיפול בבקשות </w:t>
      </w:r>
      <w:r>
        <w:rPr>
          <w:rFonts w:ascii="Times New Roman" w:cs="Times New Roman" w:eastAsia="Times New Roman" w:hAnsi="Times New Roman"/>
          <w:sz w:val="24"/>
          <w:szCs w:val="24"/>
        </w:rPr>
        <w:t xml:space="preserve">227</w:t>
      </w:r>
      <w:r>
        <w:rPr>
          <w:rFonts w:ascii="David" w:cs="David" w:eastAsia="David" w:hAnsi="David"/>
          <w:sz w:val="24"/>
          <w:szCs w:val="24"/>
          <w:rt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rPr>
        <w:t xml:space="preserve">מהימנות הסולמות</w:t>
      </w:r>
    </w:p>
    <w:p>
      <w:pPr>
        <w:bidi/>
        <w:spacing w:after="120" w:line="360"/>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מציג את הרכב שני הסולמות, מקדמי אלפא של קרונבך ומתאמי הפריט עם יתר הסולם.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4</w:t>
      </w:r>
      <w:r>
        <w:rPr>
          <w:rFonts w:ascii="David" w:cs="David" w:eastAsia="David" w:hAnsi="David"/>
          <w:b/>
          <w:bCs/>
          <w:sz w:val="24"/>
          <w:szCs w:val="24"/>
          <w:rt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2,114</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2,379</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rPr>
        <w:t xml:space="preserve">הערה. מתאמים בין פריטי הלגיטימיות: </w:t>
      </w:r>
      <w:r>
        <w:rPr>
          <w:rFonts w:ascii="Times New Roman" w:cs="Times New Roman" w:eastAsia="Times New Roman" w:hAnsi="Times New Roman"/>
          <w:sz w:val="20"/>
          <w:szCs w:val="20"/>
        </w:rPr>
        <w:t xml:space="preserve">0.55</w:t>
      </w:r>
      <w:r>
        <w:rPr>
          <w:rFonts w:ascii="David" w:cs="David" w:eastAsia="David" w:hAnsi="David"/>
          <w:sz w:val="20"/>
          <w:szCs w:val="20"/>
          <w:rtl/>
        </w:rPr>
        <w:t xml:space="preserve"> (דיבור עם סוהרים וכבוד), </w:t>
      </w:r>
      <w:r>
        <w:rPr>
          <w:rFonts w:ascii="Times New Roman" w:cs="Times New Roman" w:eastAsia="Times New Roman" w:hAnsi="Times New Roman"/>
          <w:sz w:val="20"/>
          <w:szCs w:val="20"/>
        </w:rPr>
        <w:t xml:space="preserve">0.33</w:t>
      </w:r>
      <w:r>
        <w:rPr>
          <w:rFonts w:ascii="David" w:cs="David" w:eastAsia="David" w:hAnsi="David"/>
          <w:sz w:val="20"/>
          <w:szCs w:val="20"/>
          <w:rtl/>
        </w:rPr>
        <w:t xml:space="preserve"> (דיבור ובקשות), </w:t>
      </w:r>
      <w:r>
        <w:rPr>
          <w:rFonts w:ascii="Times New Roman" w:cs="Times New Roman" w:eastAsia="Times New Roman" w:hAnsi="Times New Roman"/>
          <w:sz w:val="20"/>
          <w:szCs w:val="20"/>
        </w:rPr>
        <w:t xml:space="preserve">0.37</w:t>
      </w:r>
      <w:r>
        <w:rPr>
          <w:rFonts w:ascii="David" w:cs="David" w:eastAsia="David" w:hAnsi="David"/>
          <w:sz w:val="20"/>
          <w:szCs w:val="20"/>
          <w:rtl/>
        </w:rPr>
        <w:t xml:space="preserve"> (כבוד ובקשות). מקור: פלט </w:t>
      </w:r>
      <w:r>
        <w:rPr>
          <w:rFonts w:ascii="Times New Roman" w:cs="Times New Roman" w:eastAsia="Times New Roman" w:hAnsi="Times New Roman"/>
          <w:sz w:val="20"/>
          <w:szCs w:val="20"/>
        </w:rPr>
        <w:t xml:space="preserve">Reliability</w:t>
      </w:r>
      <w:r>
        <w:rPr>
          <w:rFonts w:ascii="David" w:cs="David" w:eastAsia="David" w:hAnsi="David"/>
          <w:sz w:val="20"/>
          <w:szCs w:val="20"/>
          <w:rtl/>
        </w:rPr>
        <w:t xml:space="preserve">, נספח א'.</w:t>
      </w: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ניתן ללמוד כי סולם הרווחה הנפשית מהימן (α =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מהסף המקובל של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אך זהה למהימנות שדווחה לקובץ הסינתטי וקרובה ל</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שנמצאה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י' ועקנין, חומרי הקורס, יולי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לסולם שלושה פריטים בלבד, ומקדם אלפא רגיש למספר הפריטים. שני הפריטים העוסקים ביחס הישיר של הסוהרים, האפשרות לדבר איתם והיחס המכבד, קשורים זה לזה בחוזקה (</w:t>
      </w:r>
      <w:r>
        <w:rPr>
          <w:rFonts w:ascii="Times New Roman" w:cs="Times New Roman" w:eastAsia="Times New Roman" w:hAnsi="Times New Roman"/>
          <w:sz w:val="24"/>
          <w:szCs w:val="24"/>
        </w:rPr>
        <w:t xml:space="preserve">0.55</w:t>
      </w:r>
      <w:r>
        <w:rPr>
          <w:rFonts w:ascii="David" w:cs="David" w:eastAsia="David" w:hAnsi="David"/>
          <w:sz w:val="24"/>
          <w:szCs w:val="24"/>
          <w:rtl/>
        </w:rPr>
        <w:t xml:space="preserve">), ואילו פריט הטיפול בבקשות קשור אליהם פחות, והסרתו הייתה מעלה את האלפא ל</w:t>
      </w:r>
      <w:r>
        <w:rPr>
          <w:rFonts w:ascii="Times New Roman" w:cs="Times New Roman" w:eastAsia="Times New Roman" w:hAnsi="Times New Roman"/>
          <w:sz w:val="24"/>
          <w:szCs w:val="24"/>
        </w:rPr>
        <w:t xml:space="preserve">-0.69.</w:t>
      </w:r>
      <w:r>
        <w:rPr>
          <w:rFonts w:ascii="David" w:cs="David" w:eastAsia="David" w:hAnsi="David"/>
          <w:sz w:val="24"/>
          <w:szCs w:val="24"/>
          <w:rtl/>
        </w:rPr>
        <w:t xml:space="preserve"> הוחלט להשאירו, משום שהטיפול בבקשות הוא ליבת ההוגנות הפרוצדורלית אצל ספרקס ובוטומס (</w:t>
      </w:r>
      <w:r>
        <w:rPr>
          <w:rFonts w:ascii="Times New Roman" w:cs="Times New Roman" w:eastAsia="Times New Roman" w:hAnsi="Times New Roman"/>
          <w:sz w:val="24"/>
          <w:szCs w:val="24"/>
        </w:rPr>
        <w:t xml:space="preserve">1995</w:t>
      </w:r>
      <w:r>
        <w:rPr>
          <w:rFonts w:ascii="David" w:cs="David" w:eastAsia="David" w:hAnsi="David"/>
          <w:sz w:val="24"/>
          <w:szCs w:val="24"/>
          <w:rt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rPr>
        <w:t xml:space="preserve">ממוצעי הסולמות</w:t>
      </w:r>
    </w:p>
    <w:p>
      <w:pPr>
        <w:bidi/>
        <w:spacing w:after="120" w:line="360"/>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5</w:t>
      </w:r>
      <w:r>
        <w:rPr>
          <w:rFonts w:ascii="David" w:cs="David" w:eastAsia="David" w:hAnsi="David"/>
          <w:b/>
          <w:bCs/>
          <w:sz w:val="24"/>
          <w:szCs w:val="24"/>
          <w:rt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w:t>
            </w:r>
          </w:p>
        </w:tc>
      </w:tr>
    </w:tbl>
    <w:p>
      <w:pPr>
        <w:bidi/>
        <w:spacing w:after="200" w:before="60" w:line="276"/>
        <w:jc w:val="right"/>
      </w:pPr>
      <w:r>
        <w:rPr>
          <w:rFonts w:ascii="David" w:cs="David" w:eastAsia="David" w:hAnsi="David"/>
          <w:sz w:val="20"/>
          <w:szCs w:val="20"/>
          <w:rtl/>
        </w:rPr>
        <w:t xml:space="preserve">הערה. מבחני קולמוגורוב-סמירנוב ושפירו-וילק מובהקים לשני המשתנים </w:t>
      </w:r>
      <w:r>
        <w:rPr>
          <w:rFonts w:ascii="Times New Roman" w:cs="Times New Roman" w:eastAsia="Times New Roman" w:hAnsi="Times New Roman"/>
          <w:sz w:val="20"/>
          <w:szCs w:val="20"/>
        </w:rPr>
        <w:t xml:space="preserve">(p &lt; 0.001)</w:t>
      </w:r>
      <w:r>
        <w:rPr>
          <w:rFonts w:ascii="David" w:cs="David" w:eastAsia="David" w:hAnsi="David"/>
          <w:sz w:val="20"/>
          <w:szCs w:val="20"/>
          <w:rtl/>
        </w:rPr>
        <w:t xml:space="preserve">. מקור: פלטי </w:t>
      </w:r>
      <w:r>
        <w:rPr>
          <w:rFonts w:ascii="Times New Roman" w:cs="Times New Roman" w:eastAsia="Times New Roman" w:hAnsi="Times New Roman"/>
          <w:sz w:val="20"/>
          <w:szCs w:val="20"/>
        </w:rPr>
        <w:t xml:space="preserve">Descriptives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Explore</w:t>
      </w:r>
      <w:r>
        <w:rPr>
          <w:rFonts w:ascii="David" w:cs="David" w:eastAsia="David" w:hAnsi="David"/>
          <w:sz w:val="20"/>
          <w:szCs w:val="20"/>
          <w:rtl/>
        </w:rPr>
        <w:t xml:space="preserve">, נספח א'.</w:t>
      </w: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עולה כי ממוצע הלגיטימיות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גבוה ומתקרב לתקרת הסולם, בעוד ממוצע הרווחה הנפשית (</w:t>
      </w:r>
      <w:r>
        <w:rPr>
          <w:rFonts w:ascii="Times New Roman" w:cs="Times New Roman" w:eastAsia="Times New Roman" w:hAnsi="Times New Roman"/>
          <w:sz w:val="24"/>
          <w:szCs w:val="24"/>
        </w:rPr>
        <w:t xml:space="preserve">3.78</w:t>
      </w:r>
      <w:r>
        <w:rPr>
          <w:rFonts w:ascii="David" w:cs="David" w:eastAsia="David" w:hAnsi="David"/>
          <w:sz w:val="24"/>
          <w:szCs w:val="24"/>
          <w:rt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sz w:val="24"/>
          <w:szCs w:val="24"/>
        </w:rPr>
        <w:t xml:space="preserve">4.28</w:t>
      </w:r>
      <w:r>
        <w:rPr>
          <w:rFonts w:ascii="David" w:cs="David" w:eastAsia="David" w:hAnsi="David"/>
          <w:sz w:val="24"/>
          <w:szCs w:val="24"/>
          <w:rtl/>
        </w:rPr>
        <w:t xml:space="preserve"> ללגיטימיות ו</w:t>
      </w:r>
      <w:r>
        <w:rPr>
          <w:rFonts w:ascii="Times New Roman" w:cs="Times New Roman" w:eastAsia="Times New Roman" w:hAnsi="Times New Roman"/>
          <w:sz w:val="24"/>
          <w:szCs w:val="24"/>
        </w:rPr>
        <w:t xml:space="preserve">-3.84</w:t>
      </w:r>
      <w:r>
        <w:rPr>
          <w:rFonts w:ascii="David" w:cs="David" w:eastAsia="David" w:hAnsi="David"/>
          <w:sz w:val="24"/>
          <w:szCs w:val="24"/>
          <w:rtl/>
        </w:rPr>
        <w:t xml:space="preserve"> לבריאות ולרווחה נפשית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פירסון עדיין תקף, אך כדי לחזק את הביטחון בממצא חושב לצדו גם מתאם ספירמן.</w:t>
      </w:r>
    </w:p>
    <w:p>
      <w:pPr>
        <w:pStyle w:val="Heading2"/>
        <w:keepNext/>
        <w:bidi/>
        <w:spacing w:after="120" w:before="240" w:line="360"/>
        <w:jc w:val="right"/>
      </w:pPr>
      <w:r>
        <w:rPr>
          <w:rFonts w:ascii="David" w:cs="David" w:eastAsia="David" w:hAnsi="David"/>
          <w:b/>
          <w:bCs/>
          <w:sz w:val="28"/>
          <w:szCs w:val="28"/>
          <w:rtl/>
        </w:rPr>
        <w:t xml:space="preserve">הקשר בין רווחה נפשית ללגיטימיות</w:t>
      </w:r>
    </w:p>
    <w:p>
      <w:pPr>
        <w:bidi/>
        <w:spacing w:after="120" w:line="360"/>
        <w:jc w:val="both"/>
      </w:pPr>
      <w:r>
        <w:rPr>
          <w:rFonts w:ascii="David" w:cs="David" w:eastAsia="David" w:hAnsi="David"/>
          <w:sz w:val="24"/>
          <w:szCs w:val="24"/>
          <w:rtl/>
        </w:rPr>
        <w:t xml:space="preserve">כדי לבחון את השערת המחקר חושבו מתאמי פירסון וספירמן בין ציון הרווחה הנפשית לציון הלגיטימיות, וכן מתאמי ספירמן בין הרווחה לכל אחד מפריטי הלגיטימיות. 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6</w:t>
      </w:r>
      <w:r>
        <w:rPr>
          <w:rFonts w:ascii="David" w:cs="David" w:eastAsia="David" w:hAnsi="David"/>
          <w:b/>
          <w:bCs/>
          <w:sz w:val="24"/>
          <w:szCs w:val="24"/>
          <w:rtl/>
        </w:rPr>
        <w:t xml:space="preserve">: מתאמים בין רווחה נפשית לבין לגיטימיות הסגל ופריטיה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פירסון </w:t>
            </w:r>
            <w:r>
              <w:rPr>
                <w:rFonts w:ascii="Times New Roman" w:cs="Times New Roman" w:eastAsia="Times New Roman" w:hAnsi="Times New Roman"/>
                <w:b/>
                <w:bCs/>
                <w:sz w:val="22"/>
                <w:szCs w:val="22"/>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ספירמן </w:t>
            </w:r>
            <w:r>
              <w:rPr>
                <w:rFonts w:ascii="Times New Roman" w:cs="Times New Roman" w:eastAsia="Times New Roman" w:hAnsi="Times New Roman"/>
                <w:b/>
                <w:bCs/>
                <w:sz w:val="22"/>
                <w:szCs w:val="22"/>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bidi/>
        <w:spacing w:after="200" w:before="60" w:line="276"/>
        <w:jc w:val="right"/>
      </w:pPr>
      <w:r>
        <w:rPr>
          <w:rFonts w:ascii="David" w:cs="David" w:eastAsia="David" w:hAnsi="David"/>
          <w:sz w:val="20"/>
          <w:szCs w:val="20"/>
          <w:rtl/>
        </w:rPr>
        <w:t xml:space="preserve">מקור: פלטי </w:t>
      </w:r>
      <w:r>
        <w:rPr>
          <w:rFonts w:ascii="Times New Roman" w:cs="Times New Roman" w:eastAsia="Times New Roman" w:hAnsi="Times New Roman"/>
          <w:sz w:val="20"/>
          <w:szCs w:val="20"/>
        </w:rPr>
        <w:t xml:space="preserve">Correlations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Nonparametric Correlations</w:t>
      </w:r>
      <w:r>
        <w:rPr>
          <w:rFonts w:ascii="David" w:cs="David" w:eastAsia="David" w:hAnsi="David"/>
          <w:sz w:val="20"/>
          <w:szCs w:val="20"/>
          <w:rtl/>
        </w:rPr>
        <w:t xml:space="preserve">, נספח א'.</w:t>
      </w: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ניתן ללמוד כי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ככל שהשפוט מדווח על רווחה נפשית גבוהה יותר, כך הוא מייחס לסגל לגיטימיות גבוהה יותר, ולהפך. מתאם ספירמן (</w:t>
      </w:r>
      <w:r>
        <w:rPr>
          <w:rFonts w:ascii="Times New Roman" w:cs="Times New Roman" w:eastAsia="Times New Roman" w:hAnsi="Times New Roman"/>
          <w:sz w:val="24"/>
          <w:szCs w:val="24"/>
        </w:rPr>
        <w:t xml:space="preserve">0.34</w:t>
      </w:r>
      <w:r>
        <w:rPr>
          <w:rFonts w:ascii="David" w:cs="David" w:eastAsia="David" w:hAnsi="David"/>
          <w:sz w:val="24"/>
          <w:szCs w:val="24"/>
          <w:rtl/>
        </w:rPr>
        <w:t xml:space="preserve">) קרוב מאוד למתאם פירסון,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sz w:val="24"/>
          <w:szCs w:val="24"/>
        </w:rPr>
        <w:t xml:space="preserve">0.29</w:t>
      </w:r>
      <w:r>
        <w:rPr>
          <w:rFonts w:ascii="David" w:cs="David" w:eastAsia="David" w:hAnsi="David"/>
          <w:sz w:val="24"/>
          <w:szCs w:val="24"/>
          <w:rtl/>
        </w:rPr>
        <w:t xml:space="preserve">). ממצא זה מתיישב עם הדגש של ספרקס ובוטומס (</w:t>
      </w:r>
      <w:r>
        <w:rPr>
          <w:rFonts w:ascii="Times New Roman" w:cs="Times New Roman" w:eastAsia="Times New Roman" w:hAnsi="Times New Roman"/>
          <w:sz w:val="24"/>
          <w:szCs w:val="24"/>
        </w:rPr>
        <w:t xml:space="preserve">1995</w:t>
      </w:r>
      <w:r>
        <w:rPr>
          <w:rFonts w:ascii="David" w:cs="David" w:eastAsia="David" w:hAnsi="David"/>
          <w:sz w:val="24"/>
          <w:szCs w:val="24"/>
          <w:rtl/>
        </w:rPr>
        <w:t xml:space="preserve">) על האיכות האנושית של שגרת היום כתנאי ללגיטימיות, ועם הממצא האוסטרלי שלפיו איכות היחסים עם הסגל היא המנגנון שדרכו צדק פרוצדורלי מתורגם לרווחה לאורך זמן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השערת המחקר אוששה. 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7</w:t>
      </w:r>
      <w:r>
        <w:rPr>
          <w:rFonts w:ascii="David" w:cs="David" w:eastAsia="David" w:hAnsi="David"/>
          <w:b/>
          <w:bCs/>
          <w:sz w:val="24"/>
          <w:szCs w:val="24"/>
          <w:rtl/>
        </w:rPr>
        <w:t xml:space="preserve">: ממוצע הרווחה הנפשית לפי רמת הלגיטימיות </w:t>
      </w:r>
      <w:r>
        <w:rPr>
          <w:rFonts w:ascii="Times New Roman" w:cs="Times New Roman" w:eastAsia="Times New Roman" w:hAnsi="Times New Roman"/>
          <w:b/>
          <w:bCs/>
          <w:sz w:val="24"/>
          <w:szCs w:val="24"/>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עד </w:t>
            </w: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3.51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w:t>
            </w:r>
          </w:p>
        </w:tc>
      </w:tr>
    </w:tbl>
    <w:p>
      <w:pPr>
        <w:bidi/>
        <w:spacing w:after="200" w:before="60" w:line="276"/>
        <w:jc w:val="right"/>
      </w:pPr>
    </w:p>
    <w:p>
      <w:pPr>
        <w:bidi/>
        <w:spacing w:after="120" w:line="360"/>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sz w:val="24"/>
          <w:szCs w:val="24"/>
        </w:rPr>
        <w:t xml:space="preserve">3.34,</w:t>
      </w:r>
      <w:r>
        <w:rPr>
          <w:rFonts w:ascii="David" w:cs="David" w:eastAsia="David" w:hAnsi="David"/>
          <w:sz w:val="24"/>
          <w:szCs w:val="24"/>
          <w:rtl/>
        </w:rPr>
        <w:t xml:space="preserve"> ואילו אלו ברמה הגבוהה על </w:t>
      </w:r>
      <w:r>
        <w:rPr>
          <w:rFonts w:ascii="Times New Roman" w:cs="Times New Roman" w:eastAsia="Times New Roman" w:hAnsi="Times New Roman"/>
          <w:sz w:val="24"/>
          <w:szCs w:val="24"/>
        </w:rPr>
        <w:t xml:space="preserve">4.05,</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שהוא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לשם השוואה, אצל אוטי וליבלינג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המרחק בין הסף "הלא בטוח" לסף "הבטוח מינימלית" בממד יחסי הסגל והאסירים הוא חצי נקודה בלבד, ומרחק זה הבחין בין בתי סוהר עם שיעורי אלימות ופגיעה עצמית גבוהים לנמוכים.</w:t>
      </w:r>
    </w:p>
    <w:p>
      <w:pPr>
        <w:bidi/>
        <w:spacing w:after="120" w:line="360"/>
        <w:jc w:val="both"/>
      </w:pPr>
      <w:r>
        <w:rPr>
          <w:rFonts w:ascii="David" w:cs="David" w:eastAsia="David" w:hAnsi="David"/>
          <w:sz w:val="24"/>
          <w:szCs w:val="24"/>
          <w:rtl/>
        </w:rPr>
        <w:t xml:space="preserve">המדרג שבלוח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מאפשר גם להעריך את גודל האפקט במונחים מוכרים: מתאם של </w:t>
      </w:r>
      <w:r>
        <w:rPr>
          <w:rFonts w:ascii="Times New Roman" w:cs="Times New Roman" w:eastAsia="Times New Roman" w:hAnsi="Times New Roman"/>
          <w:sz w:val="24"/>
          <w:szCs w:val="24"/>
        </w:rPr>
        <w:t xml:space="preserve">0.32</w:t>
      </w:r>
      <w:r>
        <w:rPr>
          <w:rFonts w:ascii="David" w:cs="David" w:eastAsia="David" w:hAnsi="David"/>
          <w:sz w:val="24"/>
          <w:szCs w:val="24"/>
          <w:rtl/>
        </w:rPr>
        <w:t xml:space="preserve"> פירושו שהרווחה הנפשית והלגיטימיות חולקות כעשרה אחוזים מהשונות. זהו קשר בינוני, קרוב בעוצמתו לקשרים שנמצאו בין מאפייני האסיר ללגיטימיות באנגליה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ומצביע על כך שרוב השונות בלגיטימיות מוסברת על ידי גורמים אחרים, ובראשם ההוגנות הפרוצדורלית של הסגל עצמו.</w:t>
      </w:r>
    </w:p>
    <w:p>
      <w:pPr>
        <w:pStyle w:val="Heading1"/>
        <w:pageBreakBefore/>
        <w:bidi/>
        <w:spacing w:after="240" w:before="0" w:line="360"/>
        <w:jc w:val="right"/>
      </w:pPr>
      <w:r>
        <w:rPr>
          <w:rFonts w:ascii="David" w:cs="David" w:eastAsia="David" w:hAnsi="David"/>
          <w:b/>
          <w:bCs/>
          <w:sz w:val="32"/>
          <w:szCs w:val="32"/>
          <w:rtl/>
        </w:rPr>
        <w:t xml:space="preserve">דיון</w:t>
      </w:r>
    </w:p>
    <w:p>
      <w:pPr>
        <w:pStyle w:val="Heading2"/>
        <w:keepNext/>
        <w:bidi/>
        <w:spacing w:after="120" w:before="240" w:line="360"/>
        <w:jc w:val="right"/>
      </w:pPr>
      <w:r>
        <w:rPr>
          <w:rFonts w:ascii="David" w:cs="David" w:eastAsia="David" w:hAnsi="David"/>
          <w:b/>
          <w:bCs/>
          <w:sz w:val="28"/>
          <w:szCs w:val="28"/>
          <w:rtl/>
        </w:rPr>
        <w:t xml:space="preserve">רקע למחקר</w:t>
      </w:r>
    </w:p>
    <w:p>
      <w:pPr>
        <w:bidi/>
        <w:spacing w:after="120" w:line="360"/>
        <w:jc w:val="both"/>
      </w:pPr>
      <w:r>
        <w:rPr>
          <w:rFonts w:ascii="David" w:cs="David" w:eastAsia="David" w:hAnsi="David"/>
          <w:sz w:val="24"/>
          <w:szCs w:val="24"/>
          <w:rtl/>
        </w:rPr>
        <w:t xml:space="preserve">המחקר ביקש לבחון באיזו מידה קיים קשר בין רווחה נפשית לבין תפיסת הלגיטימיות של סגל הכליאה בקרב אסירים שפוטים בישראל. הוא נשען על תאוריית הלגיטימיות בבתי סוהר של ספרקס ובוטומס (</w:t>
      </w:r>
      <w:r>
        <w:rPr>
          <w:rFonts w:ascii="Times New Roman" w:cs="Times New Roman" w:eastAsia="Times New Roman" w:hAnsi="Times New Roman"/>
          <w:sz w:val="24"/>
          <w:szCs w:val="24"/>
        </w:rPr>
        <w:t xml:space="preserve">1995</w:t>
      </w:r>
      <w:r>
        <w:rPr>
          <w:rFonts w:ascii="David" w:cs="David" w:eastAsia="David" w:hAnsi="David"/>
          <w:sz w:val="24"/>
          <w:szCs w:val="24"/>
          <w:rtl/>
        </w:rPr>
        <w:t xml:space="preserve">), שלפיה הציות לסמכות נובע מתפיסתה כהוגנת, ועל ספרות ההסתגלות למאסר שתיארה את הפגיעה ברווחה הנפשית כחלק בלתי נפרד מחוויית הכליאה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הנתונים נלקחו מקובץ סינתטי המבוסס על סקר תנאי המחיה של שירות בתי הסוהר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י' ועקנין, חומרי הקורס, יולי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שני ממצאים עיקריים עלו. ראשית, נמצא קשר חיובי מובהק בעוצמה בינונית בין רווחה נפשית ללגיטימיות, בכל שלושת פריטי הלגיטימיות. שנית, הפער ברווחה בין השפוטים ברמת הלגיטימיות הנמוכה לאלו ברמה הגבוהה עומד על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השערת המחקר אוששה.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rPr>
        <w:t xml:space="preserve">רווחה נפשית ולגיטימיות</w:t>
      </w:r>
    </w:p>
    <w:p>
      <w:pPr>
        <w:bidi/>
        <w:spacing w:after="120" w:line="360"/>
        <w:jc w:val="both"/>
      </w:pPr>
      <w:r>
        <w:rPr>
          <w:rFonts w:ascii="David" w:cs="David" w:eastAsia="David" w:hAnsi="David"/>
          <w:sz w:val="24"/>
          <w:szCs w:val="24"/>
          <w:rtl/>
        </w:rPr>
        <w:t xml:space="preserve">הקשר החיובי שנמצא עולה בקנה אחד עם המחקר האוסטרלי, שבו צדק פרוצדורלי ניבא רווחה גבוהה יותר דרך איכות היחסים עם הסגל, ועם המחקר ההולנדי שקדם לו, שבו יחס הוגן מצד הסוהרים ניבא פחות בעיות נפשיות בהמשך המאסר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הממצא ההולנדי שלפיו יחסי הסגל לא ניבאו רווחה כאשר האוטונומיה נכללה במודל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מרמז שהמנגנון עובר דרך תחושת השליטה שיחס הוגן מעניק לאסיר.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מחקר האורך של משוחררי כלא בבוסטון, שבו סביבה של כבוד ואמון בין אסירים לסגל הפחיתה את חוסר האושר בשנה שאחרי השחרור, ואסירים שחוו יחסים תומכים עם הסוהרים פיתחו יחסים תומכים יותר גם בחוץ </w:t>
      </w:r>
      <w:r>
        <w:rPr>
          <w:rFonts w:ascii="Times New Roman" w:cs="Times New Roman" w:eastAsia="Times New Roman" w:hAnsi="Times New Roman"/>
          <w:sz w:val="24"/>
          <w:szCs w:val="24"/>
        </w:rPr>
        <w:t xml:space="preserve">(Schnittker, 2025)</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הממצא מתיישב גם עם מסגרת איכות החיים המוסרית, שלפיה כבוד, אנושיות ויחסים עם הסגל הם הממדים שחשובים ביותר לאסירים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מצוטט אצל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ועם ממצאיהם של פרנקה ואחרים (</w:t>
      </w:r>
      <w:r>
        <w:rPr>
          <w:rFonts w:ascii="Times New Roman" w:cs="Times New Roman" w:eastAsia="Times New Roman" w:hAnsi="Times New Roman"/>
          <w:sz w:val="24"/>
          <w:szCs w:val="24"/>
        </w:rPr>
        <w:t xml:space="preserve">2010</w:t>
      </w:r>
      <w:r>
        <w:rPr>
          <w:rFonts w:ascii="David" w:cs="David" w:eastAsia="David" w:hAnsi="David"/>
          <w:sz w:val="24"/>
          <w:szCs w:val="24"/>
          <w:rtl/>
        </w:rPr>
        <w:t xml:space="preserve">), שלפיהם דלות סביבתית וחוויות שליליות הן שמכרסמות בלגיטימיות. המדרג שנמצא 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השפוטים ברמת הלגיטימיות הנמוכה לאלו ברמה הגבוהה, מקבל משמעות מעשית לאור הספים שזיהו אוטי וליבלינג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מתחת לרמה מסוימת של יחסים בין סגל לאסירים עולים באופן חד שיעורי הפגיעה העצמית והאלימות. הממצא הישראלי שלפיו רווחה נפשית סובייקטיבית של אסירים עולה בעקבות התערבות קבוצתית (שני ואחרים,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מלמד שמדובר במשתנה שאפשר להשפיע עליו, ולא בתכונה קבועה של האסיר.</w:t>
      </w:r>
    </w:p>
    <w:p>
      <w:pPr>
        <w:bidi/>
        <w:spacing w:after="120" w:line="360"/>
        <w:jc w:val="both"/>
      </w:pPr>
      <w:r>
        <w:rPr>
          <w:rFonts w:ascii="David" w:cs="David" w:eastAsia="David" w:hAnsi="David"/>
          <w:sz w:val="24"/>
          <w:szCs w:val="24"/>
          <w:rtl/>
        </w:rPr>
        <w:t xml:space="preserve">עוצמת הקשר, בינונית ולא גבוהה, ראויה להתייחסות. הרווחה הנפשית חולקת עם הלגיטימיות כעשרה אחוזים מהשונות, ורוב השונות מוסברת על ידי גורמים אחרים. ברנטון-סמית ומקארתי (</w:t>
      </w:r>
      <w:r>
        <w:rPr>
          <w:rFonts w:ascii="Times New Roman" w:cs="Times New Roman" w:eastAsia="Times New Roman" w:hAnsi="Times New Roman"/>
          <w:sz w:val="24"/>
          <w:szCs w:val="24"/>
        </w:rPr>
        <w:t xml:space="preserve">2016</w:t>
      </w:r>
      <w:r>
        <w:rPr>
          <w:rFonts w:ascii="David" w:cs="David" w:eastAsia="David" w:hAnsi="David"/>
          <w:sz w:val="24"/>
          <w:szCs w:val="24"/>
          <w:rt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בייארסברגן ואחרים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לניתוח. בסקר המקורי הסביר המודל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משביעות הרצון מפעילויות השיקום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אך שם המנבא המרכזי היה שביעות הרצון מתנאי המחיה, שהיא קרובה מושגית למשתנה המנובא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rPr>
        <w:t xml:space="preserve">לגיטימיות בהקשר הישראלי</w:t>
      </w:r>
    </w:p>
    <w:p>
      <w:pPr>
        <w:bidi/>
        <w:spacing w:after="120" w:line="360"/>
        <w:jc w:val="both"/>
      </w:pPr>
      <w:r>
        <w:rPr>
          <w:rFonts w:ascii="David" w:cs="David" w:eastAsia="David" w:hAnsi="David"/>
          <w:sz w:val="24"/>
          <w:szCs w:val="24"/>
          <w:rt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שונה מהתמונה בסלובניה, שם יותר ממחצית האסירים לא נתנו אמון בסגל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 ישראלי תומך בהסבר הראשון: בראיונות עם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אסירים משוחררים שסיימו בהצלחה פיקוח ברשות לשיקום האסיר, חלקם תיארו את הכלא עצמו כמסגרת משקמת, וההתייחסות של רובם לעתיד הייתה אופטימית (פלד-לסקוב ותימור,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ההקשר המשפטי מחזק את משמעות הממצא: כשמועד השחרור נקבע למעשה לפי מקום פנוי ולא לפי גזר הדין (גזל-אייל ומרזוק-מקלדה,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וכשתכליות הכליאה אינן קבועות בחקיקה (דגן,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יחס הסגל באגף נותר אחד ממרכיבי ההוגנות המעטים שהאסיר חווה ישירות. הממצא שלפיו יחסי כבוד ואמון עם הסגל ממשיכים להשפיע על הרווחה גם בשנה שאחרי השחרור </w:t>
      </w:r>
      <w:r>
        <w:rPr>
          <w:rFonts w:ascii="Times New Roman" w:cs="Times New Roman" w:eastAsia="Times New Roman" w:hAnsi="Times New Roman"/>
          <w:sz w:val="24"/>
          <w:szCs w:val="24"/>
        </w:rPr>
        <w:t xml:space="preserve">(Schnittker, 2025)</w:t>
      </w:r>
      <w:r>
        <w:rPr>
          <w:rFonts w:ascii="David" w:cs="David" w:eastAsia="David" w:hAnsi="David"/>
          <w:sz w:val="24"/>
          <w:szCs w:val="24"/>
          <w:rtl/>
        </w:rPr>
        <w:t xml:space="preserve">, יחד עם הממצא הישראלי על תרומת התמיכה החברתית לרווחתם של אסירים משוחררים (מורלי ואחרים,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rPr>
        <w:t xml:space="preserve">השלכות יישומיות</w:t>
      </w:r>
    </w:p>
    <w:p>
      <w:pPr>
        <w:bidi/>
        <w:spacing w:after="120" w:line="360"/>
        <w:jc w:val="both"/>
      </w:pPr>
      <w:r>
        <w:rPr>
          <w:rFonts w:ascii="David" w:cs="David" w:eastAsia="David" w:hAnsi="David"/>
          <w:sz w:val="24"/>
          <w:szCs w:val="24"/>
          <w:rt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שעליו נשענו סרג'נט ואחרים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חמשת פריטי הרווחה שבשאלון הנוכחי, שמהימנותם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לתנאים שזיהו ספרקס ובוטומס (</w:t>
      </w:r>
      <w:r>
        <w:rPr>
          <w:rFonts w:ascii="Times New Roman" w:cs="Times New Roman" w:eastAsia="Times New Roman" w:hAnsi="Times New Roman"/>
          <w:sz w:val="24"/>
          <w:szCs w:val="24"/>
        </w:rPr>
        <w:t xml:space="preserve">1995</w:t>
      </w:r>
      <w:r>
        <w:rPr>
          <w:rFonts w:ascii="David" w:cs="David" w:eastAsia="David" w:hAnsi="David"/>
          <w:sz w:val="24"/>
          <w:szCs w:val="24"/>
          <w:rt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sz w:val="24"/>
          <w:szCs w:val="24"/>
        </w:rPr>
        <w:t xml:space="preserve">3.5,</w:t>
      </w:r>
      <w:r>
        <w:rPr>
          <w:rFonts w:ascii="David" w:cs="David" w:eastAsia="David" w:hAnsi="David"/>
          <w:sz w:val="24"/>
          <w:szCs w:val="24"/>
          <w:rtl/>
        </w:rPr>
        <w:t xml:space="preserve"> יזוהו ויקבלו ליווי, בדומה לסף שהציעו אוטי וליבלינג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החמישית, בעקבות הביקורת על הגישה הפרוצדורלית </w:t>
      </w:r>
      <w:r>
        <w:rPr>
          <w:rFonts w:ascii="Times New Roman" w:cs="Times New Roman" w:eastAsia="Times New Roman" w:hAnsi="Times New Roman"/>
          <w:sz w:val="24"/>
          <w:szCs w:val="24"/>
        </w:rPr>
        <w:t xml:space="preserve">(Deambrogio, 2025)</w:t>
      </w:r>
      <w:r>
        <w:rPr>
          <w:rFonts w:ascii="David" w:cs="David" w:eastAsia="David" w:hAnsi="David"/>
          <w:sz w:val="24"/>
          <w:szCs w:val="24"/>
          <w:rtl/>
        </w:rPr>
        <w:t xml:space="preserve">, היא הקמת נציגות אסירים אגפית שנפגשת עם מנהל האגף אחת לחודש ומעלה נושאים לשיפור, כך שהלגיטימיות תישען לא רק על יחס הוגן של הסגל אלא גם על השתתפות.</w:t>
      </w:r>
    </w:p>
    <w:p>
      <w:pPr>
        <w:pStyle w:val="Heading1"/>
        <w:pageBreakBefore/>
        <w:bidi/>
        <w:spacing w:after="240" w:before="0" w:line="360"/>
        <w:jc w:val="right"/>
      </w:pPr>
      <w:r>
        <w:rPr>
          <w:rFonts w:ascii="David" w:cs="David" w:eastAsia="David" w:hAnsi="David"/>
          <w:b/>
          <w:bCs/>
          <w:sz w:val="32"/>
          <w:szCs w:val="32"/>
          <w:rtl/>
        </w:rPr>
        <w:t xml:space="preserve">מגבלות המחקר</w:t>
      </w:r>
    </w:p>
    <w:p>
      <w:pPr>
        <w:bidi/>
        <w:spacing w:after="120" w:line="360"/>
        <w:jc w:val="both"/>
      </w:pPr>
      <w:r>
        <w:rPr>
          <w:rFonts w:ascii="David" w:cs="David" w:eastAsia="David" w:hAnsi="David"/>
          <w:sz w:val="24"/>
          <w:szCs w:val="24"/>
          <w:rt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(י' ועקנין, חומרי הקורס, יולי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אמיתיים.</w:t>
      </w:r>
    </w:p>
    <w:p>
      <w:pPr>
        <w:bidi/>
        <w:spacing w:after="120" w:line="360"/>
        <w:jc w:val="both"/>
      </w:pPr>
      <w:r>
        <w:rPr>
          <w:rFonts w:ascii="David" w:cs="David" w:eastAsia="David" w:hAnsi="David"/>
          <w:sz w:val="24"/>
          <w:szCs w:val="24"/>
          <w:rt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 האוסטרלי הראה שאפשר לענות על שאלה זו רק במערך אורך עם שתי מדידות לפחות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המחקר גם לא פיקח על משתני רקע כמו גיל ומספר מאסרים, שעשויים להיות קשורים לשני המשתנים. לבסוף, מהימנות סולם הלגיטימיות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מהמקובל, וסולם של שלושה פריטים אינו מכסה את כל מרכיבי הצדק הפרוצדורלי.</w:t>
      </w:r>
    </w:p>
    <w:p>
      <w:pPr>
        <w:bidi/>
        <w:spacing w:after="120" w:line="360"/>
        <w:jc w:val="both"/>
      </w:pPr>
      <w:r>
        <w:rPr>
          <w:rFonts w:ascii="David" w:cs="David" w:eastAsia="David" w:hAnsi="David"/>
          <w:sz w:val="24"/>
          <w:szCs w:val="24"/>
          <w:rt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האצין ומשקו (</w:t>
      </w:r>
      <w:r>
        <w:rPr>
          <w:rFonts w:ascii="Times New Roman" w:cs="Times New Roman" w:eastAsia="Times New Roman" w:hAnsi="Times New Roman"/>
          <w:sz w:val="24"/>
          <w:szCs w:val="24"/>
        </w:rPr>
        <w:t xml:space="preserve">2018</w:t>
      </w:r>
      <w:r>
        <w:rPr>
          <w:rFonts w:ascii="David" w:cs="David" w:eastAsia="David" w:hAnsi="David"/>
          <w:sz w:val="24"/>
          <w:szCs w:val="24"/>
          <w:rt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360"/>
        <w:jc w:val="right"/>
      </w:pPr>
      <w:r>
        <w:rPr>
          <w:rFonts w:ascii="David" w:cs="David" w:eastAsia="David" w:hAnsi="David"/>
          <w:b/>
          <w:bCs/>
          <w:sz w:val="32"/>
          <w:szCs w:val="32"/>
          <w:rtl/>
        </w:rPr>
        <w:t xml:space="preserve">סיכום</w:t>
      </w:r>
    </w:p>
    <w:p>
      <w:pPr>
        <w:bidi/>
        <w:spacing w:after="120" w:line="360"/>
        <w:jc w:val="both"/>
      </w:pPr>
      <w:r>
        <w:rPr>
          <w:rFonts w:ascii="David" w:cs="David" w:eastAsia="David" w:hAnsi="David"/>
          <w:sz w:val="24"/>
          <w:szCs w:val="24"/>
          <w:rtl/>
        </w:rPr>
        <w:t xml:space="preserve">העבודה בחנה את הקשר בין רווחה נפשית לבין תפיסת הלגיטימיות של סגל הכליאה בקרב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נגזרה השערת המחקר. הניתוח כלל סטטיסטיקה תיאורית, בדיקת מהימנות, מתאמים והשוואת ממוצעים בין רמות לגיטימיות. נמצא קשר חיובי מובהק בעוצמה בינונית בין רווחה נפשית ללגיטימיות, בכל שלושת פריטי הסולם, ופער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רמת הלגיטימיות הנמוכה לגבוהה.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ומדידה שנתית ברמת האגף, ממתינות לבדיקה בנתונים אמיתיים ובמערך אורך.</w:t>
      </w:r>
    </w:p>
    <w:p>
      <w:pPr>
        <w:pStyle w:val="Heading1"/>
        <w:pageBreakBefore/>
        <w:bidi/>
        <w:spacing w:after="240" w:before="0" w:line="360"/>
        <w:jc w:val="right"/>
      </w:pPr>
      <w:r>
        <w:rPr>
          <w:rFonts w:ascii="David" w:cs="David" w:eastAsia="David" w:hAnsi="David"/>
          <w:b/>
          <w:bCs/>
          <w:sz w:val="32"/>
          <w:szCs w:val="32"/>
          <w:rtl/>
        </w:rPr>
        <w:t xml:space="preserve">גילוי נאות</w:t>
      </w:r>
    </w:p>
    <w:p>
      <w:pPr>
        <w:bidi/>
        <w:spacing w:after="120" w:line="360"/>
        <w:jc w:val="both"/>
      </w:pPr>
      <w:r>
        <w:rPr>
          <w:rFonts w:ascii="David" w:cs="David" w:eastAsia="David" w:hAnsi="David"/>
          <w:sz w:val="24"/>
          <w:szCs w:val="24"/>
          <w:rtl/>
        </w:rPr>
        <w:t xml:space="preserve">בהתאם להנחיית מרצה הקורס, קובץ הנתונים הסינתטי והקודבוק הועלו ל-</w:t>
      </w:r>
      <w:r>
        <w:rPr>
          <w:rFonts w:ascii="Times New Roman" w:cs="Times New Roman" w:eastAsia="Times New Roman" w:hAnsi="Times New Roman"/>
          <w:sz w:val="24"/>
          <w:szCs w:val="24"/>
        </w:rPr>
        <w:t xml:space="preserve">ChatGPT</w:t>
      </w:r>
      <w:r>
        <w:rPr>
          <w:rFonts w:ascii="David" w:cs="David" w:eastAsia="David" w:hAnsi="David"/>
          <w:sz w:val="24"/>
          <w:szCs w:val="24"/>
          <w:rtl/>
        </w:rPr>
        <w:t xml:space="preserve">, והוזנה בו הפקודה שנמסרה בקורס: כתיבת סינטקס פשוט ל-</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לבחינת שאלת המחקר, הכולל סטטיסטיקה תיאורית של המשתנים, פירוט הרכב משתנה הלגיטימיות, מתאמים או ניתוח שונות, רגרסיה וקידוד מחדש של משתני טקסט במידת הצורך, תוך הבחנה בין מתאם פירסון לספירמן לפי סוג המשתנים, ובלי מבחנים מיותרים ובלי פקודות טעינה או שמירה של קבצים. הסינטקס שהתקבל הורץ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על ידי הכותבות, והפלטים שבנספח א' הם תוצריו.</w:t>
      </w:r>
    </w:p>
    <w:p>
      <w:pPr>
        <w:bidi/>
        <w:spacing w:after="120" w:line="360"/>
        <w:jc w:val="both"/>
      </w:pPr>
      <w:r>
        <w:rPr>
          <w:rFonts w:ascii="David" w:cs="David" w:eastAsia="David" w:hAnsi="David"/>
          <w:sz w:val="24"/>
          <w:szCs w:val="24"/>
          <w:rtl/>
        </w:rPr>
        <w:t xml:space="preserve">נוסף על כך נעשה שימוש בכלי בינה מלאכותית לצורכי עריכה לשונית, תרגום התקציר לאנגלית, סיוע באיתור מקורות ובעיצוב המסמך. בחירת שאלת המחקר, קריאת המקורות, פירוש הממצאים והמסקנות הם של הכותבות.</w:t>
      </w:r>
    </w:p>
    <w:p>
      <w:pPr>
        <w:bidi/>
        <w:spacing w:after="120" w:line="360"/>
        <w:jc w:val="both"/>
      </w:pPr>
      <w:r>
        <w:rPr>
          <w:rFonts w:ascii="David" w:cs="David" w:eastAsia="David" w:hAnsi="David"/>
          <w:sz w:val="24"/>
          <w:szCs w:val="24"/>
          <w:rtl/>
        </w:rPr>
        <w:t xml:space="preserve">חלוקת העבודה: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המבוא ואת סקירת הספרות;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פרק השיטה ואת פרק הממצאים והריצה את הניתוחים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הדיון, המגבלות והסיכום נכתבו במשותף. </w:t>
      </w:r>
      <w:r>
        <w:rPr>
          <w:rFonts w:ascii="David" w:cs="David" w:eastAsia="David" w:hAnsi="David"/>
          <w:sz w:val="24"/>
          <w:szCs w:val="24"/>
          <w:highlight w:val="yellow"/>
          <w:rtl/>
        </w:rPr>
        <w:t xml:space="preserve">להתאים לחלוקה בפועל.</w:t>
      </w:r>
    </w:p>
    <w:p>
      <w:pPr>
        <w:pStyle w:val="Heading1"/>
        <w:pageBreakBefore/>
        <w:bidi/>
        <w:spacing w:after="240" w:before="0" w:line="360"/>
        <w:jc w:val="right"/>
      </w:pPr>
      <w:r>
        <w:rPr>
          <w:rFonts w:ascii="David" w:cs="David" w:eastAsia="David" w:hAnsi="David"/>
          <w:b/>
          <w:bCs/>
          <w:sz w:val="32"/>
          <w:szCs w:val="32"/>
          <w:rtl/>
        </w:rPr>
        <w:t xml:space="preserve">ביבליוגרפיה</w:t>
      </w:r>
    </w:p>
    <w:p>
      <w:pPr>
        <w:bidi/>
        <w:spacing w:after="120" w:line="360"/>
        <w:ind w:start="709" w:hanging="709"/>
        <w:jc w:val="right"/>
      </w:pPr>
      <w:r>
        <w:rPr>
          <w:rFonts w:ascii="David" w:cs="David" w:eastAsia="David" w:hAnsi="David"/>
          <w:b w:val="false"/>
          <w:bCs w:val="false"/>
          <w:sz w:val="24"/>
          <w:szCs w:val="24"/>
          <w:rtl/>
        </w:rPr>
        <w:t xml:space="preserve">גזל-אייל, א' ומרזוק-מקלדה, פ' (</w:t>
      </w:r>
      <w:r>
        <w:rPr>
          <w:rFonts w:ascii="Times New Roman" w:cs="Times New Roman" w:eastAsia="Times New Roman" w:hAnsi="Times New Roman"/>
          <w:b w:val="false"/>
          <w:bCs w:val="false"/>
          <w:sz w:val="24"/>
          <w:szCs w:val="24"/>
        </w:rPr>
        <w:t xml:space="preserve">2023</w:t>
      </w:r>
      <w:r>
        <w:rPr>
          <w:rFonts w:ascii="David" w:cs="David" w:eastAsia="David" w:hAnsi="David"/>
          <w:b w:val="false"/>
          <w:bCs w:val="false"/>
          <w:sz w:val="24"/>
          <w:szCs w:val="24"/>
          <w:rtl/>
        </w:rPr>
        <w:t xml:space="preserve">). מהפכת השחרור המנהלי: ממדיניות כליאה מבוססת ביקוש למדיניות מבוססת היצע. </w:t>
      </w:r>
      <w:r>
        <w:rPr>
          <w:rFonts w:ascii="David" w:cs="David" w:eastAsia="David" w:hAnsi="David"/>
          <w:b/>
          <w:bCs/>
          <w:sz w:val="24"/>
          <w:szCs w:val="24"/>
          <w:rtl/>
        </w:rPr>
        <w:t xml:space="preserve">עיוני משפט, מז</w:t>
      </w:r>
      <w:r>
        <w:rPr>
          <w:rFonts w:ascii="Times New Roman" w:cs="Times New Roman" w:eastAsia="Times New Roman" w:hAnsi="Times New Roman"/>
          <w:b w:val="false"/>
          <w:bCs w:val="false"/>
          <w:sz w:val="24"/>
          <w:szCs w:val="24"/>
        </w:rPr>
        <w:t xml:space="preserve">, 57-123. https://www.taulawreview.sites.tau.ac.il/mz1/gazalayal_makalda</w:t>
      </w:r>
    </w:p>
    <w:p>
      <w:pPr>
        <w:bidi/>
        <w:spacing w:after="120" w:line="360"/>
        <w:ind w:start="709" w:hanging="709"/>
        <w:jc w:val="right"/>
      </w:pPr>
      <w:r>
        <w:rPr>
          <w:rFonts w:ascii="David" w:cs="David" w:eastAsia="David" w:hAnsi="David"/>
          <w:b w:val="false"/>
          <w:bCs w:val="false"/>
          <w:sz w:val="24"/>
          <w:szCs w:val="24"/>
          <w:rtl/>
        </w:rPr>
        <w:t xml:space="preserve">דגן, נ' (</w:t>
      </w:r>
      <w:r>
        <w:rPr>
          <w:rFonts w:ascii="Times New Roman" w:cs="Times New Roman" w:eastAsia="Times New Roman" w:hAnsi="Times New Roman"/>
          <w:b w:val="false"/>
          <w:bCs w:val="false"/>
          <w:sz w:val="24"/>
          <w:szCs w:val="24"/>
        </w:rPr>
        <w:t xml:space="preserve">2021</w:t>
      </w:r>
      <w:r>
        <w:rPr>
          <w:rFonts w:ascii="David" w:cs="David" w:eastAsia="David" w:hAnsi="David"/>
          <w:b w:val="false"/>
          <w:bCs w:val="false"/>
          <w:sz w:val="24"/>
          <w:szCs w:val="24"/>
          <w:rtl/>
        </w:rPr>
        <w:t xml:space="preserve">). שני מושגים של שלילת חירות: היחס בין שיקולי הענישה לתכליות הכליאה והשפעתו על זכויות האסיר. </w:t>
      </w:r>
      <w:r>
        <w:rPr>
          <w:rFonts w:ascii="David" w:cs="David" w:eastAsia="David" w:hAnsi="David"/>
          <w:b/>
          <w:bCs/>
          <w:sz w:val="24"/>
          <w:szCs w:val="24"/>
          <w:rtl/>
        </w:rPr>
        <w:t xml:space="preserve">חוקים, טו</w:t>
      </w:r>
      <w:r>
        <w:rPr>
          <w:rFonts w:ascii="Times New Roman" w:cs="Times New Roman" w:eastAsia="Times New Roman" w:hAnsi="Times New Roman"/>
          <w:b w:val="false"/>
          <w:bCs w:val="false"/>
          <w:sz w:val="24"/>
          <w:szCs w:val="24"/>
        </w:rPr>
        <w:t xml:space="preserve">, 9-48. https://law.huji.ac.il/sites/default/files/law/files/shny_mvshgym_shl_shlylt_khyrvt.pdf</w:t>
      </w:r>
    </w:p>
    <w:p>
      <w:pPr>
        <w:bidi/>
        <w:spacing w:after="120" w:line="360"/>
        <w:ind w:start="709" w:hanging="709"/>
        <w:jc w:val="right"/>
      </w:pPr>
      <w:r>
        <w:rPr>
          <w:rFonts w:ascii="David" w:cs="David" w:eastAsia="David" w:hAnsi="David"/>
          <w:b w:val="false"/>
          <w:bCs w:val="false"/>
          <w:sz w:val="24"/>
          <w:szCs w:val="24"/>
          <w:rtl/>
        </w:rPr>
        <w:t xml:space="preserve">דוידסקו, ע' וולק, ד' (</w:t>
      </w:r>
      <w:r>
        <w:rPr>
          <w:rFonts w:ascii="Times New Roman" w:cs="Times New Roman" w:eastAsia="Times New Roman" w:hAnsi="Times New Roman"/>
          <w:b w:val="false"/>
          <w:bCs w:val="false"/>
          <w:sz w:val="24"/>
          <w:szCs w:val="24"/>
        </w:rPr>
        <w:t xml:space="preserve">2015</w:t>
      </w:r>
      <w:r>
        <w:rPr>
          <w:rFonts w:ascii="David" w:cs="David" w:eastAsia="David" w:hAnsi="David"/>
          <w:b w:val="false"/>
          <w:bCs w:val="false"/>
          <w:sz w:val="24"/>
          <w:szCs w:val="24"/>
          <w:rtl/>
        </w:rPr>
        <w:t xml:space="preserve">). </w:t>
      </w:r>
      <w:r>
        <w:rPr>
          <w:rFonts w:ascii="David" w:cs="David" w:eastAsia="David" w:hAnsi="David"/>
          <w:b/>
          <w:bCs/>
          <w:sz w:val="24"/>
          <w:szCs w:val="24"/>
          <w:rtl/>
        </w:rPr>
        <w:t xml:space="preserve">תנאי כליאה של אסירים: בין רווחה לנוקשות</w:t>
      </w:r>
      <w:r>
        <w:rPr>
          <w:rFonts w:ascii="David" w:cs="David" w:eastAsia="David" w:hAnsi="David"/>
          <w:b w:val="false"/>
          <w:bCs w:val="false"/>
          <w:sz w:val="24"/>
          <w:szCs w:val="24"/>
          <w:rtl/>
        </w:rPr>
        <w:t xml:space="preserve"> (סקירת ספרות, פרסום מס' </w:t>
      </w:r>
      <w:r>
        <w:rPr>
          <w:rFonts w:ascii="Times New Roman" w:cs="Times New Roman" w:eastAsia="Times New Roman" w:hAnsi="Times New Roman"/>
          <w:b w:val="false"/>
          <w:bCs w:val="false"/>
          <w:sz w:val="24"/>
          <w:szCs w:val="24"/>
        </w:rPr>
        <w:t xml:space="preserve">LR-02-2015</w:t>
      </w:r>
      <w:r>
        <w:rPr>
          <w:rFonts w:ascii="David" w:cs="David" w:eastAsia="David" w:hAnsi="David"/>
          <w:b w:val="false"/>
          <w:bCs w:val="false"/>
          <w:sz w:val="24"/>
          <w:szCs w:val="24"/>
          <w:rtl/>
        </w:rPr>
        <w:t xml:space="preserve">). שירות בתי הסוהר, מחלקת מחקר ואסטרטגיה.</w:t>
      </w:r>
    </w:p>
    <w:p>
      <w:pPr>
        <w:bidi/>
        <w:spacing w:after="120" w:line="360"/>
        <w:ind w:start="709" w:hanging="709"/>
        <w:jc w:val="right"/>
      </w:pPr>
      <w:r>
        <w:rPr>
          <w:rFonts w:ascii="David" w:cs="David" w:eastAsia="David" w:hAnsi="David"/>
          <w:b w:val="false"/>
          <w:bCs w:val="false"/>
          <w:sz w:val="24"/>
          <w:szCs w:val="24"/>
          <w:rtl/>
        </w:rPr>
        <w:t xml:space="preserve">ועקנין, י' (</w:t>
      </w:r>
      <w:r>
        <w:rPr>
          <w:rFonts w:ascii="Times New Roman" w:cs="Times New Roman" w:eastAsia="Times New Roman" w:hAnsi="Times New Roman"/>
          <w:b w:val="false"/>
          <w:bCs w:val="false"/>
          <w:sz w:val="24"/>
          <w:szCs w:val="24"/>
        </w:rPr>
        <w:t xml:space="preserve">2024</w:t>
      </w:r>
      <w:r>
        <w:rPr>
          <w:rFonts w:ascii="David" w:cs="David" w:eastAsia="David" w:hAnsi="David"/>
          <w:b w:val="false"/>
          <w:bCs w:val="false"/>
          <w:sz w:val="24"/>
          <w:szCs w:val="24"/>
          <w:rtl/>
        </w:rPr>
        <w:t xml:space="preserve">). בין שיקום ללגיטימיות: התפקיד של לגיטימיות בקשר שבין שביעות רצון מתנאי המחיה לשביעות רצון מפעילות חטו"ש בקרב כלואים פליליים בישראל. </w:t>
      </w:r>
      <w:r>
        <w:rPr>
          <w:rFonts w:ascii="David" w:cs="David" w:eastAsia="David" w:hAnsi="David"/>
          <w:b/>
          <w:bCs/>
          <w:sz w:val="24"/>
          <w:szCs w:val="24"/>
          <w:rtl/>
        </w:rPr>
        <w:t xml:space="preserve">צוהר לבית הסוהר: מחקרים בכליאה, ביטחון ואכיפה, </w:t>
      </w:r>
      <w:r>
        <w:rPr>
          <w:rFonts w:ascii="Times New Roman" w:cs="Times New Roman" w:eastAsia="Times New Roman" w:hAnsi="Times New Roman"/>
          <w:b/>
          <w:bCs/>
          <w:sz w:val="24"/>
          <w:szCs w:val="24"/>
        </w:rPr>
        <w:t xml:space="preserve">22</w:t>
      </w:r>
      <w:r>
        <w:rPr>
          <w:rFonts w:ascii="Times New Roman" w:cs="Times New Roman" w:eastAsia="Times New Roman" w:hAnsi="Times New Roman"/>
          <w:b w:val="false"/>
          <w:bCs w:val="false"/>
          <w:sz w:val="24"/>
          <w:szCs w:val="24"/>
        </w:rPr>
        <w:t xml:space="preserve">, 62-77. https://www.gov.il/BlobFolder/guide/zohar/he/%D7%A6%D7%95%D7%94%D7%A8%2022.pdf</w:t>
      </w:r>
    </w:p>
    <w:p>
      <w:pPr>
        <w:bidi/>
        <w:spacing w:after="120" w:line="360"/>
        <w:ind w:start="709" w:hanging="709"/>
        <w:jc w:val="right"/>
      </w:pPr>
      <w:r>
        <w:rPr>
          <w:rFonts w:ascii="David" w:cs="David" w:eastAsia="David" w:hAnsi="David"/>
          <w:b w:val="false"/>
          <w:bCs w:val="false"/>
          <w:sz w:val="24"/>
          <w:szCs w:val="24"/>
          <w:rtl/>
        </w:rPr>
        <w:t xml:space="preserve">ועקנין, י' (</w:t>
      </w:r>
      <w:r>
        <w:rPr>
          <w:rFonts w:ascii="Times New Roman" w:cs="Times New Roman" w:eastAsia="Times New Roman" w:hAnsi="Times New Roman"/>
          <w:b w:val="false"/>
          <w:bCs w:val="false"/>
          <w:sz w:val="24"/>
          <w:szCs w:val="24"/>
        </w:rPr>
        <w:t xml:space="preserve">2025,</w:t>
      </w:r>
      <w:r>
        <w:rPr>
          <w:rFonts w:ascii="Times New Roman" w:cs="Times New Roman" w:eastAsia="Times New Roman" w:hAnsi="Times New Roman"/>
          <w:b w:val="false"/>
          <w:bCs w:val="false"/>
          <w:sz w:val="24"/>
          <w:szCs w:val="24"/>
        </w:rPr>
        <w:t xml:space="preserve"> </w:t>
      </w:r>
      <w:r>
        <w:rPr>
          <w:rFonts w:ascii="Times New Roman" w:cs="Times New Roman" w:eastAsia="Times New Roman" w:hAnsi="Times New Roman"/>
          <w:b w:val="false"/>
          <w:bCs w:val="false"/>
          <w:sz w:val="24"/>
          <w:szCs w:val="24"/>
        </w:rPr>
        <w:t xml:space="preserve">8</w:t>
      </w:r>
      <w:r>
        <w:rPr>
          <w:rFonts w:ascii="David" w:cs="David" w:eastAsia="David" w:hAnsi="David"/>
          <w:b w:val="false"/>
          <w:bCs w:val="false"/>
          <w:sz w:val="24"/>
          <w:szCs w:val="24"/>
          <w:rtl/>
        </w:rPr>
        <w:t xml:space="preserve"> בינואר). </w:t>
      </w:r>
      <w:r>
        <w:rPr>
          <w:rFonts w:ascii="David" w:cs="David" w:eastAsia="David" w:hAnsi="David"/>
          <w:b/>
          <w:bCs/>
          <w:sz w:val="24"/>
          <w:szCs w:val="24"/>
          <w:rtl/>
        </w:rPr>
        <w:t xml:space="preserve">אפקטיביות תוכניות התקון בשב"ס</w:t>
      </w:r>
      <w:r>
        <w:rPr>
          <w:rFonts w:ascii="David" w:cs="David" w:eastAsia="David" w:hAnsi="David"/>
          <w:b w:val="false"/>
          <w:bCs w:val="false"/>
          <w:sz w:val="24"/>
          <w:szCs w:val="24"/>
          <w:rtl/>
        </w:rPr>
        <w:t xml:space="preserve"> [מצגת בכנס]. כנס מחקר שב"ס, שירות בתי הסוהר.</w:t>
      </w:r>
    </w:p>
    <w:p>
      <w:pPr>
        <w:bidi/>
        <w:spacing w:after="120" w:line="360"/>
        <w:ind w:start="709" w:hanging="709"/>
        <w:jc w:val="right"/>
      </w:pPr>
      <w:r>
        <w:rPr>
          <w:rFonts w:ascii="David" w:cs="David" w:eastAsia="David" w:hAnsi="David"/>
          <w:b w:val="false"/>
          <w:bCs w:val="false"/>
          <w:sz w:val="24"/>
          <w:szCs w:val="24"/>
          <w:rtl/>
        </w:rPr>
        <w:t xml:space="preserve">יכימוביץ-כהן, נ' (</w:t>
      </w:r>
      <w:r>
        <w:rPr>
          <w:rFonts w:ascii="Times New Roman" w:cs="Times New Roman" w:eastAsia="Times New Roman" w:hAnsi="Times New Roman"/>
          <w:b w:val="false"/>
          <w:bCs w:val="false"/>
          <w:sz w:val="24"/>
          <w:szCs w:val="24"/>
        </w:rPr>
        <w:t xml:space="preserve">2020</w:t>
      </w:r>
      <w:r>
        <w:rPr>
          <w:rFonts w:ascii="David" w:cs="David" w:eastAsia="David" w:hAnsi="David"/>
          <w:b w:val="false"/>
          <w:bCs w:val="false"/>
          <w:sz w:val="24"/>
          <w:szCs w:val="24"/>
          <w:rtl/>
        </w:rPr>
        <w:t xml:space="preserve">). </w:t>
      </w:r>
      <w:r>
        <w:rPr>
          <w:rFonts w:ascii="David" w:cs="David" w:eastAsia="David" w:hAnsi="David"/>
          <w:b/>
          <w:bCs/>
          <w:sz w:val="24"/>
          <w:szCs w:val="24"/>
          <w:rtl/>
        </w:rPr>
        <w:t xml:space="preserve">סוגיות בכליאה בישראל</w:t>
      </w:r>
      <w:r>
        <w:rPr>
          <w:rFonts w:ascii="David" w:cs="David" w:eastAsia="David" w:hAnsi="David"/>
          <w:b w:val="false"/>
          <w:bCs w:val="false"/>
          <w:sz w:val="24"/>
          <w:szCs w:val="24"/>
          <w:rtl/>
        </w:rPr>
        <w:t xml:space="preserve">. הכנסת, מרכז המחקר והמידע. </w:t>
      </w:r>
      <w:r>
        <w:rPr>
          <w:rFonts w:ascii="Times New Roman" w:cs="Times New Roman" w:eastAsia="Times New Roman" w:hAnsi="Times New Roman"/>
          <w:b w:val="false"/>
          <w:bCs w:val="false"/>
          <w:sz w:val="24"/>
          <w:szCs w:val="24"/>
        </w:rPr>
        <w:t xml:space="preserve">https://fs.knesset.gov.il/globaldocs/MMM/78db42ca-8119-e911-80e1-00155d0a98a9/2_78db42ca-8119-e911-80e1-00155d0a98a9_11_15096.pdf</w:t>
      </w:r>
    </w:p>
    <w:p>
      <w:pPr>
        <w:bidi/>
        <w:spacing w:after="120" w:line="360"/>
        <w:ind w:start="709" w:hanging="709"/>
        <w:jc w:val="right"/>
      </w:pPr>
      <w:r>
        <w:rPr>
          <w:rFonts w:ascii="David" w:cs="David" w:eastAsia="David" w:hAnsi="David"/>
          <w:b w:val="false"/>
          <w:bCs w:val="false"/>
          <w:sz w:val="24"/>
          <w:szCs w:val="24"/>
          <w:rtl/>
        </w:rPr>
        <w:t xml:space="preserve">יפתח-שרצקי, א' והראל, ש' (</w:t>
      </w:r>
      <w:r>
        <w:rPr>
          <w:rFonts w:ascii="Times New Roman" w:cs="Times New Roman" w:eastAsia="Times New Roman" w:hAnsi="Times New Roman"/>
          <w:b w:val="false"/>
          <w:bCs w:val="false"/>
          <w:sz w:val="24"/>
          <w:szCs w:val="24"/>
        </w:rPr>
        <w:t xml:space="preserve">2024</w:t>
      </w:r>
      <w:r>
        <w:rPr>
          <w:rFonts w:ascii="David" w:cs="David" w:eastAsia="David" w:hAnsi="David"/>
          <w:b w:val="false"/>
          <w:bCs w:val="false"/>
          <w:sz w:val="24"/>
          <w:szCs w:val="24"/>
          <w:rtl/>
        </w:rPr>
        <w:t xml:space="preserve">). צללים מאחורי הסורגים: תסמינים פוסט טראומטיים, ויסות רגשי שלילי והשלכתם על תפקודם של אסירים בכלא. </w:t>
      </w:r>
      <w:r>
        <w:rPr>
          <w:rFonts w:ascii="David" w:cs="David" w:eastAsia="David" w:hAnsi="David"/>
          <w:b/>
          <w:bCs/>
          <w:sz w:val="24"/>
          <w:szCs w:val="24"/>
          <w:rtl/>
        </w:rPr>
        <w:t xml:space="preserve">צוהר לבית הסוהר: מחקרים בכליאה, ביטחון ואכיפה, </w:t>
      </w:r>
      <w:r>
        <w:rPr>
          <w:rFonts w:ascii="Times New Roman" w:cs="Times New Roman" w:eastAsia="Times New Roman" w:hAnsi="Times New Roman"/>
          <w:b/>
          <w:bCs/>
          <w:sz w:val="24"/>
          <w:szCs w:val="24"/>
        </w:rPr>
        <w:t xml:space="preserve">22</w:t>
      </w:r>
      <w:r>
        <w:rPr>
          <w:rFonts w:ascii="Times New Roman" w:cs="Times New Roman" w:eastAsia="Times New Roman" w:hAnsi="Times New Roman"/>
          <w:b w:val="false"/>
          <w:bCs w:val="false"/>
          <w:sz w:val="24"/>
          <w:szCs w:val="24"/>
        </w:rPr>
        <w:t xml:space="preserve">, 130-157. https://www.gov.il/BlobFolder/guide/zohar/he/%D7%A6%D7%95%D7%94%D7%A8%2022.pdf</w:t>
      </w:r>
    </w:p>
    <w:p>
      <w:pPr>
        <w:bidi/>
        <w:spacing w:after="120" w:line="360"/>
        <w:ind w:start="709" w:hanging="709"/>
        <w:jc w:val="right"/>
      </w:pPr>
      <w:r>
        <w:rPr>
          <w:rFonts w:ascii="David" w:cs="David" w:eastAsia="David" w:hAnsi="David"/>
          <w:b w:val="false"/>
          <w:bCs w:val="false"/>
          <w:sz w:val="24"/>
          <w:szCs w:val="24"/>
          <w:rtl/>
        </w:rPr>
        <w:t xml:space="preserve">מורלי, י', שער-אפודי, ר' ואבו-ריא, ה' (</w:t>
      </w:r>
      <w:r>
        <w:rPr>
          <w:rFonts w:ascii="Times New Roman" w:cs="Times New Roman" w:eastAsia="Times New Roman" w:hAnsi="Times New Roman"/>
          <w:b w:val="false"/>
          <w:bCs w:val="false"/>
          <w:sz w:val="24"/>
          <w:szCs w:val="24"/>
        </w:rPr>
        <w:t xml:space="preserve">2019</w:t>
      </w:r>
      <w:r>
        <w:rPr>
          <w:rFonts w:ascii="David" w:cs="David" w:eastAsia="David" w:hAnsi="David"/>
          <w:b w:val="false"/>
          <w:bCs w:val="false"/>
          <w:sz w:val="24"/>
          <w:szCs w:val="24"/>
          <w:rtl/>
        </w:rPr>
        <w:t xml:space="preserve">). ניצחון הרוח: התמודדות דתית ותמיכה חברתית כמנבאים רווחה נפשית בקרב אסירים משוחררים. </w:t>
      </w:r>
      <w:r>
        <w:rPr>
          <w:rFonts w:ascii="David" w:cs="David" w:eastAsia="David" w:hAnsi="David"/>
          <w:b/>
          <w:bCs/>
          <w:sz w:val="24"/>
          <w:szCs w:val="24"/>
          <w:rtl/>
        </w:rPr>
        <w:t xml:space="preserve">צוהר לבית הסוהר, </w:t>
      </w:r>
      <w:r>
        <w:rPr>
          <w:rFonts w:ascii="Times New Roman" w:cs="Times New Roman" w:eastAsia="Times New Roman" w:hAnsi="Times New Roman"/>
          <w:b/>
          <w:bCs/>
          <w:sz w:val="24"/>
          <w:szCs w:val="24"/>
        </w:rPr>
        <w:t xml:space="preserve">20</w:t>
      </w:r>
      <w:r>
        <w:rPr>
          <w:rFonts w:ascii="Times New Roman" w:cs="Times New Roman" w:eastAsia="Times New Roman" w:hAnsi="Times New Roman"/>
          <w:b w:val="false"/>
          <w:bCs w:val="false"/>
          <w:sz w:val="24"/>
          <w:szCs w:val="24"/>
        </w:rPr>
        <w:t xml:space="preserve">, 71-89. https://www.gov.il/BlobFolder/guide/zohar/he/%D7%A6%D7%95%D7%94%D7%A8%20%D7%9C%D7%91%D7%99%D7%AA%20%D7%94%D7%A1%D7%95%D7%94%D7%A8%20%D7%92%D7%9C%D7%99%D7%95%D7%9F%2020.pdf</w:t>
      </w:r>
    </w:p>
    <w:p>
      <w:pPr>
        <w:bidi/>
        <w:spacing w:after="120" w:line="360"/>
        <w:ind w:start="709" w:hanging="709"/>
        <w:jc w:val="right"/>
      </w:pPr>
      <w:r>
        <w:rPr>
          <w:rFonts w:ascii="David" w:cs="David" w:eastAsia="David" w:hAnsi="David"/>
          <w:b w:val="false"/>
          <w:bCs w:val="false"/>
          <w:sz w:val="24"/>
          <w:szCs w:val="24"/>
          <w:rtl/>
        </w:rPr>
        <w:t xml:space="preserve">נחשון דהן, מ' וכץ, ע' (</w:t>
      </w:r>
      <w:r>
        <w:rPr>
          <w:rFonts w:ascii="Times New Roman" w:cs="Times New Roman" w:eastAsia="Times New Roman" w:hAnsi="Times New Roman"/>
          <w:b w:val="false"/>
          <w:bCs w:val="false"/>
          <w:sz w:val="24"/>
          <w:szCs w:val="24"/>
        </w:rPr>
        <w:t xml:space="preserve">2024</w:t>
      </w:r>
      <w:r>
        <w:rPr>
          <w:rFonts w:ascii="David" w:cs="David" w:eastAsia="David" w:hAnsi="David"/>
          <w:b w:val="false"/>
          <w:bCs w:val="false"/>
          <w:sz w:val="24"/>
          <w:szCs w:val="24"/>
          <w:rtl/>
        </w:rPr>
        <w:t xml:space="preserve">). מוטיבציה ללמידה בקרב אסירים: האם תמיכה בצרכים פסיכולוגיים של אסירים במרכז החינוך מביאה למוטיבציה אוטונומית ללמידה ולהתמדה בה? </w:t>
      </w:r>
      <w:r>
        <w:rPr>
          <w:rFonts w:ascii="David" w:cs="David" w:eastAsia="David" w:hAnsi="David"/>
          <w:b/>
          <w:bCs/>
          <w:sz w:val="24"/>
          <w:szCs w:val="24"/>
          <w:rtl/>
        </w:rPr>
        <w:t xml:space="preserve">צוהר לבית הסוהר: מחקרים בכליאה, ביטחון ואכיפה, </w:t>
      </w:r>
      <w:r>
        <w:rPr>
          <w:rFonts w:ascii="Times New Roman" w:cs="Times New Roman" w:eastAsia="Times New Roman" w:hAnsi="Times New Roman"/>
          <w:b/>
          <w:bCs/>
          <w:sz w:val="24"/>
          <w:szCs w:val="24"/>
        </w:rPr>
        <w:t xml:space="preserve">22</w:t>
      </w:r>
      <w:r>
        <w:rPr>
          <w:rFonts w:ascii="Times New Roman" w:cs="Times New Roman" w:eastAsia="Times New Roman" w:hAnsi="Times New Roman"/>
          <w:b w:val="false"/>
          <w:bCs w:val="false"/>
          <w:sz w:val="24"/>
          <w:szCs w:val="24"/>
        </w:rPr>
        <w:t xml:space="preserve">, 106-129. https://www.gov.il/BlobFolder/guide/zohar/he/%D7%A6%D7%95%D7%94%D7%A8%2022.pdf</w:t>
      </w:r>
    </w:p>
    <w:p>
      <w:pPr>
        <w:bidi/>
        <w:spacing w:after="120" w:line="360"/>
        <w:ind w:start="709" w:hanging="709"/>
        <w:jc w:val="right"/>
      </w:pPr>
      <w:r>
        <w:rPr>
          <w:rFonts w:ascii="David" w:cs="David" w:eastAsia="David" w:hAnsi="David"/>
          <w:b w:val="false"/>
          <w:bCs w:val="false"/>
          <w:sz w:val="24"/>
          <w:szCs w:val="24"/>
          <w:rtl/>
        </w:rPr>
        <w:t xml:space="preserve">פלד-לסקוב, ר' ותימור, א' (</w:t>
      </w:r>
      <w:r>
        <w:rPr>
          <w:rFonts w:ascii="Times New Roman" w:cs="Times New Roman" w:eastAsia="Times New Roman" w:hAnsi="Times New Roman"/>
          <w:b w:val="false"/>
          <w:bCs w:val="false"/>
          <w:sz w:val="24"/>
          <w:szCs w:val="24"/>
        </w:rPr>
        <w:t xml:space="preserve">2024</w:t>
      </w:r>
      <w:r>
        <w:rPr>
          <w:rFonts w:ascii="David" w:cs="David" w:eastAsia="David" w:hAnsi="David"/>
          <w:b w:val="false"/>
          <w:bCs w:val="false"/>
          <w:sz w:val="24"/>
          <w:szCs w:val="24"/>
          <w:rtl/>
        </w:rPr>
        <w:t xml:space="preserve">). אל החיים "מאחורי הסורגים": תהליכי שיקום בעיני אסירים משוחררים. </w:t>
      </w:r>
      <w:r>
        <w:rPr>
          <w:rFonts w:ascii="David" w:cs="David" w:eastAsia="David" w:hAnsi="David"/>
          <w:b/>
          <w:bCs/>
          <w:sz w:val="24"/>
          <w:szCs w:val="24"/>
          <w:rtl/>
        </w:rPr>
        <w:t xml:space="preserve">צוהר לבית הסוהר: מחקרים בכליאה, ביטחון ואכיפה, </w:t>
      </w:r>
      <w:r>
        <w:rPr>
          <w:rFonts w:ascii="Times New Roman" w:cs="Times New Roman" w:eastAsia="Times New Roman" w:hAnsi="Times New Roman"/>
          <w:b/>
          <w:bCs/>
          <w:sz w:val="24"/>
          <w:szCs w:val="24"/>
        </w:rPr>
        <w:t xml:space="preserve">22</w:t>
      </w:r>
      <w:r>
        <w:rPr>
          <w:rFonts w:ascii="Times New Roman" w:cs="Times New Roman" w:eastAsia="Times New Roman" w:hAnsi="Times New Roman"/>
          <w:b w:val="false"/>
          <w:bCs w:val="false"/>
          <w:sz w:val="24"/>
          <w:szCs w:val="24"/>
        </w:rPr>
        <w:t xml:space="preserve">, 43-61. https://www.gov.il/BlobFolder/guide/zohar/he/%D7%A6%D7%95%D7%94%D7%A8%2022.pdf</w:t>
      </w:r>
    </w:p>
    <w:p>
      <w:pPr>
        <w:bidi/>
        <w:spacing w:after="120" w:line="360"/>
        <w:ind w:start="709" w:hanging="709"/>
        <w:jc w:val="right"/>
      </w:pPr>
      <w:r>
        <w:rPr>
          <w:rFonts w:ascii="David" w:cs="David" w:eastAsia="David" w:hAnsi="David"/>
          <w:b w:val="false"/>
          <w:bCs w:val="false"/>
          <w:sz w:val="24"/>
          <w:szCs w:val="24"/>
          <w:rtl/>
        </w:rPr>
        <w:t xml:space="preserve">שני, נ', חמלניצקי, מ', תימור, א' ואידיסיס, י' (</w:t>
      </w:r>
      <w:r>
        <w:rPr>
          <w:rFonts w:ascii="Times New Roman" w:cs="Times New Roman" w:eastAsia="Times New Roman" w:hAnsi="Times New Roman"/>
          <w:b w:val="false"/>
          <w:bCs w:val="false"/>
          <w:sz w:val="24"/>
          <w:szCs w:val="24"/>
        </w:rPr>
        <w:t xml:space="preserve">2024</w:t>
      </w:r>
      <w:r>
        <w:rPr>
          <w:rFonts w:ascii="David" w:cs="David" w:eastAsia="David" w:hAnsi="David"/>
          <w:b w:val="false"/>
          <w:bCs w:val="false"/>
          <w:sz w:val="24"/>
          <w:szCs w:val="24"/>
          <w:rtl/>
        </w:rPr>
        <w:t xml:space="preserve">). איזה מין טיפול: התרומה של השתתפות בקבוצה פסיכו-חינוכית מורחבת מכינה לטיפול ייעודי בפוגעים מינית להפחתה של מתח נפשי, להעלאת רווחה נפשית סובייקטיבית ולהגברה של מיקוד שליטה פנימי. </w:t>
      </w:r>
      <w:r>
        <w:rPr>
          <w:rFonts w:ascii="David" w:cs="David" w:eastAsia="David" w:hAnsi="David"/>
          <w:b/>
          <w:bCs/>
          <w:sz w:val="24"/>
          <w:szCs w:val="24"/>
          <w:rtl/>
        </w:rPr>
        <w:t xml:space="preserve">צוהר לבית הסוהר: מחקרים בכליאה, ביטחון ואכיפה, </w:t>
      </w:r>
      <w:r>
        <w:rPr>
          <w:rFonts w:ascii="Times New Roman" w:cs="Times New Roman" w:eastAsia="Times New Roman" w:hAnsi="Times New Roman"/>
          <w:b/>
          <w:bCs/>
          <w:sz w:val="24"/>
          <w:szCs w:val="24"/>
        </w:rPr>
        <w:t xml:space="preserve">22</w:t>
      </w:r>
      <w:r>
        <w:rPr>
          <w:rFonts w:ascii="Times New Roman" w:cs="Times New Roman" w:eastAsia="Times New Roman" w:hAnsi="Times New Roman"/>
          <w:b w:val="false"/>
          <w:bCs w:val="false"/>
          <w:sz w:val="24"/>
          <w:szCs w:val="24"/>
        </w:rPr>
        <w:t xml:space="preserve">, 158-171. https://www.gov.il/BlobFolder/guide/zohar/he/%D7%A6%D7%95%D7%94%D7%A8%2022.pdf</w:t>
      </w:r>
    </w:p>
    <w:p>
      <w:pPr>
        <w:spacing w:after="120" w:line="360"/>
        <w:ind w:left="709" w:hanging="709"/>
        <w:jc w:val="left"/>
      </w:pPr>
      <w:r>
        <w:rPr>
          <w:rFonts w:ascii="Times New Roman" w:cs="Times New Roman" w:eastAsia="Times New Roman" w:hAnsi="Times New Roman"/>
          <w:i w:val="false"/>
          <w:iCs w:val="false"/>
          <w:sz w:val="24"/>
          <w:szCs w:val="24"/>
        </w:rPr>
        <w:t xml:space="preserve">Auty, K. M., &amp; Liebling, A. (2024). What is a 'good enough' prison? An empirical analysis of key thresholds using prison moral quality data. </w:t>
      </w:r>
      <w:r>
        <w:rPr>
          <w:rFonts w:ascii="Times New Roman" w:cs="Times New Roman" w:eastAsia="Times New Roman" w:hAnsi="Times New Roman"/>
          <w:i/>
          <w:iCs/>
          <w:sz w:val="24"/>
          <w:szCs w:val="24"/>
        </w:rPr>
        <w:t xml:space="preserve">European Journal of Criminology, 21</w:t>
      </w:r>
      <w:r>
        <w:rPr>
          <w:rFonts w:ascii="Times New Roman" w:cs="Times New Roman" w:eastAsia="Times New Roman" w:hAnsi="Times New Roman"/>
          <w:i w:val="false"/>
          <w:iCs w:val="false"/>
          <w:sz w:val="24"/>
          <w:szCs w:val="24"/>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sz w:val="24"/>
          <w:szCs w:val="24"/>
        </w:rPr>
        <w:t xml:space="preserve">International Journal of Offender Therapy and Comparative Criminology, 59</w:t>
      </w:r>
      <w:r>
        <w:rPr>
          <w:rFonts w:ascii="Times New Roman" w:cs="Times New Roman" w:eastAsia="Times New Roman" w:hAnsi="Times New Roman"/>
          <w:i w:val="false"/>
          <w:iCs w:val="false"/>
          <w:sz w:val="24"/>
          <w:szCs w:val="24"/>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sz w:val="24"/>
          <w:szCs w:val="24"/>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sz w:val="24"/>
          <w:szCs w:val="24"/>
        </w:rPr>
        <w:t xml:space="preserve">Justice Quarterly, 33</w:t>
      </w:r>
      <w:r>
        <w:rPr>
          <w:rFonts w:ascii="Times New Roman" w:cs="Times New Roman" w:eastAsia="Times New Roman" w:hAnsi="Times New Roman"/>
          <w:i w:val="false"/>
          <w:iCs w:val="false"/>
          <w:sz w:val="24"/>
          <w:szCs w:val="24"/>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sz w:val="24"/>
          <w:szCs w:val="24"/>
        </w:rPr>
        <w:t xml:space="preserve">Deambrogio, C. (2025). Procedural justice and prison legitimacy: Towards a democratic model of inmate participation. </w:t>
      </w:r>
      <w:r>
        <w:rPr>
          <w:rFonts w:ascii="Times New Roman" w:cs="Times New Roman" w:eastAsia="Times New Roman" w:hAnsi="Times New Roman"/>
          <w:i/>
          <w:iCs/>
          <w:sz w:val="24"/>
          <w:szCs w:val="24"/>
        </w:rPr>
        <w:t xml:space="preserve">Oxford Journal of Legal Studies, 45</w:t>
      </w:r>
      <w:r>
        <w:rPr>
          <w:rFonts w:ascii="Times New Roman" w:cs="Times New Roman" w:eastAsia="Times New Roman" w:hAnsi="Times New Roman"/>
          <w:i w:val="false"/>
          <w:iCs w:val="false"/>
          <w:sz w:val="24"/>
          <w:szCs w:val="24"/>
        </w:rPr>
        <w:t xml:space="preserve">(3), 801-820. https://doi.org/10.1093/ojls/gqaf013</w:t>
      </w:r>
    </w:p>
    <w:p>
      <w:pPr>
        <w:spacing w:after="120" w:line="360"/>
        <w:ind w:left="709" w:hanging="709"/>
        <w:jc w:val="left"/>
      </w:pPr>
      <w:r>
        <w:rPr>
          <w:rFonts w:ascii="Times New Roman" w:cs="Times New Roman" w:eastAsia="Times New Roman" w:hAnsi="Times New Roman"/>
          <w:i w:val="false"/>
          <w:iCs w:val="false"/>
          <w:sz w:val="24"/>
          <w:szCs w:val="24"/>
        </w:rPr>
        <w:t xml:space="preserve">Franke, D., Bierie, D., &amp; MacKenzie, D. L. (2010). Legitimacy in corrections: A randomized experiment comparing a boot camp with a prison. </w:t>
      </w:r>
      <w:r>
        <w:rPr>
          <w:rFonts w:ascii="Times New Roman" w:cs="Times New Roman" w:eastAsia="Times New Roman" w:hAnsi="Times New Roman"/>
          <w:i/>
          <w:iCs/>
          <w:sz w:val="24"/>
          <w:szCs w:val="24"/>
        </w:rPr>
        <w:t xml:space="preserve">Criminology &amp; Public Policy, 9</w:t>
      </w:r>
      <w:r>
        <w:rPr>
          <w:rFonts w:ascii="Times New Roman" w:cs="Times New Roman" w:eastAsia="Times New Roman" w:hAnsi="Times New Roman"/>
          <w:i w:val="false"/>
          <w:iCs w:val="false"/>
          <w:sz w:val="24"/>
          <w:szCs w:val="24"/>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sz w:val="24"/>
          <w:szCs w:val="24"/>
        </w:rPr>
        <w:t xml:space="preserve">Hacin, R., &amp; Meško, G. (2018). Prisoners' perception of legitimacy of the prison staff: A qualitative study in Slovene prisons. </w:t>
      </w:r>
      <w:r>
        <w:rPr>
          <w:rFonts w:ascii="Times New Roman" w:cs="Times New Roman" w:eastAsia="Times New Roman" w:hAnsi="Times New Roman"/>
          <w:i/>
          <w:iCs/>
          <w:sz w:val="24"/>
          <w:szCs w:val="24"/>
        </w:rPr>
        <w:t xml:space="preserve">International Journal of Offender Therapy and Comparative Criminology, 62</w:t>
      </w:r>
      <w:r>
        <w:rPr>
          <w:rFonts w:ascii="Times New Roman" w:cs="Times New Roman" w:eastAsia="Times New Roman" w:hAnsi="Times New Roman"/>
          <w:i w:val="false"/>
          <w:iCs w:val="false"/>
          <w:sz w:val="24"/>
          <w:szCs w:val="24"/>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sz w:val="24"/>
          <w:szCs w:val="24"/>
        </w:rPr>
        <w:t xml:space="preserve">Ryan, C., &amp; Bergin, M. (2022). Procedural justice and legitimacy in prisons: A review of extant empirical literature. </w:t>
      </w:r>
      <w:r>
        <w:rPr>
          <w:rFonts w:ascii="Times New Roman" w:cs="Times New Roman" w:eastAsia="Times New Roman" w:hAnsi="Times New Roman"/>
          <w:i/>
          <w:iCs/>
          <w:sz w:val="24"/>
          <w:szCs w:val="24"/>
        </w:rPr>
        <w:t xml:space="preserve">Criminal Justice and Behavior, 49</w:t>
      </w:r>
      <w:r>
        <w:rPr>
          <w:rFonts w:ascii="Times New Roman" w:cs="Times New Roman" w:eastAsia="Times New Roman" w:hAnsi="Times New Roman"/>
          <w:i w:val="false"/>
          <w:iCs w:val="false"/>
          <w:sz w:val="24"/>
          <w:szCs w:val="24"/>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sz w:val="24"/>
          <w:szCs w:val="24"/>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sz w:val="24"/>
          <w:szCs w:val="24"/>
        </w:rPr>
        <w:t xml:space="preserve">Criminal Justice and Behavior, 53</w:t>
      </w:r>
      <w:r>
        <w:rPr>
          <w:rFonts w:ascii="Times New Roman" w:cs="Times New Roman" w:eastAsia="Times New Roman" w:hAnsi="Times New Roman"/>
          <w:i w:val="false"/>
          <w:iCs w:val="false"/>
          <w:sz w:val="24"/>
          <w:szCs w:val="24"/>
        </w:rPr>
        <w:t xml:space="preserve">(5), 619-639. https://doi.org/10.1177/00938548251400649</w:t>
      </w:r>
    </w:p>
    <w:p>
      <w:pPr>
        <w:spacing w:after="120" w:line="360"/>
        <w:ind w:left="709" w:hanging="709"/>
        <w:jc w:val="left"/>
      </w:pPr>
      <w:r>
        <w:rPr>
          <w:rFonts w:ascii="Times New Roman" w:cs="Times New Roman" w:eastAsia="Times New Roman" w:hAnsi="Times New Roman"/>
          <w:i w:val="false"/>
          <w:iCs w:val="false"/>
          <w:sz w:val="24"/>
          <w:szCs w:val="24"/>
        </w:rPr>
        <w:t xml:space="preserve">Schnittker, J. (2025). Trusting relationships in prison and well-being after release. </w:t>
      </w:r>
      <w:r>
        <w:rPr>
          <w:rFonts w:ascii="Times New Roman" w:cs="Times New Roman" w:eastAsia="Times New Roman" w:hAnsi="Times New Roman"/>
          <w:i/>
          <w:iCs/>
          <w:sz w:val="24"/>
          <w:szCs w:val="24"/>
        </w:rPr>
        <w:t xml:space="preserve">SSM - Mental Health, 8</w:t>
      </w:r>
      <w:r>
        <w:rPr>
          <w:rFonts w:ascii="Times New Roman" w:cs="Times New Roman" w:eastAsia="Times New Roman" w:hAnsi="Times New Roman"/>
          <w:i w:val="false"/>
          <w:iCs w:val="false"/>
          <w:sz w:val="24"/>
          <w:szCs w:val="24"/>
        </w:rPr>
        <w:t xml:space="preserve">, Article 100539. https://doi.org/10.1016/j.ssmmh.2025.100539</w:t>
      </w:r>
    </w:p>
    <w:p>
      <w:pPr>
        <w:spacing w:after="120" w:line="360"/>
        <w:ind w:left="709" w:hanging="709"/>
        <w:jc w:val="left"/>
      </w:pPr>
      <w:r>
        <w:rPr>
          <w:rFonts w:ascii="Times New Roman" w:cs="Times New Roman" w:eastAsia="Times New Roman" w:hAnsi="Times New Roman"/>
          <w:i w:val="false"/>
          <w:iCs w:val="false"/>
          <w:sz w:val="24"/>
          <w:szCs w:val="24"/>
        </w:rPr>
        <w:t xml:space="preserve">Sparks, J. R., &amp; Bottoms, A. E. (1995). Legitimacy and order in prisons. </w:t>
      </w:r>
      <w:r>
        <w:rPr>
          <w:rFonts w:ascii="Times New Roman" w:cs="Times New Roman" w:eastAsia="Times New Roman" w:hAnsi="Times New Roman"/>
          <w:i/>
          <w:iCs/>
          <w:sz w:val="24"/>
          <w:szCs w:val="24"/>
        </w:rPr>
        <w:t xml:space="preserve">British Journal of Sociology, 46</w:t>
      </w:r>
      <w:r>
        <w:rPr>
          <w:rFonts w:ascii="Times New Roman" w:cs="Times New Roman" w:eastAsia="Times New Roman" w:hAnsi="Times New Roman"/>
          <w:i w:val="false"/>
          <w:iCs w:val="false"/>
          <w:sz w:val="24"/>
          <w:szCs w:val="24"/>
        </w:rPr>
        <w:t xml:space="preserve">(1), 45-62. https://doi.org/10.2307/591622</w:t>
      </w:r>
    </w:p>
    <w:p>
      <w:pPr>
        <w:spacing w:after="120" w:line="360"/>
        <w:ind w:left="709" w:hanging="709"/>
        <w:jc w:val="left"/>
      </w:pPr>
      <w:r>
        <w:rPr>
          <w:rFonts w:ascii="Times New Roman" w:cs="Times New Roman" w:eastAsia="Times New Roman" w:hAnsi="Times New Roman"/>
          <w:i w:val="false"/>
          <w:iCs w:val="false"/>
          <w:sz w:val="24"/>
          <w:szCs w:val="24"/>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sz w:val="24"/>
          <w:szCs w:val="24"/>
        </w:rPr>
        <w:t xml:space="preserve">Criminal Justice and Behavior, 46</w:t>
      </w:r>
      <w:r>
        <w:rPr>
          <w:rFonts w:ascii="Times New Roman" w:cs="Times New Roman" w:eastAsia="Times New Roman" w:hAnsi="Times New Roman"/>
          <w:i w:val="false"/>
          <w:iCs w:val="false"/>
          <w:sz w:val="24"/>
          <w:szCs w:val="24"/>
        </w:rPr>
        <w:t xml:space="preserve">(10), 1385-1404. https://doi.org/10.1177/0093854819867373</w:t>
      </w:r>
    </w:p>
    <w:p>
      <w:pPr>
        <w:pStyle w:val="Heading1"/>
        <w:pageBreakBefore/>
        <w:bidi/>
        <w:spacing w:after="240" w:before="0" w:line="360"/>
        <w:jc w:val="right"/>
      </w:pPr>
      <w:r>
        <w:rPr>
          <w:rFonts w:ascii="David" w:cs="David" w:eastAsia="David" w:hAnsi="David"/>
          <w:b/>
          <w:bCs/>
          <w:sz w:val="32"/>
          <w:szCs w:val="32"/>
          <w:rtl/>
        </w:rPr>
        <w:t xml:space="preserve">נספחים</w:t>
      </w:r>
    </w:p>
    <w:p>
      <w:pPr>
        <w:pStyle w:val="Heading1"/>
        <w:bidi/>
        <w:spacing w:after="240" w:before="0" w:line="360"/>
        <w:jc w:val="right"/>
      </w:pPr>
      <w:r>
        <w:rPr>
          <w:rFonts w:ascii="David" w:cs="David" w:eastAsia="David" w:hAnsi="David"/>
          <w:b/>
          <w:bCs/>
          <w:sz w:val="32"/>
          <w:szCs w:val="32"/>
          <w:rtl/>
        </w:rPr>
        <w:t xml:space="preserve">נספח א'</w:t>
      </w:r>
    </w:p>
    <w:p>
      <w:pPr>
        <w:bidi/>
        <w:spacing w:after="120" w:line="360"/>
        <w:jc w:val="both"/>
      </w:pPr>
      <w:r>
        <w:rPr>
          <w:rFonts w:ascii="David" w:cs="David" w:eastAsia="David" w:hAnsi="David"/>
          <w:sz w:val="24"/>
          <w:szCs w:val="24"/>
          <w:rtl/>
        </w:rPr>
        <w:t xml:space="preserve">פלטי </w:t>
      </w:r>
      <w:r>
        <w:rPr>
          <w:rFonts w:ascii="Times New Roman" w:cs="Times New Roman" w:eastAsia="Times New Roman" w:hAnsi="Times New Roman"/>
          <w:sz w:val="24"/>
          <w:szCs w:val="24"/>
        </w:rPr>
        <w:t xml:space="preserve">SPSS</w:t>
      </w:r>
    </w:p>
    <w:p>
      <w:pPr>
        <w:bidi/>
        <w:spacing w:after="120" w:line="360"/>
        <w:jc w:val="both"/>
      </w:pPr>
      <w:r>
        <w:rPr>
          <w:rFonts w:ascii="David" w:cs="David" w:eastAsia="David" w:hAnsi="David"/>
          <w:sz w:val="24"/>
          <w:szCs w:val="24"/>
          <w:rtl/>
        </w:rPr>
        <w:t xml:space="preserve">להלן הלוחות המרכזיים מפלט ה-</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(הרצה מיום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בספטמבר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-1</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Crosstabs, inmate_type</w:t>
      </w:r>
      <w:r>
        <w:rPr>
          <w:rFonts w:ascii="David" w:cs="David" w:eastAsia="David" w:hAnsi="David"/>
          <w:b/>
          <w:bCs/>
          <w:sz w:val="24"/>
          <w:szCs w:val="24"/>
          <w:rt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-2</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Frequencies, Statistics (Filter: filt_shafut)</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-0.155</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-3</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לגיטימיות הסגל </w:t>
      </w:r>
      <w:r>
        <w:rPr>
          <w:rFonts w:ascii="Times New Roman" w:cs="Times New Roman" w:eastAsia="Times New Roman" w:hAnsi="Times New Roman"/>
          <w:b/>
          <w:bCs/>
          <w:sz w:val="24"/>
          <w:szCs w:val="24"/>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0.687</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-4</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רווחה נפשית </w:t>
      </w:r>
      <w:r>
        <w:rPr>
          <w:rFonts w:ascii="Times New Roman" w:cs="Times New Roman" w:eastAsia="Times New Roman" w:hAnsi="Times New Roman"/>
          <w:b/>
          <w:bCs/>
          <w:sz w:val="24"/>
          <w:szCs w:val="24"/>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Descriptives</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(ממוצע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(ממוצע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-6</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Correlations (Pearson)</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all p &lt; 0.001</w:t>
            </w:r>
          </w:p>
        </w:tc>
      </w:tr>
    </w:tbl>
    <w:p>
      <w:pPr>
        <w:bidi/>
        <w:spacing w:after="200" w:before="60" w:line="276"/>
        <w:jc w:val="right"/>
      </w:pPr>
      <w:r>
        <w:rPr>
          <w:rFonts w:ascii="Times New Roman" w:cs="Times New Roman" w:eastAsia="Times New Roman" w:hAnsi="Times New Roman"/>
          <w:sz w:val="20"/>
          <w:szCs w:val="20"/>
        </w:rPr>
        <w:t xml:space="preserve">**. Correlation is significant at the 0.01 level (2-tailed).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2026-09-09T18:19:19.825Z</dcterms:created>
  <dcterms:modified xsi:type="dcterms:W3CDTF">2026-09-09T18:19:19.825Z</dcterms:modified>
</cp:coreProperties>
</file>

<file path=docProps/custom.xml><?xml version="1.0" encoding="utf-8"?>
<Properties xmlns="http://schemas.openxmlformats.org/officeDocument/2006/custom-properties" xmlns:vt="http://schemas.openxmlformats.org/officeDocument/2006/docPropsVTypes"/>
</file>