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40" w:line="240" w:lineRule="auto"/>
        <w:jc w:val="center"/>
      </w:pPr>
      <w:r>
        <w:drawing>
          <wp:inline distT="0" distB="0" distL="0" distR="0">
            <wp:extent cx="1295400" cy="638175"/>
            <wp:effectExtent t="0" r="0" b="0" l="0"/>
            <wp:docPr id="1" name="logo" descr="לוגו הקריה האקדמית אונו" title="הקריה האקדמית אונ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95400" cy="638175"/>
                    </a:xfrm>
                    <a:prstGeom prst="rect">
                      <a:avLst/>
                    </a:prstGeom>
                  </pic:spPr>
                </pic:pic>
              </a:graphicData>
            </a:graphic>
          </wp:inline>
        </w:drawing>
      </w:r>
    </w:p>
    <w:p>
      <w:pPr>
        <w:bidi/>
        <w:spacing w:after="120" w:before="0" w:line="360"/>
        <w:jc w:val="center"/>
      </w:pPr>
      <w:r>
        <w:rPr>
          <w:rFonts w:ascii="David" w:cs="David" w:eastAsia="David" w:hAnsi="David"/>
          <w:b/>
          <w:bCs/>
          <w:sz w:val="24"/>
          <w:szCs w:val="24"/>
          <w:rtl/>
        </w:rPr>
        <w:t xml:space="preserve">הקריה האקדמית אונו</w:t>
      </w:r>
    </w:p>
    <w:p>
      <w:pPr>
        <w:bidi/>
        <w:spacing w:after="480" w:before="0" w:line="360"/>
        <w:jc w:val="center"/>
      </w:pPr>
      <w:r>
        <w:rPr>
          <w:rFonts w:ascii="David" w:cs="David" w:eastAsia="David" w:hAnsi="David"/>
          <w:sz w:val="24"/>
          <w:szCs w:val="24"/>
          <w:rtl/>
        </w:rPr>
        <w:t xml:space="preserve">הפקולטה למדעי הרוח, החוג לחינוך וחברה</w:t>
      </w:r>
    </w:p>
    <w:p>
      <w:pPr>
        <w:bidi/>
        <w:spacing w:after="60" w:before="0" w:line="360"/>
        <w:jc w:val="center"/>
      </w:pPr>
      <w:r>
        <w:rPr>
          <w:rFonts w:ascii="David" w:cs="David" w:eastAsia="David" w:hAnsi="David"/>
          <w:sz w:val="24"/>
          <w:szCs w:val="24"/>
          <w:rtl/>
        </w:rPr>
        <w:t xml:space="preserve">מוגבלות בלתי נראית ב'</w:t>
      </w:r>
    </w:p>
    <w:p>
      <w:pPr>
        <w:bidi/>
        <w:spacing w:after="60" w:before="0" w:line="360"/>
        <w:jc w:val="center"/>
      </w:pPr>
      <w:r>
        <w:rPr>
          <w:rFonts w:ascii="David" w:cs="David" w:eastAsia="David" w:hAnsi="David"/>
          <w:sz w:val="24"/>
          <w:szCs w:val="24"/>
          <w:rtl/>
        </w:rPr>
        <w:t xml:space="preserve">שנת הלימודים תשפ"ו, סמסטר ב'</w:t>
      </w:r>
    </w:p>
    <w:p>
      <w:pPr>
        <w:bidi/>
        <w:spacing w:after="720" w:before="0" w:line="360"/>
        <w:jc w:val="center"/>
      </w:pPr>
      <w:r>
        <w:rPr>
          <w:rFonts w:ascii="David" w:cs="David" w:eastAsia="David" w:hAnsi="David"/>
          <w:sz w:val="24"/>
          <w:szCs w:val="24"/>
          <w:rtl/>
        </w:rPr>
        <w:t xml:space="preserve">מרצה: ד"ר דורית ושלר</w:t>
      </w:r>
    </w:p>
    <w:p>
      <w:pPr>
        <w:bidi/>
        <w:spacing w:after="200" w:before="0" w:line="360"/>
        <w:jc w:val="center"/>
      </w:pPr>
      <w:r>
        <w:rPr>
          <w:rFonts w:ascii="David" w:cs="David" w:eastAsia="David" w:hAnsi="David"/>
          <w:b/>
          <w:bCs/>
          <w:sz w:val="24"/>
          <w:szCs w:val="24"/>
          <w:rtl/>
        </w:rPr>
        <w:t xml:space="preserve">מטלת סיכום קורס</w:t>
      </w:r>
    </w:p>
    <w:p>
      <w:pPr>
        <w:bidi/>
        <w:spacing w:after="60" w:before="0" w:line="360"/>
        <w:jc w:val="center"/>
      </w:pPr>
      <w:r>
        <w:rPr>
          <w:rFonts w:ascii="David" w:cs="David" w:eastAsia="David" w:hAnsi="David"/>
          <w:b/>
          <w:bCs/>
          <w:sz w:val="24"/>
          <w:szCs w:val="24"/>
          <w:rtl/>
        </w:rPr>
        <w:t xml:space="preserve">צבים עד למטה: בין הסתרה לחשיפה בדמותה של אזה הולמס</w:t>
      </w:r>
    </w:p>
    <w:p>
      <w:pPr>
        <w:bidi/>
        <w:spacing w:after="960" w:before="0" w:line="360"/>
        <w:jc w:val="center"/>
      </w:pPr>
      <w:r>
        <w:rPr>
          <w:rFonts w:ascii="David" w:cs="David" w:eastAsia="David" w:hAnsi="David"/>
          <w:sz w:val="24"/>
          <w:szCs w:val="24"/>
          <w:rtl/>
        </w:rPr>
        <w:t xml:space="preserve">ייצוגה של הפרעה טורדנית-כפייתית ומשמעותה לעבודה החינוכית</w:t>
      </w:r>
    </w:p>
    <w:p>
      <w:pPr>
        <w:bidi/>
        <w:spacing w:after="60" w:before="0" w:line="360"/>
        <w:jc w:val="center"/>
      </w:pPr>
      <w:r>
        <w:rPr>
          <w:rFonts w:ascii="David" w:cs="David" w:eastAsia="David" w:hAnsi="David"/>
          <w:sz w:val="24"/>
          <w:szCs w:val="24"/>
          <w:rtl/>
        </w:rPr>
        <w:t xml:space="preserve">מגישים:</w:t>
      </w:r>
    </w:p>
    <w:p>
      <w:pPr>
        <w:bidi/>
        <w:spacing w:after="60" w:before="0" w:line="360"/>
        <w:jc w:val="center"/>
      </w:pPr>
      <w:r>
        <w:rPr>
          <w:rFonts w:ascii="David" w:cs="David" w:eastAsia="David" w:hAnsi="David"/>
          <w:sz w:val="24"/>
          <w:szCs w:val="24"/>
          <w:rtl/>
        </w:rPr>
        <w:t xml:space="preserve">רביע אלטורי, ת.ז. 209529783</w:t>
      </w:r>
    </w:p>
    <w:p>
      <w:pPr>
        <w:bidi/>
        <w:spacing w:after="600" w:before="0" w:line="360"/>
        <w:jc w:val="center"/>
      </w:pPr>
      <w:r>
        <w:rPr>
          <w:rFonts w:ascii="David" w:cs="David" w:eastAsia="David" w:hAnsi="David"/>
          <w:sz w:val="24"/>
          <w:szCs w:val="24"/>
          <w:rtl/>
        </w:rPr>
        <w:t xml:space="preserve">רדואן אלטורי, ת.ז. 300632767</w:t>
      </w:r>
    </w:p>
    <w:p>
      <w:pPr>
        <w:bidi/>
        <w:spacing w:after="120" w:before="0" w:line="360"/>
        <w:jc w:val="center"/>
      </w:pPr>
      <w:r>
        <w:rPr>
          <w:rFonts w:ascii="David" w:cs="David" w:eastAsia="David" w:hAnsi="David"/>
          <w:sz w:val="24"/>
          <w:szCs w:val="24"/>
          <w:rtl/>
        </w:rPr>
        <w:t xml:space="preserve">ט"ז באב תשפ"ו, 30 ביולי 2026</w:t>
      </w:r>
    </w:p>
    <w:p>
      <w:pPr>
        <w:sectPr>
          <w:pgSz w:w="11906" w:h="16838" w:orient="portrait"/>
          <w:pgMar w:top="1440" w:right="1440" w:bottom="1440" w:left="1440" w:header="708" w:footer="708" w:gutter="0"/>
          <w:pgNumType/>
          <w:docGrid w:linePitch="360"/>
        </w:sectPr>
      </w:pPr>
    </w:p>
    <w:p>
      <w:pPr>
        <w:bidi/>
        <w:spacing w:after="120" w:before="0" w:line="360"/>
        <w:jc w:val="both"/>
      </w:pPr>
      <w:r>
        <w:rPr>
          <w:rFonts w:ascii="David" w:cs="David" w:eastAsia="David" w:hAnsi="David"/>
          <w:sz w:val="24"/>
          <w:szCs w:val="24"/>
          <w:rtl/>
        </w:rPr>
        <w:t xml:space="preserve">מוגבלות שאינה נראית מציבה בפני מי שחי איתה שאלה שחוזרת בכל מפגש חדש: האם לספר, למי, ובאיזה עיתוי. ההחלטה נגזרת מהקהל ומההקשר, ולכן היא מתקבלת שוב ושוב (איכנגרין ואחרים, 2016). העבודה בוחנת אותה דרך אזה הולמס, המספרת ברומן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של ג'ון גרין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נערה בת שש-עשרה המתמודדת עם הפרעה טורדנית-כפייתית.</w:t>
      </w:r>
    </w:p>
    <w:p>
      <w:pPr>
        <w:keepNext/>
        <w:bidi/>
        <w:spacing w:after="80" w:before="200" w:line="360"/>
        <w:jc w:val="right"/>
      </w:pPr>
      <w:r>
        <w:rPr>
          <w:rFonts w:ascii="David" w:cs="David" w:eastAsia="David" w:hAnsi="David"/>
          <w:b/>
          <w:bCs/>
          <w:sz w:val="24"/>
          <w:szCs w:val="24"/>
          <w:rtl/>
        </w:rPr>
        <w:t xml:space="preserve">1. הצגת הדמות והמוגבלות</w:t>
      </w:r>
    </w:p>
    <w:p>
      <w:pPr>
        <w:bidi/>
        <w:spacing w:after="120" w:before="0" w:line="360"/>
        <w:jc w:val="both"/>
      </w:pPr>
      <w:r>
        <w:rPr>
          <w:rFonts w:ascii="David" w:cs="David" w:eastAsia="David" w:hAnsi="David"/>
          <w:sz w:val="24"/>
          <w:szCs w:val="24"/>
          <w:rtl/>
        </w:rPr>
        <w:t xml:space="preserve">אזה הולמס היא דמות בדיונית, גיבורת הרומן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כל המידע עליה נלקח מן הרומן, הכתוב בגוף ראשון מתוך התודעה שלה ובלי מספר חיצוני שמסביר אותה לקורא.</w:t>
      </w:r>
    </w:p>
    <w:p>
      <w:pPr>
        <w:bidi/>
        <w:spacing w:after="120" w:before="0" w:line="360"/>
        <w:jc w:val="both"/>
      </w:pPr>
      <w:r>
        <w:rPr>
          <w:rFonts w:ascii="David" w:cs="David" w:eastAsia="David" w:hAnsi="David"/>
          <w:sz w:val="24"/>
          <w:szCs w:val="24"/>
          <w:rtl/>
        </w:rPr>
        <w:t xml:space="preserve">אזה תלמידת תיכון באינדיאנפוליס. אביה מת ממחלת לב בילדותה, ואמה מלמדת מתמטיקה באותו בית ספר שבו היא לומדת. ההתמודדות המרכזית שלה היא מחשבות טורדניות סביב זיהום חיידקי, ובפרט חרדה מהחיידק </w:t>
      </w:r>
      <w:r>
        <w:rPr>
          <w:rFonts w:ascii="Times New Roman" w:cs="Times New Roman" w:eastAsia="Times New Roman" w:hAnsi="Times New Roman"/>
          <w:sz w:val="24"/>
          <w:szCs w:val="24"/>
        </w:rPr>
        <w:t xml:space="preserve">Clostridium difficile.</w:t>
      </w:r>
      <w:r>
        <w:rPr>
          <w:rFonts w:ascii="David" w:cs="David" w:eastAsia="David" w:hAnsi="David"/>
          <w:sz w:val="24"/>
          <w:szCs w:val="24"/>
          <w:rtl/>
        </w:rPr>
        <w:t xml:space="preserve"> המחשבות מתוארות כספירלה שמצטמצמת סביב עצמה. כדי להשתיק אותן היא פותחת שוב ושוב פצע בקצה האצבע, ובאחד השלבים אף שותה חומר חיטוי לידיים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כלפי חוץ לא רואים דבר. אזה תלמידה טובה ומגיעה בזמן לשיעורים, והסימן הגלוי היחיד הוא הפלסטר על האצבע, שנקרא כשריטה. הפער בין החוויה הפנימית למה שהסביבה רואה הוא מה שמגדיר מוגבלות בלתי נראית, ולפער הזה השלכות על איכות החיים (כהן, 2020).</w:t>
      </w:r>
    </w:p>
    <w:p>
      <w:pPr>
        <w:bidi/>
        <w:spacing w:after="120" w:before="0" w:line="360"/>
        <w:jc w:val="both"/>
      </w:pPr>
      <w:r>
        <w:rPr>
          <w:rFonts w:ascii="David" w:cs="David" w:eastAsia="David" w:hAnsi="David"/>
          <w:sz w:val="24"/>
          <w:szCs w:val="24"/>
          <w:rtl/>
        </w:rPr>
        <w:t xml:space="preserve">היציאה מן הארון אצל אזה אינה מתרחשת בנקודה אחת. סמואלס (2016) מראה שדימוי הארון, שהושאל משיח הזהות המינית, אינו מתאים במלואו למוגבלות בלתי נראית, מפני שהחשיפה בה חלקית וחוזרת על עצמה. אזה עוברת בבית הספר כתלמידה ללא מוגבלות, ורק בפני שלושה אנשים חושפת משהו (איכנגרין ואחרים, 2016).</w:t>
      </w:r>
    </w:p>
    <w:p>
      <w:pPr>
        <w:keepNext/>
        <w:bidi/>
        <w:spacing w:after="80" w:before="200" w:line="360"/>
        <w:jc w:val="right"/>
      </w:pPr>
      <w:r>
        <w:rPr>
          <w:rFonts w:ascii="David" w:cs="David" w:eastAsia="David" w:hAnsi="David"/>
          <w:b/>
          <w:bCs/>
          <w:sz w:val="24"/>
          <w:szCs w:val="24"/>
          <w:rtl/>
        </w:rPr>
        <w:t xml:space="preserve">2. ביטויים של ההתמודדות</w:t>
      </w:r>
    </w:p>
    <w:p>
      <w:pPr>
        <w:bidi/>
        <w:spacing w:after="120" w:before="0" w:line="360"/>
        <w:jc w:val="both"/>
      </w:pPr>
      <w:r>
        <w:rPr>
          <w:rFonts w:ascii="David" w:cs="David" w:eastAsia="David" w:hAnsi="David"/>
          <w:sz w:val="24"/>
          <w:szCs w:val="24"/>
          <w:rtl/>
        </w:rPr>
        <w:t xml:space="preserve">בתחום הלימודי אזה עומדת בדרישות, ומחיר העמידה סמוי. חלק מן השיעורים עוברים עליה בתוך לופ מחשבתי שאינו קשור לנעשה בכיתה. מחקר על סטודנטים עם מוגבלות בישראל מצא שרבים נמנעים מלבקש התאמות מחשש לתיוג ומתוך תפיסה שבקשת עזרה מעידה על חוסר מסוגלות (אלמוג, 2018). אזה אינה מבקשת דבר.</w:t>
      </w:r>
    </w:p>
    <w:p>
      <w:pPr>
        <w:bidi/>
        <w:spacing w:after="120" w:before="0" w:line="360"/>
        <w:jc w:val="both"/>
      </w:pPr>
      <w:r>
        <w:rPr>
          <w:rFonts w:ascii="David" w:cs="David" w:eastAsia="David" w:hAnsi="David"/>
          <w:sz w:val="24"/>
          <w:szCs w:val="24"/>
          <w:rtl/>
        </w:rPr>
        <w:t xml:space="preserve">ההשתתפות החברתית מצטמצמת בלי שהתקבלה החלטה מוצהרת. סיטואציות שכוללות אוכל משותף או מגע פיזי הופכות אצלה לחשבון של סיכון, והיא מסננת מראש מקומות שאליהם תלך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מבחוץ זה נראה כמו נערה מסויגת.</w:t>
      </w:r>
    </w:p>
    <w:p>
      <w:pPr>
        <w:bidi/>
        <w:spacing w:after="120" w:before="0" w:line="360"/>
        <w:jc w:val="both"/>
      </w:pPr>
      <w:r>
        <w:rPr>
          <w:rFonts w:ascii="David" w:cs="David" w:eastAsia="David" w:hAnsi="David"/>
          <w:sz w:val="24"/>
          <w:szCs w:val="24"/>
          <w:rtl/>
        </w:rPr>
        <w:t xml:space="preserve">דייזי, חברתה הקרובה, כותבת סיפור שבו מופיעה דמות שנבנתה על אזה: חברה שקועה בעצמה שמעמיסה על הסובבים אותה. כשאזה קוראת אותו מתפרצת ביניהן מחלוקת שמסתיימת בתאונת דרכים. הסביבה מפרשת את ההתנהגות לא כמוגבלות אלא כתכונת אופי, וזה אחד המחירים של ההסתרה (כהן, 2020).</w:t>
      </w:r>
    </w:p>
    <w:p>
      <w:pPr>
        <w:bidi/>
        <w:spacing w:after="120" w:before="0" w:line="360"/>
        <w:jc w:val="both"/>
      </w:pPr>
      <w:r>
        <w:rPr>
          <w:rFonts w:ascii="David" w:cs="David" w:eastAsia="David" w:hAnsi="David"/>
          <w:sz w:val="24"/>
          <w:szCs w:val="24"/>
          <w:rtl/>
        </w:rPr>
        <w:t xml:space="preserve">ביחסים הזוגיים עם דייוויס החשיפה נעשית בטיפות. אזה מתקשה בקרבה פיזית מפני שהמחשבות על חיידקים משתלטות עליה בדיוק ברגעים האלה. השקילה הזאת, של הסיכון שבחשיפה מול המחיר שבשתיקה, נעשית מול כל אדם מחדש ובלי מידע כיצד תתקבל (נעמן ואחרים, 2017).</w:t>
      </w:r>
    </w:p>
    <w:p>
      <w:pPr>
        <w:bidi/>
        <w:spacing w:after="120" w:before="0" w:line="360"/>
        <w:jc w:val="both"/>
      </w:pPr>
      <w:r>
        <w:rPr>
          <w:rFonts w:ascii="David" w:cs="David" w:eastAsia="David" w:hAnsi="David"/>
          <w:sz w:val="24"/>
          <w:szCs w:val="24"/>
          <w:rtl/>
        </w:rPr>
        <w:t xml:space="preserve">במשפחה, אמה נעה בין הגנת יתר לחוסר אונים. היא מכירה את האבחנה ודואגת לתרופות שאזה לוקחת באופן לא סדיר. ההתמדה החלקית מתקשרת לסטיגמה המופנמת שטל (2007) מתאר: כשאדם מאמץ את עמדות החברה כלפי מוגבלות נפשית, נטילת התרופה הופכת לאישור יומי של הזהות שהוא מנסה לדחות.</w:t>
      </w:r>
    </w:p>
    <w:p>
      <w:pPr>
        <w:bidi/>
        <w:spacing w:after="120" w:before="0" w:line="360"/>
        <w:jc w:val="both"/>
      </w:pPr>
      <w:r>
        <w:rPr>
          <w:rFonts w:ascii="David" w:cs="David" w:eastAsia="David" w:hAnsi="David"/>
          <w:sz w:val="24"/>
          <w:szCs w:val="24"/>
          <w:rtl/>
        </w:rPr>
        <w:t xml:space="preserve">הקושי החמור ביותר שאינו נראה מבחוץ אינו הפצע באצבע. זו השאלה אם היא בעלת בית במחשבותיה שלה. פינקלשטיין (2014) תיארה אצל נשים עם מחלות כרוניות תחושת קיום בעולם שאינו מכיר בסבלן, שבו עמימות רפואית והכחשה חברתית מייצרות ספק בעצם אמינות החוויה. אזה מגיעה למקום דומה, בלי שאיש בבית הספר מזהה זאת.</w:t>
      </w:r>
    </w:p>
    <w:p>
      <w:pPr>
        <w:keepNext/>
        <w:bidi/>
        <w:spacing w:after="80" w:before="200" w:line="360"/>
        <w:jc w:val="right"/>
      </w:pPr>
      <w:r>
        <w:rPr>
          <w:rFonts w:ascii="David" w:cs="David" w:eastAsia="David" w:hAnsi="David"/>
          <w:b/>
          <w:bCs/>
          <w:sz w:val="24"/>
          <w:szCs w:val="24"/>
          <w:rtl/>
        </w:rPr>
        <w:t xml:space="preserve">3. ניתוח ביקורתי</w:t>
      </w:r>
    </w:p>
    <w:p>
      <w:pPr>
        <w:bidi/>
        <w:spacing w:after="120" w:before="0" w:line="360"/>
        <w:jc w:val="both"/>
      </w:pPr>
      <w:r>
        <w:rPr>
          <w:rFonts w:ascii="David" w:cs="David" w:eastAsia="David" w:hAnsi="David"/>
          <w:sz w:val="24"/>
          <w:szCs w:val="24"/>
          <w:rtl/>
        </w:rPr>
        <w:t xml:space="preserve">הייצוג ברומן חזק בשני מקומות. הוא מציג הפרעה טורדנית-כפייתית כמחשבות טורדניות וכחרדה ולא כאהבת סדר וניקיון, והסטריאוטיפ התקשורתי של הדמות הקפדנית שמיישרת עפרונות נעדר כאן לחלוטין. בנוסף, העלילה מסרבת לפתרון שבו האהבה מרפאה. אזה ודייוויס נפרדים, וההתמודדות נמשכת מעבר לסוף הספר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ובכל זאת לייצוג יש מגבלות. ההתמודדות משובצת בתוך עלילת מסתורין ורומן נעורים, ולכן היא נדרשת לעתים לשרת את המבנה הדרמטי. התאונה מגיעה בשיא הסיפור ואחריה האשפוז, כאילו מוגבלות בלתי נראית חייבת להפוך לרגע אחד גלוי כדי שהקורא יאמין לה. מעבר לכך, לאזה יש משאבים שלרוב האנשים אין: פסיכולוגית קבועה, אם שמאמינה לה ואמצעים לשלם. שאלת הנגישות, ההתאמות והזכויות כמעט אינה נוכחת בספר, וזה חסר מהותי בייצוג של מוגבלות.</w:t>
      </w:r>
    </w:p>
    <w:p>
      <w:pPr>
        <w:bidi/>
        <w:spacing w:after="120" w:before="0" w:line="360"/>
        <w:jc w:val="both"/>
      </w:pPr>
      <w:r>
        <w:rPr>
          <w:rFonts w:ascii="David" w:cs="David" w:eastAsia="David" w:hAnsi="David"/>
          <w:sz w:val="24"/>
          <w:szCs w:val="24"/>
          <w:rtl/>
        </w:rPr>
        <w:t xml:space="preserve">היעדר בולט אחד בייצוג הוא בית הספר. אזה עוברת שנה שלמה במסגרת חינוכית שאין בה מבוגר אחד ששואל שאלה, ואפילו אמה, שמלמדת באותו בית ספר, אינה הופכת לגשר בין הבית לצוות. זו נאמנות למציאות, אבל היא גם מעבירה את מלוא האחריות למשפחה ולטיפול הממומן ופוטרת את המערכת מתפקיד. הספרות בתחום עומדת דווקא על החיבור בין מדיניות, שיח ופרקטיקה (אלמוג, 2018).</w:t>
      </w:r>
    </w:p>
    <w:p>
      <w:pPr>
        <w:bidi/>
        <w:spacing w:after="120" w:before="0" w:line="360"/>
        <w:jc w:val="both"/>
      </w:pPr>
      <w:r>
        <w:rPr>
          <w:rFonts w:ascii="David" w:cs="David" w:eastAsia="David" w:hAnsi="David"/>
          <w:sz w:val="24"/>
          <w:szCs w:val="24"/>
          <w:rtl/>
        </w:rPr>
        <w:t xml:space="preserve">נקודה נוספת נוגעת לצורה. אזה מספרת את הספירלה בשפה מהוקצעת, וכך הקורא מקבל דין וחשבון מסודר על חוויה שאינה מסודרת. זה מה שהופך את הספר לקריא, וגם מה שמרכך אותו, ועלול ללמד שמוגבלות נפשית היא דבר שאפשר להסביר במילים אם רק מתאמצים. זו בדיוק הציפייה שמכבידה על מי שאינו מצליח להסביר (סמואלס, 2016).</w:t>
      </w:r>
    </w:p>
    <w:p>
      <w:pPr>
        <w:bidi/>
        <w:spacing w:after="120" w:before="0" w:line="360"/>
        <w:jc w:val="both"/>
      </w:pPr>
      <w:r>
        <w:rPr>
          <w:rFonts w:ascii="David" w:cs="David" w:eastAsia="David" w:hAnsi="David"/>
          <w:sz w:val="24"/>
          <w:szCs w:val="24"/>
          <w:rtl/>
        </w:rPr>
        <w:t xml:space="preserve">מה שהקורא לומד תלוי בקריאה. הלמידה המשמעותית היא שתפקוד חיצוני אינו מדד לסבל, ושמשפט כמו "היא נראית בסדר" אינו מידע. הסיכון הוא שקורא יקח את אזה כדגם של הפרעה טורדנית-כפייתית בכלל, וימדוד לפיה תלמידים שההתמודדות שלהם נראית אחרת לגמרי.</w:t>
      </w:r>
    </w:p>
    <w:p>
      <w:pPr>
        <w:keepNext/>
        <w:bidi/>
        <w:spacing w:after="80" w:before="200" w:line="360"/>
        <w:jc w:val="right"/>
      </w:pPr>
      <w:r>
        <w:rPr>
          <w:rFonts w:ascii="David" w:cs="David" w:eastAsia="David" w:hAnsi="David"/>
          <w:b/>
          <w:bCs/>
          <w:sz w:val="24"/>
          <w:szCs w:val="24"/>
          <w:rtl/>
        </w:rPr>
        <w:t xml:space="preserve">4. רפלקציה מקצועית</w:t>
      </w:r>
    </w:p>
    <w:p>
      <w:pPr>
        <w:bidi/>
        <w:spacing w:after="120" w:before="0" w:line="360"/>
        <w:jc w:val="both"/>
      </w:pPr>
      <w:r>
        <w:rPr>
          <w:rFonts w:ascii="David" w:cs="David" w:eastAsia="David" w:hAnsi="David"/>
          <w:sz w:val="24"/>
          <w:szCs w:val="24"/>
          <w:rtl/>
        </w:rPr>
        <w:t xml:space="preserve">אם תלמידה כמו אזה הייתה מגיעה לכיתה שלנו, סביר שלא היינו יודעים דבר. זו נקודת הפתיחה, ומכאן נגזרות כמה החלטות מעשיות.</w:t>
      </w:r>
    </w:p>
    <w:p>
      <w:pPr>
        <w:bidi/>
        <w:spacing w:after="120" w:before="0" w:line="360"/>
        <w:jc w:val="both"/>
      </w:pPr>
      <w:r>
        <w:rPr>
          <w:rFonts w:ascii="David" w:cs="David" w:eastAsia="David" w:hAnsi="David"/>
          <w:sz w:val="24"/>
          <w:szCs w:val="24"/>
          <w:rtl/>
        </w:rPr>
        <w:t xml:space="preserve">ראשית, לא לחכות לחשיפה כדי להנגיש. החסם שתואר אצל סטודנטים עם מוגבלות בישראל, שלפיו בקשת התאמה נתפסת כהודאה בחוסר מסוגלות (אלמוג, 2018), נחלש כשההתאמה אינה מחייבת בקשה אישית. מנגנונים שנבנים מראש לכל התלמידים מייתרים את הצורך להסביר את עצמו: אפשרות לצאת מהכיתה בלי לבקש רשות ובלי לפרט למה, הימנעות מקריאה בקול בהפתעה, זמן נוסף כברירת מחדל במשימות כתיבה. תלמידה שאינה נדרשת להסביר אינה נדרשת לבחור בין חשיפה לוויתור.</w:t>
      </w:r>
    </w:p>
    <w:p>
      <w:pPr>
        <w:bidi/>
        <w:spacing w:after="120" w:before="0" w:line="360"/>
        <w:jc w:val="both"/>
      </w:pPr>
      <w:r>
        <w:rPr>
          <w:rFonts w:ascii="David" w:cs="David" w:eastAsia="David" w:hAnsi="David"/>
          <w:sz w:val="24"/>
          <w:szCs w:val="24"/>
          <w:rtl/>
        </w:rPr>
        <w:t xml:space="preserve">שנית, כשחשיפה כן מגיעה, לשמור עליה. אזה חשפה בפני שלושה אנשים בלבד, ולא בגלל חוסר אמון בצוות. חשיפה בפני מחנכת אינה אישור להעביר את המידע לחדר המורים. ההסכמה צריכה להיות מפורשת ולנקוב בשמות: מי יידע, מה בדיוק ייאמר, ומה לא ייאמר. בתי ספר רגילים לראות בשיתוף מידע ערך מקצועי, וכאן שיתוף בלי הסכמה הוא הפרה. כשאחד מאנשי הצוות הוא גם הורה של התלמידה, כמו במקרה של אזה, ההפרדה בין שני התפקידים קשה במיוחד וצריך להגדיר אותה מראש ולא בדיעבד.</w:t>
      </w:r>
    </w:p>
    <w:p>
      <w:pPr>
        <w:bidi/>
        <w:spacing w:after="120" w:before="0" w:line="360"/>
        <w:jc w:val="both"/>
      </w:pPr>
      <w:r>
        <w:rPr>
          <w:rFonts w:ascii="David" w:cs="David" w:eastAsia="David" w:hAnsi="David"/>
          <w:sz w:val="24"/>
          <w:szCs w:val="24"/>
          <w:rtl/>
        </w:rPr>
        <w:t xml:space="preserve">שלישית, כלי אחד וקונקרטי. פתק התמודדות שנכתב יחד עם התלמידה ובו שלוש שורות: מה קורה לי כשקשה, מה כן לעשות, מה לא לעשות. הפתק נשמר אצל איש צוות אחד שהיא בחרה ומתעדכן פעם בסמסטר. הוא מייתר את הצורך להסביר בזמן אמת, בדיוק ברגע שבו אין לה פניות להסביר.</w:t>
      </w:r>
    </w:p>
    <w:p>
      <w:pPr>
        <w:bidi/>
        <w:spacing w:after="120" w:before="0" w:line="360"/>
        <w:jc w:val="both"/>
      </w:pPr>
      <w:r>
        <w:rPr>
          <w:rFonts w:ascii="David" w:cs="David" w:eastAsia="David" w:hAnsi="David"/>
          <w:sz w:val="24"/>
          <w:szCs w:val="24"/>
          <w:rtl/>
        </w:rPr>
        <w:t xml:space="preserve">רביעית, לא לשכוח את הסביבה. דייזי לא הייתה אויבת, היא הייתה נערה בת שש-עשרה שנשאה לבד משהו שלא הבינה. בית ספר שמלמד את כלל תלמידיו שמוגבלות אינה בהכרח נראית מקטין את הסיכוי שהתנהגות תיקרא כאגואיזם, ובלי לדבר על אף תלמיד ספציפי.</w:t>
      </w:r>
    </w:p>
    <w:p>
      <w:pPr>
        <w:bidi/>
        <w:spacing w:after="120" w:before="0" w:line="360"/>
        <w:jc w:val="both"/>
      </w:pPr>
      <w:r>
        <w:rPr>
          <w:rFonts w:ascii="David" w:cs="David" w:eastAsia="David" w:hAnsi="David"/>
          <w:sz w:val="24"/>
          <w:szCs w:val="24"/>
          <w:rtl/>
        </w:rPr>
        <w:t xml:space="preserve">חמישית, לתעד דפוסים ולא אירועים. מוגבלות בלתי נראית מתגלה בחזרה ולא ברגע דרמטי אחד: אותה יציאה מהשיעור באותה שעה בשבוע, אותה משימה שאינה מוגשת, אותה היעדרות אחרי מבחן. יומן קצר שממולא פעם בשבוע מייצר תמונה שאף אירוע בודד אינו מייצר, ומאפשר לפנות להורים עם עובדות במקום עם רושם.</w:t>
      </w:r>
    </w:p>
    <w:p>
      <w:pPr>
        <w:bidi/>
        <w:spacing w:after="120" w:before="0" w:line="360"/>
        <w:jc w:val="both"/>
      </w:pPr>
      <w:r>
        <w:rPr>
          <w:rFonts w:ascii="David" w:cs="David" w:eastAsia="David" w:hAnsi="David"/>
          <w:sz w:val="24"/>
          <w:szCs w:val="24"/>
          <w:rtl/>
        </w:rPr>
        <w:t xml:space="preserve">שישית, מה עושים כשאין חשיפה ויש חשד. לא לאבחן ולא לשאול על מוגבלות, כי לצוות חינוכי אין סמכות לכך ושאלה כזאת דוחפת לחשיפה שלא נבחרה. מה שכן אפשר הוא לתאר מה נראה בעיניים, בלי פרשנות, ולשאול מה יעזור. אמירה כמו "אני רואה שבשבועות האחרונים את יוצאת הרבה מהשיעור, יש משהו שאפשר לסדר" מאפשרת לתלמידה להיעזר בלי להצהיר על דבר.</w:t>
      </w:r>
    </w:p>
    <w:p>
      <w:pPr>
        <w:bidi/>
        <w:spacing w:after="120" w:before="0" w:line="360"/>
        <w:jc w:val="both"/>
      </w:pPr>
      <w:r>
        <w:rPr>
          <w:rFonts w:ascii="David" w:cs="David" w:eastAsia="David" w:hAnsi="David"/>
          <w:sz w:val="24"/>
          <w:szCs w:val="24"/>
          <w:rtl/>
        </w:rPr>
        <w:t xml:space="preserve">ומה לא לעשות. לא לבקש הוכחה, גם לא בעקיפין ובנוסח של שאלה אם היא בטוחה שזה באמת כל כך קשה. ולא להרגיע בהכללה שכולם מרגישים ככה לפעמים, כי זו מחיקה של המוגבלות ולא הכלה שלה. שתי התגובות נראות אמפתיות מבחוץ, ובפועל הן מלמדות את התלמידה שלא היה כדאי לספר.</w:t>
      </w:r>
    </w:p>
    <w:p>
      <w:pPr>
        <w:bidi/>
        <w:spacing w:after="0" w:before="0" w:line="360"/>
        <w:jc w:val="both"/>
      </w:pPr>
      <w:r>
        <w:rPr>
          <w:rFonts w:ascii="David" w:cs="David" w:eastAsia="David" w:hAnsi="David"/>
          <w:sz w:val="24"/>
          <w:szCs w:val="24"/>
          <w:rtl/>
        </w:rPr>
        <w:t xml:space="preserve">מה שאנשי ונשות חינוך צריכים לדעת אינו רשימת אבחנות. הם צריכים לדעת שהחשיפה היא תהליך שמתרחש בכל פעם מחדש ולא הישג חד-פעמי (סמואלס, 2016), ושאי-חשיפה אינה חוסר שיתוף פעולה. וגם שהשפה שבה מדברים על תלמידה בישיבת צוות היא כבר חלק מהיחס אליה. לכן נאמר תלמידה המתמודדת עם הפרעה טורדנית-כפייתית, ולא נגזור ממנה שם תואר.</w:t>
      </w:r>
    </w:p>
    <w:p>
      <w:r>
        <w:br w:type="page"/>
      </w:r>
    </w:p>
    <w:p>
      <w:pPr>
        <w:bidi/>
        <w:spacing w:after="240" w:line="360"/>
        <w:jc w:val="center"/>
      </w:pPr>
      <w:r>
        <w:rPr>
          <w:rFonts w:ascii="David" w:cs="David" w:eastAsia="David" w:hAnsi="David"/>
          <w:b/>
          <w:bCs/>
          <w:sz w:val="24"/>
          <w:szCs w:val="24"/>
          <w:rtl/>
        </w:rPr>
        <w:t xml:space="preserve">רשימת מקורות</w:t>
      </w:r>
    </w:p>
    <w:p>
      <w:pPr>
        <w:bidi/>
        <w:spacing w:after="120" w:line="360"/>
        <w:ind w:righ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אלמוג, נ' (2018). "משהו כאן עוצר אותי": סטודנטים עם מוגבלויות בישראל, מדיניות, שיח ופרקטיקה.</w:t>
      </w:r>
      <w:r>
        <w:rPr>
          <w:rFonts w:ascii="David" w:cs="David" w:eastAsia="David" w:hAnsi="David"/>
          <w:i/>
          <w:iCs/>
          <w:sz w:val="24"/>
          <w:szCs w:val="24"/>
          <w:rtl/>
        </w:rPr>
        <w:t xml:space="preserve"> קשת: כתב עת למדעי הרוח והחברה, 2</w:t>
      </w:r>
      <w:r>
        <w:rPr>
          <w:rFonts w:ascii="David" w:cs="David" w:eastAsia="David" w:hAnsi="David"/>
          <w:sz w:val="24"/>
          <w:szCs w:val="24"/>
          <w:rtl/>
        </w:rPr>
        <w:t xml:space="preserve">, 31-65.</w:t>
      </w:r>
    </w:p>
    <w:p>
      <w:pPr>
        <w:bidi/>
        <w:spacing w:after="120" w:line="360"/>
        <w:ind w:right="709" w:hanging="709"/>
        <w:jc w:val="right"/>
      </w:pPr>
      <w:r>
        <w:rPr>
          <w:rFonts w:ascii="David" w:cs="David" w:eastAsia="David" w:hAnsi="David"/>
          <w:sz w:val="24"/>
          <w:szCs w:val="24"/>
          <w:rtl/>
        </w:rPr>
        <w:t xml:space="preserve">טל, א' (2007). על הסטיגמה כלפי אנשים עם מוגבלויות פסיכיאטריות. בתוך נ' הדס-לידור ומ' לכמן (עורכים),</w:t>
      </w:r>
      <w:r>
        <w:rPr>
          <w:rFonts w:ascii="David" w:cs="David" w:eastAsia="David" w:hAnsi="David"/>
          <w:i/>
          <w:iCs/>
          <w:sz w:val="24"/>
          <w:szCs w:val="24"/>
          <w:rtl/>
        </w:rPr>
        <w:t xml:space="preserve"> שיקום והחלמה בבריאות הנפש: פרקטיקה, מדיניות ומחקר</w:t>
      </w:r>
      <w:r>
        <w:rPr>
          <w:rFonts w:ascii="David" w:cs="David" w:eastAsia="David" w:hAnsi="David"/>
          <w:sz w:val="24"/>
          <w:szCs w:val="24"/>
          <w:rtl/>
        </w:rPr>
        <w:t xml:space="preserve">. ליתם.</w:t>
      </w:r>
    </w:p>
    <w:p>
      <w:pPr>
        <w:bidi/>
        <w:spacing w:after="120" w:line="360"/>
        <w:ind w:right="709" w:hanging="709"/>
        <w:jc w:val="right"/>
      </w:pPr>
      <w:r>
        <w:rPr>
          <w:rFonts w:ascii="David" w:cs="David" w:eastAsia="David" w:hAnsi="David"/>
          <w:sz w:val="24"/>
          <w:szCs w:val="24"/>
          <w:rtl/>
        </w:rPr>
        <w:t xml:space="preserve">כהן, ל' (2020). מוגבלות בלתי נראית במקום העבודה.</w:t>
      </w:r>
      <w:r>
        <w:rPr>
          <w:rFonts w:ascii="David" w:cs="David" w:eastAsia="David" w:hAnsi="David"/>
          <w:i/>
          <w:iCs/>
          <w:sz w:val="24"/>
          <w:szCs w:val="24"/>
          <w:rtl/>
        </w:rPr>
        <w:t xml:space="preserve"> בטיחות</w:t>
      </w:r>
      <w:r>
        <w:rPr>
          <w:rFonts w:ascii="David" w:cs="David" w:eastAsia="David" w:hAnsi="David"/>
          <w:sz w:val="24"/>
          <w:szCs w:val="24"/>
          <w:rtl/>
        </w:rPr>
        <w:t xml:space="preserve">, 388, 24-25.</w:t>
      </w:r>
    </w:p>
    <w:p>
      <w:pPr>
        <w:bidi/>
        <w:spacing w:after="120" w:line="360"/>
        <w:ind w:right="709" w:hanging="709"/>
        <w:jc w:val="right"/>
      </w:pPr>
      <w:r>
        <w:rPr>
          <w:rFonts w:ascii="David" w:cs="David" w:eastAsia="David" w:hAnsi="David"/>
          <w:sz w:val="24"/>
          <w:szCs w:val="24"/>
          <w:rtl/>
        </w:rPr>
        <w:t xml:space="preserve">נעמן, ע', רועה, ד', קרני-וייזר, נ', וקרניאלי-מילר, א' (2017). הדילמות בתהליך החשיפה העצמית מנקודת מבטם של אנשים המתמודדים עם סכיזופרניה.</w:t>
      </w:r>
      <w:r>
        <w:rPr>
          <w:rFonts w:ascii="David" w:cs="David" w:eastAsia="David" w:hAnsi="David"/>
          <w:i/>
          <w:iCs/>
          <w:sz w:val="24"/>
          <w:szCs w:val="24"/>
          <w:rtl/>
        </w:rPr>
        <w:t xml:space="preserve"> חברה ורווחה, לז</w:t>
      </w:r>
      <w:r>
        <w:rPr>
          <w:rFonts w:ascii="David" w:cs="David" w:eastAsia="David" w:hAnsi="David"/>
          <w:sz w:val="24"/>
          <w:szCs w:val="24"/>
          <w:rtl/>
        </w:rPr>
        <w:t xml:space="preserve">, 161-186.</w:t>
      </w:r>
    </w:p>
    <w:p>
      <w:pPr>
        <w:bidi/>
        <w:spacing w:after="120" w:line="360"/>
        <w:ind w:righ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פינקלשטיין, ע' (2014). "אנחנו חיים בעולם האין": נשים חולות מדברות מתוך סבל גופני על עמימות רפואית והכחשה חברתית.</w:t>
      </w:r>
      <w:r>
        <w:rPr>
          <w:rFonts w:ascii="David" w:cs="David" w:eastAsia="David" w:hAnsi="David"/>
          <w:i/>
          <w:iCs/>
          <w:sz w:val="24"/>
          <w:szCs w:val="24"/>
          <w:rtl/>
        </w:rPr>
        <w:t xml:space="preserve"> סוציולוגיה ישראלית, 15</w:t>
      </w:r>
      <w:r>
        <w:rPr>
          <w:rFonts w:ascii="David" w:cs="David" w:eastAsia="David" w:hAnsi="David"/>
          <w:sz w:val="24"/>
          <w:szCs w:val="24"/>
          <w:rtl/>
        </w:rPr>
        <w:t xml:space="preserve">(2), 389-415.</w:t>
      </w:r>
    </w:p>
    <w:p>
      <w:pPr>
        <w:bidi w:val="false"/>
        <w:spacing w:after="120" w:line="360"/>
        <w:ind w:left="709" w:hanging="709"/>
        <w:jc w:val="left"/>
      </w:pPr>
      <w:r>
        <w:rPr>
          <w:rFonts w:ascii="Times New Roman" w:cs="Times New Roman" w:eastAsia="Times New Roman" w:hAnsi="Times New Roman"/>
          <w:sz w:val="24"/>
          <w:szCs w:val="24"/>
        </w:rPr>
        <w:t xml:space="preserve">Green, J. (2017).</w:t>
      </w:r>
      <w:r>
        <w:rPr>
          <w:rFonts w:ascii="Times New Roman" w:cs="Times New Roman" w:eastAsia="Times New Roman" w:hAnsi="Times New Roman"/>
          <w:i/>
          <w:iCs/>
          <w:sz w:val="24"/>
          <w:szCs w:val="24"/>
        </w:rPr>
        <w:t xml:space="preserve"> Turtles all the way down</w:t>
      </w:r>
      <w:r>
        <w:rPr>
          <w:rFonts w:ascii="Times New Roman" w:cs="Times New Roman" w:eastAsia="Times New Roman" w:hAnsi="Times New Roman"/>
          <w:sz w:val="24"/>
          <w:szCs w:val="24"/>
        </w:rPr>
        <w:t xml:space="preserve">. Dutton Books.</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e3682fb98a3fad69cf05ece9937b0a7514c5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2026-07-30T05:24:13.818Z</dcterms:created>
  <dcterms:modified xsi:type="dcterms:W3CDTF">2026-07-30T05:24:13.818Z</dcterms:modified>
</cp:coreProperties>
</file>

<file path=docProps/custom.xml><?xml version="1.0" encoding="utf-8"?>
<Properties xmlns="http://schemas.openxmlformats.org/officeDocument/2006/custom-properties" xmlns:vt="http://schemas.openxmlformats.org/officeDocument/2006/docPropsVTypes"/>
</file>