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bidi/>
        <w:spacing w:after="60" w:before="0" w:line="360" w:lineRule="auto"/>
        <w:jc w:val="center"/>
      </w:pPr>
      <w:r>
        <w:rPr>
          <w:rFonts w:ascii="Times New Roman" w:cs="David" w:eastAsia="David" w:hAnsi="Times New Roman"/>
          <w:b/>
          <w:bCs/>
          <w:i w:val="false"/>
          <w:sz w:val="30"/>
          <w:szCs w:val="30"/>
          <w:rtl/>
        </w:rPr>
        <w:t xml:space="preserve">המסלול האקדמי המכללה למינהל</w:t>
      </w:r>
    </w:p>
    <w:p>
      <w:pPr>
        <w:bidi/>
        <w:spacing w:after="480" w:before="0" w:line="360" w:lineRule="auto"/>
        <w:jc w:val="center"/>
      </w:pPr>
      <w:r>
        <w:rPr>
          <w:rFonts w:ascii="Times New Roman" w:cs="David" w:eastAsia="David" w:hAnsi="Times New Roman"/>
          <w:b/>
          <w:bCs/>
          <w:i w:val="false"/>
          <w:sz w:val="28"/>
          <w:szCs w:val="28"/>
          <w:rtl/>
        </w:rPr>
        <w:t xml:space="preserve">בית הספר לתקשורת</w:t>
      </w:r>
    </w:p>
    <w:p>
      <w:pPr>
        <w:bidi/>
        <w:spacing w:after="60" w:before="0" w:line="360" w:lineRule="auto"/>
        <w:jc w:val="center"/>
      </w:pPr>
      <w:r>
        <w:rPr>
          <w:rFonts w:ascii="Times New Roman" w:cs="David" w:eastAsia="David" w:hAnsi="Times New Roman"/>
          <w:b w:val="false"/>
          <w:i w:val="false"/>
          <w:sz w:val="26"/>
          <w:szCs w:val="26"/>
          <w:rtl/>
        </w:rPr>
        <w:t xml:space="preserve">עבודה מסכמת בקורס:</w:t>
      </w:r>
    </w:p>
    <w:p>
      <w:pPr>
        <w:bidi/>
        <w:spacing w:after="60" w:before="0" w:line="360" w:lineRule="auto"/>
        <w:jc w:val="center"/>
      </w:pPr>
      <w:r>
        <w:rPr>
          <w:rFonts w:ascii="Times New Roman" w:cs="David" w:eastAsia="David" w:hAnsi="Times New Roman"/>
          <w:b/>
          <w:bCs/>
          <w:i w:val="false"/>
          <w:sz w:val="28"/>
          <w:szCs w:val="28"/>
          <w:rtl/>
        </w:rPr>
        <w:t xml:space="preserve">קריאה וכתיבה אקדמית ב'</w:t>
      </w:r>
    </w:p>
    <w:p>
      <w:pPr>
        <w:bidi/>
        <w:spacing w:after="300" w:before="0" w:line="360" w:lineRule="auto"/>
        <w:jc w:val="center"/>
      </w:pPr>
      <w:r>
        <w:rPr>
          <w:rFonts w:ascii="Times New Roman" w:cs="David" w:eastAsia="David" w:hAnsi="Times New Roman"/>
          <w:b w:val="false"/>
          <w:i w:val="false"/>
          <w:sz w:val="24"/>
          <w:szCs w:val="24"/>
          <w:rtl/>
        </w:rPr>
        <w:t xml:space="preserve">קוד קורס: 411042, סמסטר ב', תשפ"ו</w:t>
      </w:r>
    </w:p>
    <w:p>
      <w:pPr>
        <w:bidi/>
        <w:spacing w:after="360" w:before="0" w:line="360" w:lineRule="auto"/>
        <w:jc w:val="center"/>
      </w:pPr>
      <w:r>
        <w:rPr>
          <w:rFonts w:ascii="Times New Roman" w:cs="David" w:eastAsia="David" w:hAnsi="Times New Roman"/>
          <w:b/>
          <w:bCs/>
          <w:i w:val="false"/>
          <w:sz w:val="32"/>
          <w:szCs w:val="32"/>
          <w:rtl/>
        </w:rPr>
        <w:t xml:space="preserve">תשתית לראש פרק בסקירת הספרות של עבודת הסמינריון</w:t>
      </w:r>
    </w:p>
    <w:p>
      <w:pPr>
        <w:bidi/>
        <w:spacing w:after="60" w:before="0" w:line="360" w:lineRule="auto"/>
        <w:jc w:val="center"/>
      </w:pPr>
      <w:r>
        <w:rPr>
          <w:rFonts w:ascii="Times New Roman" w:cs="David" w:eastAsia="David" w:hAnsi="Times New Roman"/>
          <w:b w:val="false"/>
          <w:i w:val="false"/>
          <w:sz w:val="26"/>
          <w:szCs w:val="26"/>
          <w:rtl/>
        </w:rPr>
        <w:t xml:space="preserve">מרצה: ______________</w:t>
      </w:r>
    </w:p>
    <w:p>
      <w:pPr>
        <w:bidi/>
        <w:spacing w:after="60" w:before="0" w:line="360" w:lineRule="auto"/>
        <w:jc w:val="center"/>
      </w:pPr>
      <w:r>
        <w:rPr>
          <w:rFonts w:ascii="Times New Roman" w:cs="David" w:eastAsia="David" w:hAnsi="Times New Roman"/>
          <w:b/>
          <w:bCs/>
          <w:i w:val="false"/>
          <w:sz w:val="26"/>
          <w:szCs w:val="26"/>
          <w:rtl/>
        </w:rPr>
        <w:t xml:space="preserve">מגישה: ליני ______________</w:t>
      </w:r>
    </w:p>
    <w:p>
      <w:pPr>
        <w:bidi/>
        <w:spacing w:after="480" w:before="0" w:line="360" w:lineRule="auto"/>
        <w:jc w:val="center"/>
      </w:pPr>
      <w:r>
        <w:rPr>
          <w:rFonts w:ascii="Times New Roman" w:cs="David" w:eastAsia="David" w:hAnsi="Times New Roman"/>
          <w:b w:val="false"/>
          <w:i w:val="false"/>
          <w:sz w:val="26"/>
          <w:szCs w:val="26"/>
          <w:rtl/>
        </w:rPr>
        <w:t xml:space="preserve">ת"ז: ______________</w:t>
      </w:r>
    </w:p>
    <w:p>
      <w:pPr>
        <w:bidi/>
        <w:spacing w:after="0" w:before="0" w:line="360" w:lineRule="auto"/>
        <w:jc w:val="center"/>
      </w:pPr>
      <w:r>
        <w:rPr>
          <w:rFonts w:ascii="Times New Roman" w:cs="David" w:eastAsia="David" w:hAnsi="Times New Roman"/>
          <w:b w:val="false"/>
          <w:i w:val="false"/>
          <w:sz w:val="26"/>
          <w:szCs w:val="26"/>
          <w:rtl/>
        </w:rPr>
        <w:t xml:space="preserve">אב תשפ"ו, אוגוסט 2026</w:t>
      </w:r>
    </w:p>
    <w:p>
      <w:pPr>
        <w:pageBreakBefore/>
        <w:bidi/>
        <w:spacing w:after="240" w:line="360" w:lineRule="auto"/>
        <w:jc w:val="start"/>
      </w:pPr>
      <w:r>
        <w:rPr>
          <w:rFonts w:ascii="Times New Roman" w:cs="David" w:eastAsia="David" w:hAnsi="Times New Roman"/>
          <w:b/>
          <w:bCs/>
          <w:i w:val="false"/>
          <w:sz w:val="32"/>
          <w:szCs w:val="32"/>
          <w:rtl/>
        </w:rPr>
        <w:t xml:space="preserve">1. נושא העבודה ושאלת המחקר</w:t>
      </w:r>
    </w:p>
    <w:p>
      <w:pPr>
        <w:bidi/>
        <w:spacing w:after="120" w:line="360" w:lineRule="auto"/>
        <w:jc w:val="both"/>
      </w:pPr>
      <w:r>
        <w:rPr>
          <w:rFonts w:ascii="Times New Roman" w:cs="David" w:eastAsia="David" w:hAnsi="Times New Roman"/>
          <w:b w:val="false"/>
          <w:i w:val="false"/>
          <w:sz w:val="24"/>
          <w:szCs w:val="24"/>
          <w:rtl/>
        </w:rPr>
        <w:t xml:space="preserve">עבודת הסמינריון שלי בקורס "המשפט כתרבות פופולרית", כפי שאושרה על ידי מרצה הסמינריון, עוסקת בניתוח אוטואתנוגרפי של תביעת עבודה, ובוחנת את המרחק שבין הדימוי התרבותי של עשיית צדק לבין חוויית ההליך בפועל, על הסחבת שבו ועל שלב הגבייה שאחריו. שאלת המחקר: כיצד משתקף הפער בין הבניית "עשיית הצדק" בתרבות הפופולרית לבין מציאות הגבייה ויחסי הכוח בתביעות עבודה? ניתוח מקרה בוחן אישי.</w:t>
      </w:r>
    </w:p>
    <w:p>
      <w:pPr>
        <w:bidi/>
        <w:spacing w:after="240" w:line="360" w:lineRule="auto"/>
        <w:jc w:val="start"/>
      </w:pPr>
      <w:r>
        <w:rPr>
          <w:rFonts w:ascii="Times New Roman" w:cs="David" w:eastAsia="David" w:hAnsi="Times New Roman"/>
          <w:b/>
          <w:bCs/>
          <w:i w:val="false"/>
          <w:sz w:val="32"/>
          <w:szCs w:val="32"/>
          <w:rtl/>
        </w:rPr>
        <w:t xml:space="preserve">2. שלושת הפריטים האקדמיים ואופן איתורם</w:t>
      </w:r>
    </w:p>
    <w:p>
      <w:pPr>
        <w:bidi/>
        <w:spacing w:after="120" w:line="360" w:lineRule="auto"/>
        <w:jc w:val="both"/>
      </w:pPr>
      <w:r>
        <w:rPr>
          <w:rFonts w:ascii="Times New Roman" w:cs="David" w:eastAsia="David" w:hAnsi="Times New Roman"/>
          <w:b w:val="false"/>
          <w:i w:val="false"/>
          <w:sz w:val="24"/>
          <w:szCs w:val="24"/>
          <w:rtl/>
        </w:rPr>
        <w:t xml:space="preserve">(Chua &amp; Engel, 2019) - מאמר אקדמי מכתב עת. אותר במנוע החיפוש Google Scholar באמצעות מילות החיפוש והאופרטורים: "legal consciousness" AND review AND mobilization. קישור לטקסט המלא:</w:t>
      </w:r>
    </w:p>
    <w:p>
      <w:pPr>
        <w:bidi w:val="false"/>
        <w:spacing w:after="120" w:line="360" w:lineRule="auto"/>
        <w:ind w:left="709"/>
        <w:jc w:val="left"/>
      </w:pPr>
      <w:hyperlink w:history="1" r:id="rIdyrmyzziy3rbg-wspsf33a">
        <w:r>
          <w:rPr>
            <w:rStyle w:val="Hyperlink"/>
            <w:rFonts w:ascii="Times New Roman" w:cs="Times New Roman" w:eastAsia="Times New Roman" w:hAnsi="Times New Roman"/>
            <w:sz w:val="22"/>
            <w:szCs w:val="22"/>
          </w:rPr>
          <w:t xml:space="preserve">https://digitalcommons.law.buffalo.edu/journal_articles/966/</w:t>
        </w:r>
      </w:hyperlink>
    </w:p>
    <w:p>
      <w:pPr>
        <w:bidi/>
        <w:spacing w:after="120" w:line="360" w:lineRule="auto"/>
        <w:jc w:val="both"/>
      </w:pPr>
      <w:r>
        <w:rPr>
          <w:rFonts w:ascii="Times New Roman" w:cs="David" w:eastAsia="David" w:hAnsi="Times New Roman"/>
          <w:b w:val="false"/>
          <w:i w:val="false"/>
          <w:sz w:val="24"/>
          <w:szCs w:val="24"/>
          <w:rtl/>
        </w:rPr>
        <w:t xml:space="preserve">(פלג, 2022) - מאמר אקדמי מכתב עת. אותר בכתב העת הפתוח "מסגרות מדיה" באמצעות מילות החיפוש: עיתונאי המשפט AND בתי המשפט. קישור לטקסט המלא:</w:t>
      </w:r>
    </w:p>
    <w:p>
      <w:pPr>
        <w:bidi w:val="false"/>
        <w:spacing w:after="120" w:line="360" w:lineRule="auto"/>
        <w:ind w:left="709"/>
        <w:jc w:val="left"/>
      </w:pPr>
      <w:hyperlink w:history="1" r:id="rIddwq2jrbum-unbbxdhw8yn">
        <w:r>
          <w:rPr>
            <w:rStyle w:val="Hyperlink"/>
            <w:rFonts w:ascii="Times New Roman" w:cs="Times New Roman" w:eastAsia="Times New Roman" w:hAnsi="Times New Roman"/>
            <w:sz w:val="22"/>
            <w:szCs w:val="22"/>
          </w:rPr>
          <w:t xml:space="preserve">https://mediaframes.sapir.ac.il/wp-content/uploads/2022/02/Journalist.pdf</w:t>
        </w:r>
      </w:hyperlink>
    </w:p>
    <w:p>
      <w:pPr>
        <w:bidi/>
        <w:spacing w:after="120" w:line="360" w:lineRule="auto"/>
        <w:jc w:val="both"/>
      </w:pPr>
      <w:r>
        <w:rPr>
          <w:rFonts w:ascii="Times New Roman" w:cs="David" w:eastAsia="David" w:hAnsi="Times New Roman"/>
          <w:b w:val="false"/>
          <w:i w:val="false"/>
          <w:sz w:val="24"/>
          <w:szCs w:val="24"/>
          <w:rtl/>
        </w:rPr>
        <w:t xml:space="preserve">(נדיב, 2023) - מאמר אקדמי מכתב עת. אותר במדור כתבי העת של המאגר המשפטי נבו, בכתב העת "משפט ועסקים", באמצעות מילות החיפוש: עומס שיפוטי AND בתי המשפט. קישור לטקסט המלא:</w:t>
      </w:r>
    </w:p>
    <w:p>
      <w:pPr>
        <w:bidi w:val="false"/>
        <w:spacing w:after="120" w:line="360" w:lineRule="auto"/>
        <w:ind w:left="709"/>
        <w:jc w:val="left"/>
      </w:pPr>
      <w:hyperlink w:history="1" r:id="rIdbyldzachx1urxve6c-ry7">
        <w:r>
          <w:rPr>
            <w:rStyle w:val="Hyperlink"/>
            <w:rFonts w:ascii="Times New Roman" w:cs="Times New Roman" w:eastAsia="Times New Roman" w:hAnsi="Times New Roman"/>
            <w:sz w:val="22"/>
            <w:szCs w:val="22"/>
          </w:rPr>
          <w:t xml:space="preserve">https://www.runi.ac.il/media/jikgidv4/nadiv.pdf</w:t>
        </w:r>
      </w:hyperlink>
    </w:p>
    <w:p>
      <w:pPr>
        <w:bidi/>
        <w:spacing w:after="240" w:line="360" w:lineRule="auto"/>
        <w:jc w:val="start"/>
      </w:pPr>
      <w:r>
        <w:rPr>
          <w:rFonts w:ascii="Times New Roman" w:cs="David" w:eastAsia="David" w:hAnsi="Times New Roman"/>
          <w:b/>
          <w:bCs/>
          <w:i w:val="false"/>
          <w:sz w:val="32"/>
          <w:szCs w:val="32"/>
          <w:rtl/>
        </w:rPr>
        <w:t xml:space="preserve">3. ראש הפרק: הסחבת המשפטית: בין הזמן התרבותי לזמן המוסדי</w:t>
      </w:r>
    </w:p>
    <w:p>
      <w:pPr>
        <w:bidi/>
        <w:spacing w:after="120" w:line="360" w:lineRule="auto"/>
        <w:jc w:val="both"/>
      </w:pPr>
      <w:r>
        <w:rPr>
          <w:rFonts w:ascii="Times New Roman" w:cs="David" w:eastAsia="David" w:hAnsi="Times New Roman"/>
          <w:b w:val="false"/>
          <w:i w:val="false"/>
          <w:sz w:val="24"/>
          <w:szCs w:val="24"/>
          <w:rtl/>
        </w:rPr>
        <w:t xml:space="preserve">ראש פרק זה, החותם את סקירת הספרות של עבודת הסמינריון, עוסק במימד הזמן של ההליך המשפטי ובפער שבין ייצוגו התרבותי לבין התמשכותו בפועל. התרבות הפופולרית מרגילה את צרכניה למשפט שנפתח ונסגר במהירות של פרק טלוויזיה, ואילו ההליך הממשי, ובוודאי בתביעות עבודה, נמדד בחודשים ארוכים ולעיתים בשנים. ההמתנה הזאת אינה שוות ערך עבור שני הצדדים: יש מי שיכול להרשות לעצמו לחכות בנוחות, ויש מי שכל חודש נוסף שוחק את כיסו, את ראיותיו ואת כוחותיו הנפשיים. הטענה המרכזית של ראש הפרק היא שהפער בין הזמן התרבותי לזמן המוסדי אינו עניין אסתטי בלבד, אלא פער רב השלכות המעצב ציפיות, החלטות ויחסי כוח בין בעלי הדין. מי שלמד מן המסך שצדק מגיע מהר, חווה את ההמתנה הממשית לא כמהלכו הרגיל של הליך תקין אלא כהפרה של ההבטחה המשפטית עצמה. לביסוס הטענה נשען הפרק על שלושה מקורות מן העשור האחרון: סקירה עדכנית של מחקר התודעה המשפטית, מחקר ישראלי על עיתונות המשפט בעידן המקוון, ומחקר אמפירי ישראלי על העומס השיפוטי ועל דרכי צמצומו. שילובם יאפשר לבחון את הזמן המשפטי כזירה שנפגשים בה תרבות, מוסדות וכוח, ולהכין את הקרקע למענה על שאלת המחקר.</w:t>
      </w:r>
    </w:p>
    <w:p>
      <w:pPr>
        <w:bidi/>
        <w:spacing w:after="120" w:line="360" w:lineRule="auto"/>
        <w:jc w:val="both"/>
      </w:pPr>
      <w:r>
        <w:rPr>
          <w:rFonts w:ascii="Times New Roman" w:cs="David" w:eastAsia="David" w:hAnsi="Times New Roman"/>
          <w:b w:val="false"/>
          <w:i w:val="false"/>
          <w:sz w:val="24"/>
          <w:szCs w:val="24"/>
          <w:rtl/>
        </w:rPr>
        <w:t xml:space="preserve">צ'ואה ואנגל (Chua &amp; Engel, 2019) סוקרים את מחקר התודעה המשפטית, התחום הבוחן כיצד אנשים רגילים תופסים את החוק וכיצד הם מחליטים אם לפנות אליו. הסקירה ממפה שלוש אסכולות מחקר, העוסקות בזהות, בהגמוניה ובגיוס המשפט, וכולן יוצאות מהנחה משותפת: היחס אל המשפט אינו נקבע רק על ידי תוכן הדין, אלא על ידי אמונות, רגשות וציפיות שנרכשים בחיי היומיום ובתרבות. ממצא מרכזי בספרות המסוקרת הוא שרוב הנפגעים כלל אינם מגייסים את המשפט, בין השאר משום שההליך נתפס כיקר, כמתיש וכארוך. הזמן הצפוי של ההליך פועל אפוא כמחסום עוד לפני שההליך התחיל, והחוויה בתוכו מעצבת מחדש את התודעה כלפי המערכת. חשובה לענייננו גם התובנה שהתודעה המשפטית אינה עמדה קבועה אלא תהליך, שמשתנה ככל שהאדם מתקדם בהליך ופוגש את פערי הזמן והכוח שבו. ההמתנה, במילים אחרות, אינה רק חוויה של מי שתבע, אלא שיקול מכריע עבור מי ששוקל לתבוע.</w:t>
      </w:r>
    </w:p>
    <w:p>
      <w:pPr>
        <w:bidi/>
        <w:spacing w:after="120" w:line="360" w:lineRule="auto"/>
        <w:jc w:val="both"/>
      </w:pPr>
      <w:r>
        <w:rPr>
          <w:rFonts w:ascii="Times New Roman" w:cs="David" w:eastAsia="David" w:hAnsi="Times New Roman"/>
          <w:b w:val="false"/>
          <w:i w:val="false"/>
          <w:sz w:val="24"/>
          <w:szCs w:val="24"/>
          <w:rtl/>
        </w:rPr>
        <w:t xml:space="preserve">שני המקורות הנוספים, שניהם מן ההקשר הישראלי, ממקמים את התודעה הזאת בין שני קטבים: התיווך התקשורתי והמציאות המוסדית. פלג (2022) ראיינה את עיתונאי המשפט המובילים בישראל ומצאה שבעידן המקוון נשחקות סמכותם ויכולתם לסקר את ההליך המשפטי לעומק, והסיקור נעשה מהיר, תחרותי ומרוכז ברגעי שיא. התוצאה היא שהציבור פוגש מערכת איטית ומורכבת דרך תיווך שהולך ומתקצר, וכך מעמיק הפער בין הזמן המשפטי הממשי לבין הזמן התקשורתי שבו הוא מסופר. נדיב (2023) מציגה את הצד המוסדי במחקר אמפירי על בתי המשפט בישראל, שבו העומס השיפוטי מתואר כבעיה מבנית המאריכה הליכים, וההתמקצעות השיפוטית נבחנת ככלי אפשרי לקיצורם. מהשוואת המקורות עולה סימטריה מעניינת: התקשורת מקצרת את הסיפור, והמערכת מחפשת דרכים לקצר את ההליך, ושתיהן מגיבות לאותה מצוקה. אלא שכל עוד הקיצור התקשורתי מקדים את הקיצור המוסדי, הצרכן התרבותי ממשיך לקבל סיפורים מהירים על מערכת איטית. הפער בין שני הזמנים הוא בדיוק המרחב שבו חי בעל הדין הממתין.</w:t>
      </w:r>
    </w:p>
    <w:p>
      <w:pPr>
        <w:bidi/>
        <w:spacing w:after="120" w:line="360" w:lineRule="auto"/>
        <w:jc w:val="both"/>
      </w:pPr>
      <w:r>
        <w:rPr>
          <w:rFonts w:ascii="Times New Roman" w:cs="David" w:eastAsia="David" w:hAnsi="Times New Roman"/>
          <w:b w:val="false"/>
          <w:i w:val="false"/>
          <w:sz w:val="24"/>
          <w:szCs w:val="24"/>
          <w:rtl/>
        </w:rPr>
        <w:t xml:space="preserve">השורה התחתונה של ראש הפרק היא שהזמן המשפטי מחלק כוח: הוא מרתיע תובעים פוטנציאליים מראש, שוחק את מי שבכל זאת תבע, ומשרת בשיטתיות את הצד שיכול להמתין. התרבות הפופולרית, המציגה צדק מיידי ומספק, מסתירה את המנגנון הזה מעיני צרכניה ומשאירה אותם לא מוכנים למפגש עימו. המחקר המוסדי, מנגד, מלמד שההתמשכות ניתנת למדידה, להשוואה ולשינוי, ולכן היא עניין של מדיניות ולא גזירת גורל. כך נחשף פער שיטתי בין הציפייה שההליך מייצר לבין החוויה שהוא מספק, פער שכל מתדיין מגלה לבדו וברגע הפגיע ביותר. ראש פרק זה חותם את סקירת הספרות, ולכן הוא מוביל ישירות אל שאלת המחקר של העבודה: כיצד משתקף הפער בין הבניית "עשיית הצדק" בתרבות הפופולרית לבין מציאות הגבייה ויחסי הכוח בתביעות עבודה? הכלים שנפרשו בשלושת ראשי הפרקים ישמשו לענות עליה באמצעות ניתוח מקרה הבוחן האישי.</w:t>
      </w:r>
    </w:p>
    <w:p>
      <w:pPr>
        <w:pageBreakBefore/>
        <w:bidi/>
        <w:spacing w:after="240" w:line="360" w:lineRule="auto"/>
        <w:jc w:val="start"/>
      </w:pPr>
      <w:r>
        <w:rPr>
          <w:rFonts w:ascii="Times New Roman" w:cs="David" w:eastAsia="David" w:hAnsi="Times New Roman"/>
          <w:b/>
          <w:bCs/>
          <w:i w:val="false"/>
          <w:sz w:val="32"/>
          <w:szCs w:val="32"/>
          <w:rtl/>
        </w:rPr>
        <w:t xml:space="preserve">רשימת מקורות</w:t>
      </w:r>
    </w:p>
    <w:p>
      <w:pPr>
        <w:bidi/>
        <w:spacing w:after="180" w:line="360" w:lineRule="auto"/>
        <w:ind w:left="709" w:hanging="709"/>
        <w:jc w:val="start"/>
      </w:pPr>
      <w:r>
        <w:rPr>
          <w:rFonts w:ascii="Times New Roman" w:cs="David" w:eastAsia="David" w:hAnsi="Times New Roman"/>
          <w:b w:val="false"/>
          <w:i w:val="false"/>
          <w:sz w:val="24"/>
          <w:szCs w:val="24"/>
          <w:rtl/>
        </w:rPr>
        <w:t xml:space="preserve">נדיב, נ' (2023). האם התמקצעות שיפוטית חשובה? התמקצעות ועומס בבתי המשפט המחוזיים. </w:t>
      </w:r>
      <w:r>
        <w:rPr>
          <w:rFonts w:ascii="Times New Roman" w:cs="David" w:eastAsia="David" w:hAnsi="Times New Roman"/>
          <w:b w:val="false"/>
          <w:i/>
          <w:iCs/>
          <w:sz w:val="24"/>
          <w:szCs w:val="24"/>
          <w:rtl/>
        </w:rPr>
        <w:t xml:space="preserve">משפט ועסקים, כז</w:t>
      </w:r>
      <w:r>
        <w:rPr>
          <w:rFonts w:ascii="Times New Roman" w:cs="David" w:eastAsia="David" w:hAnsi="Times New Roman"/>
          <w:b w:val="false"/>
          <w:i w:val="false"/>
          <w:sz w:val="24"/>
          <w:szCs w:val="24"/>
          <w:rtl/>
        </w:rPr>
        <w:t xml:space="preserve">, 87. זמין במאגר המשפטי נבו.</w:t>
      </w:r>
    </w:p>
    <w:p>
      <w:pPr>
        <w:bidi w:val="false"/>
        <w:spacing w:after="180" w:line="360" w:lineRule="auto"/>
        <w:ind w:left="709"/>
        <w:jc w:val="left"/>
      </w:pPr>
      <w:hyperlink w:history="1" r:id="rId0shngz7ekkvkyw22b0kya">
        <w:r>
          <w:rPr>
            <w:rStyle w:val="Hyperlink"/>
            <w:rFonts w:ascii="Times New Roman" w:cs="Times New Roman" w:eastAsia="Times New Roman" w:hAnsi="Times New Roman"/>
            <w:sz w:val="22"/>
            <w:szCs w:val="22"/>
          </w:rPr>
          <w:t xml:space="preserve">https://www.runi.ac.il/media/jikgidv4/nadiv.pdf</w:t>
        </w:r>
      </w:hyperlink>
    </w:p>
    <w:p>
      <w:pPr>
        <w:bidi/>
        <w:spacing w:after="180" w:line="360" w:lineRule="auto"/>
        <w:ind w:left="709" w:hanging="709"/>
        <w:jc w:val="start"/>
      </w:pPr>
      <w:r>
        <w:rPr>
          <w:rFonts w:ascii="Times New Roman" w:cs="David" w:eastAsia="David" w:hAnsi="Times New Roman"/>
          <w:b w:val="false"/>
          <w:i w:val="false"/>
          <w:sz w:val="24"/>
          <w:szCs w:val="24"/>
          <w:rtl/>
        </w:rPr>
        <w:t xml:space="preserve">פלג, ע' (2022). המלכוד של עיתונאי המשפט בישראל בעידן המקוון. </w:t>
      </w:r>
      <w:r>
        <w:rPr>
          <w:rFonts w:ascii="Times New Roman" w:cs="David" w:eastAsia="David" w:hAnsi="Times New Roman"/>
          <w:b w:val="false"/>
          <w:i/>
          <w:iCs/>
          <w:sz w:val="24"/>
          <w:szCs w:val="24"/>
          <w:rtl/>
        </w:rPr>
        <w:t xml:space="preserve">מסגרות מדיה, 21</w:t>
      </w:r>
      <w:r>
        <w:rPr>
          <w:rFonts w:ascii="Times New Roman" w:cs="David" w:eastAsia="David" w:hAnsi="Times New Roman"/>
          <w:b w:val="false"/>
          <w:i w:val="false"/>
          <w:sz w:val="24"/>
          <w:szCs w:val="24"/>
          <w:rtl/>
        </w:rPr>
        <w:t xml:space="preserve">, 68-99.</w:t>
      </w:r>
    </w:p>
    <w:p>
      <w:pPr>
        <w:bidi w:val="false"/>
        <w:spacing w:after="180" w:line="360" w:lineRule="auto"/>
        <w:ind w:left="709"/>
        <w:jc w:val="left"/>
      </w:pPr>
      <w:hyperlink w:history="1" r:id="rIdfpdnpxqr1wf1awmbwbwa3">
        <w:r>
          <w:rPr>
            <w:rStyle w:val="Hyperlink"/>
            <w:rFonts w:ascii="Times New Roman" w:cs="Times New Roman" w:eastAsia="Times New Roman" w:hAnsi="Times New Roman"/>
            <w:sz w:val="22"/>
            <w:szCs w:val="22"/>
          </w:rPr>
          <w:t xml:space="preserve">https://mediaframes.sapir.ac.il/wp-content/uploads/2022/02/Journalist.pdf</w:t>
        </w:r>
      </w:hyperlink>
    </w:p>
    <w:p>
      <w:pPr>
        <w:bidi w:val="false"/>
        <w:spacing w:after="180" w:line="360" w:lineRule="auto"/>
        <w:ind w:left="709" w:hanging="709"/>
        <w:jc w:val="left"/>
      </w:pPr>
      <w:r>
        <w:rPr>
          <w:rFonts w:ascii="Times New Roman" w:cs="Times New Roman" w:eastAsia="Times New Roman" w:hAnsi="Times New Roman"/>
          <w:b w:val="false"/>
          <w:i w:val="false"/>
          <w:sz w:val="24"/>
          <w:szCs w:val="24"/>
          <w:rtl w:val="false"/>
        </w:rPr>
        <w:t xml:space="preserve">Chua, L. J., &amp; Engel, D. M. (2019). Legal consciousness reconsidered. </w:t>
      </w:r>
      <w:r>
        <w:rPr>
          <w:rFonts w:ascii="Times New Roman" w:cs="Times New Roman" w:eastAsia="Times New Roman" w:hAnsi="Times New Roman"/>
          <w:b w:val="false"/>
          <w:i/>
          <w:iCs/>
          <w:sz w:val="24"/>
          <w:szCs w:val="24"/>
          <w:rtl w:val="false"/>
        </w:rPr>
        <w:t xml:space="preserve">Annual Review of Law and Social Science, 15</w:t>
      </w:r>
      <w:r>
        <w:rPr>
          <w:rFonts w:ascii="Times New Roman" w:cs="Times New Roman" w:eastAsia="Times New Roman" w:hAnsi="Times New Roman"/>
          <w:b w:val="false"/>
          <w:i w:val="false"/>
          <w:sz w:val="24"/>
          <w:szCs w:val="24"/>
          <w:rtl w:val="false"/>
        </w:rPr>
        <w:t xml:space="preserve">, 335-353.</w:t>
      </w:r>
    </w:p>
    <w:p>
      <w:pPr>
        <w:bidi w:val="false"/>
        <w:spacing w:after="180" w:line="360" w:lineRule="auto"/>
        <w:ind w:left="709"/>
        <w:jc w:val="left"/>
      </w:pPr>
      <w:hyperlink w:history="1" r:id="rIdqb9nexu8hntrfklmodx1w">
        <w:r>
          <w:rPr>
            <w:rStyle w:val="Hyperlink"/>
            <w:rFonts w:ascii="Times New Roman" w:cs="Times New Roman" w:eastAsia="Times New Roman" w:hAnsi="Times New Roman"/>
            <w:sz w:val="22"/>
            <w:szCs w:val="22"/>
          </w:rPr>
          <w:t xml:space="preserve">https://digitalcommons.law.buffalo.edu/journal_articles/966/</w:t>
        </w:r>
      </w:hyperlink>
    </w:p>
    <w:p>
      <w:pPr>
        <w:pageBreakBefore/>
        <w:bidi/>
        <w:spacing w:after="240" w:line="360" w:lineRule="auto"/>
        <w:jc w:val="start"/>
      </w:pPr>
      <w:r>
        <w:rPr>
          <w:rFonts w:ascii="Times New Roman" w:cs="David" w:eastAsia="David" w:hAnsi="Times New Roman"/>
          <w:b/>
          <w:bCs/>
          <w:i w:val="false"/>
          <w:sz w:val="32"/>
          <w:szCs w:val="32"/>
          <w:rtl/>
        </w:rPr>
        <w:t xml:space="preserve">נספחים</w:t>
      </w:r>
    </w:p>
    <w:p>
      <w:pPr>
        <w:bidi/>
        <w:spacing w:after="120" w:line="360" w:lineRule="auto"/>
        <w:jc w:val="both"/>
      </w:pPr>
      <w:r>
        <w:rPr>
          <w:rFonts w:ascii="Times New Roman" w:cs="David" w:eastAsia="David" w:hAnsi="Times New Roman"/>
          <w:b w:val="false"/>
          <w:i w:val="false"/>
          <w:sz w:val="24"/>
          <w:szCs w:val="24"/>
          <w:rtl/>
        </w:rPr>
        <w:t xml:space="preserve">להלן העמודים המרכזיים מן הפריטים האקדמיים ששימשו לכתיבת ראש הפרק. הפריטים המלאים מצורפים לתיבת ההגשה כנדרש בהנחיות.</w:t>
      </w:r>
    </w:p>
    <w:p>
      <w:pPr>
        <w:bidi/>
        <w:spacing w:after="120" w:line="360" w:lineRule="auto"/>
        <w:jc w:val="start"/>
      </w:pPr>
      <w:r>
        <w:rPr>
          <w:rFonts w:ascii="Times New Roman" w:cs="David" w:eastAsia="David" w:hAnsi="Times New Roman"/>
          <w:b/>
          <w:bCs/>
          <w:i w:val="false"/>
          <w:sz w:val="24"/>
          <w:szCs w:val="24"/>
          <w:u w:val="single"/>
          <w:rtl/>
        </w:rPr>
        <w:t xml:space="preserve">נספח א: Chua &amp; Engel (2019), עמ' 335-338 (תקציר, הגדרת התודעה המשפטית ושלוש האסכולות)</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ב: פלג (2022), עמ' 68-71 (תקציר ומבוא)</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810125" cy="6800850"/>
                    </a:xfrm>
                    <a:prstGeom prst="rect">
                      <a:avLst/>
                    </a:prstGeom>
                  </pic:spPr>
                </pic:pic>
              </a:graphicData>
            </a:graphic>
          </wp:inline>
        </w:drawing>
      </w:r>
    </w:p>
    <w:p>
      <w:pPr>
        <w:pageBreakBefore/>
        <w:bidi/>
        <w:spacing w:after="120" w:line="360" w:lineRule="auto"/>
        <w:jc w:val="start"/>
      </w:pPr>
      <w:r>
        <w:rPr>
          <w:rFonts w:ascii="Times New Roman" w:cs="David" w:eastAsia="David" w:hAnsi="Times New Roman"/>
          <w:b/>
          <w:bCs/>
          <w:i w:val="false"/>
          <w:sz w:val="24"/>
          <w:szCs w:val="24"/>
          <w:u w:val="single"/>
          <w:rtl/>
        </w:rPr>
        <w:t xml:space="preserve">נספח ג: נדיב (2023), עמודי הפתיחה והתקציר</w:t>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810125" cy="6800850"/>
                    </a:xfrm>
                    <a:prstGeom prst="rect">
                      <a:avLst/>
                    </a:prstGeom>
                  </pic:spPr>
                </pic:pic>
              </a:graphicData>
            </a:graphic>
          </wp:inline>
        </w:drawing>
      </w:r>
    </w:p>
    <w:p>
      <w:pPr>
        <w:spacing w:after="60"/>
        <w:jc w:val="center"/>
      </w:pPr>
      <w:r>
        <w:drawing>
          <wp:inline distT="0" distB="0" distL="0" distR="0">
            <wp:extent cx="4810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10125" cy="6800850"/>
                    </a:xfrm>
                    <a:prstGeom prst="rect">
                      <a:avLst/>
                    </a:prstGeom>
                  </pic:spPr>
                </pic:pic>
              </a:graphicData>
            </a:graphic>
          </wp:inline>
        </w:drawing>
      </w:r>
    </w:p>
    <w:sectPr>
      <w:headerReference w:type="default" r:id="rId7"/>
      <w:head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yrmyzziy3rbg-wspsf33a" Type="http://schemas.openxmlformats.org/officeDocument/2006/relationships/hyperlink" Target="https://digitalcommons.law.buffalo.edu/journal_articles/966/" TargetMode="External"/><Relationship Id="rIddwq2jrbum-unbbxdhw8yn" Type="http://schemas.openxmlformats.org/officeDocument/2006/relationships/hyperlink" Target="https://mediaframes.sapir.ac.il/wp-content/uploads/2022/02/Journalist.pdf" TargetMode="External"/><Relationship Id="rIdbyldzachx1urxve6c-ry7" Type="http://schemas.openxmlformats.org/officeDocument/2006/relationships/hyperlink" Target="https://www.runi.ac.il/media/jikgidv4/nadiv.pdf" TargetMode="External"/><Relationship Id="rId0shngz7ekkvkyw22b0kya" Type="http://schemas.openxmlformats.org/officeDocument/2006/relationships/hyperlink" Target="https://www.runi.ac.il/media/jikgidv4/nadiv.pdf" TargetMode="External"/><Relationship Id="rIdfpdnpxqr1wf1awmbwbwa3" Type="http://schemas.openxmlformats.org/officeDocument/2006/relationships/hyperlink" Target="https://mediaframes.sapir.ac.il/wp-content/uploads/2022/02/Journalist.pdf" TargetMode="External"/><Relationship Id="rIdqb9nexu8hntrfklmodx1w" Type="http://schemas.openxmlformats.org/officeDocument/2006/relationships/hyperlink" Target="https://digitalcommons.law.buffalo.edu/journal_articles/966/" TargetMode="External"/><Relationship Id="rId9" Type="http://schemas.openxmlformats.org/officeDocument/2006/relationships/image" Target="media/cef8e8849440abd831d006ed8d69cbc194dbb509.jpg"/><Relationship Id="rId10" Type="http://schemas.openxmlformats.org/officeDocument/2006/relationships/image" Target="media/51dc57ded583ad81ca9899e99389b9633b76c15b.jpg"/><Relationship Id="rId11" Type="http://schemas.openxmlformats.org/officeDocument/2006/relationships/image" Target="media/a245011b1de7e69e0939750b61b0d109cc8a96d3.jpg"/><Relationship Id="rId12" Type="http://schemas.openxmlformats.org/officeDocument/2006/relationships/image" Target="media/a2e8b26535dcc90c298415b8fcb2880e6cea54c8.jpg"/><Relationship Id="rId13" Type="http://schemas.openxmlformats.org/officeDocument/2006/relationships/image" Target="media/9238bb3d39ce3c02cd0844801be8541c3437ea31.jpg"/><Relationship Id="rId14" Type="http://schemas.openxmlformats.org/officeDocument/2006/relationships/image" Target="media/b55333950fea03be4ec0199113cddf5891d7b1a4.jpg"/><Relationship Id="rId15" Type="http://schemas.openxmlformats.org/officeDocument/2006/relationships/image" Target="media/4f8ee223f6dc5c235ecd4460dca9a4ba9043ae80.jpg"/><Relationship Id="rId16" Type="http://schemas.openxmlformats.org/officeDocument/2006/relationships/image" Target="media/2b56f389a8a519c8b7facdccdba717ea46bfb446.jpg"/><Relationship Id="rId17" Type="http://schemas.openxmlformats.org/officeDocument/2006/relationships/image" Target="media/51a4f01cc54f83a7b4197944db04963c342c7169.jpg"/><Relationship Id="rId18" Type="http://schemas.openxmlformats.org/officeDocument/2006/relationships/image" Target="media/9301f174cb270f98a079e08168a6ac7cd790e5cf.jpg"/><Relationship Id="rId19" Type="http://schemas.openxmlformats.org/officeDocument/2006/relationships/image" Target="media/4a7acd4a998032d67475fe626712e4f74ec83d70.jpg"/><Relationship Id="rId20" Type="http://schemas.openxmlformats.org/officeDocument/2006/relationships/image" Target="media/30289fb7ec88ec8ab70a2a4706db1d9275cafdec.jpg"/><Relationship Id="rId21" Type="http://schemas.openxmlformats.org/officeDocument/2006/relationships/image" Target="media/33c85111cf7cb6dbc9775bc49c738e85d60a2c00.jp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תשתית לראש פרק בסקירת הספרות של עבודת הסמינריון</dc:title>
  <dc:creator>ליני ______________</dc:creator>
  <cp:lastModifiedBy>Un-named</cp:lastModifiedBy>
  <cp:revision>1</cp:revision>
  <dcterms:created xsi:type="dcterms:W3CDTF">2026-08-01T21:25:52.196Z</dcterms:created>
  <dcterms:modified xsi:type="dcterms:W3CDTF">2026-08-01T21:25:52.196Z</dcterms:modified>
</cp:coreProperties>
</file>

<file path=docProps/custom.xml><?xml version="1.0" encoding="utf-8"?>
<Properties xmlns="http://schemas.openxmlformats.org/officeDocument/2006/custom-properties" xmlns:vt="http://schemas.openxmlformats.org/officeDocument/2006/docPropsVTypes"/>
</file>