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bidi/>
        <w:spacing w:after="60" w:before="0" w:line="360" w:lineRule="auto"/>
        <w:jc w:val="center"/>
      </w:pPr>
      <w:r>
        <w:rPr>
          <w:rFonts w:ascii="Times New Roman" w:cs="David" w:eastAsia="David" w:hAnsi="Times New Roman"/>
          <w:b/>
          <w:bCs/>
          <w:i w:val="false"/>
          <w:sz w:val="30"/>
          <w:szCs w:val="30"/>
          <w:rtl/>
        </w:rPr>
        <w:t xml:space="preserve">המסלול האקדמי המכללה למינהל</w:t>
      </w:r>
    </w:p>
    <w:p>
      <w:pPr>
        <w:bidi/>
        <w:spacing w:after="480" w:before="0" w:line="360" w:lineRule="auto"/>
        <w:jc w:val="center"/>
      </w:pPr>
      <w:r>
        <w:rPr>
          <w:rFonts w:ascii="Times New Roman" w:cs="David" w:eastAsia="David" w:hAnsi="Times New Roman"/>
          <w:b/>
          <w:bCs/>
          <w:i w:val="false"/>
          <w:sz w:val="28"/>
          <w:szCs w:val="28"/>
          <w:rtl/>
        </w:rPr>
        <w:t xml:space="preserve">בית הספר לתקשורת</w:t>
      </w:r>
    </w:p>
    <w:p>
      <w:pPr>
        <w:bidi/>
        <w:spacing w:after="60" w:before="0" w:line="360" w:lineRule="auto"/>
        <w:jc w:val="center"/>
      </w:pPr>
      <w:r>
        <w:rPr>
          <w:rFonts w:ascii="Times New Roman" w:cs="David" w:eastAsia="David" w:hAnsi="Times New Roman"/>
          <w:b w:val="false"/>
          <w:i w:val="false"/>
          <w:sz w:val="26"/>
          <w:szCs w:val="26"/>
          <w:rtl/>
        </w:rPr>
        <w:t xml:space="preserve">עבודת סמינריון בקורס:</w:t>
      </w:r>
    </w:p>
    <w:p>
      <w:pPr>
        <w:bidi/>
        <w:spacing w:after="360" w:before="0" w:line="360" w:lineRule="auto"/>
        <w:jc w:val="center"/>
      </w:pPr>
      <w:r>
        <w:rPr>
          <w:rFonts w:ascii="Times New Roman" w:cs="David" w:eastAsia="David" w:hAnsi="Times New Roman"/>
          <w:b/>
          <w:bCs/>
          <w:i w:val="false"/>
          <w:sz w:val="28"/>
          <w:szCs w:val="28"/>
          <w:rtl/>
        </w:rPr>
        <w:t xml:space="preserve">המשפט כתרבות פופולרית</w:t>
      </w:r>
    </w:p>
    <w:p>
      <w:pPr>
        <w:bidi/>
        <w:spacing w:after="360" w:before="0" w:line="360" w:lineRule="auto"/>
        <w:jc w:val="center"/>
      </w:pPr>
      <w:r>
        <w:rPr>
          <w:rFonts w:ascii="Times New Roman" w:cs="David" w:eastAsia="David" w:hAnsi="Times New Roman"/>
          <w:b/>
          <w:bCs/>
          <w:i w:val="false"/>
          <w:sz w:val="32"/>
          <w:szCs w:val="32"/>
          <w:rtl/>
        </w:rPr>
        <w:t xml:space="preserve">הצדק לא ממהר: על הפער בין משפט של שעה בטלוויזיה לבין שנתיים וחצי בבית הדין לעבודה</w:t>
      </w:r>
    </w:p>
    <w:p>
      <w:pPr>
        <w:bidi/>
        <w:spacing w:after="60" w:before="0" w:line="360" w:lineRule="auto"/>
        <w:jc w:val="center"/>
      </w:pPr>
      <w:r>
        <w:rPr>
          <w:rFonts w:ascii="Times New Roman" w:cs="David" w:eastAsia="David" w:hAnsi="Times New Roman"/>
          <w:b/>
          <w:bCs/>
          <w:i w:val="false"/>
          <w:sz w:val="26"/>
          <w:szCs w:val="26"/>
          <w:rtl/>
        </w:rPr>
        <w:t xml:space="preserve">שאלת המחקר:</w:t>
      </w:r>
    </w:p>
    <w:p>
      <w:pPr>
        <w:bidi/>
        <w:spacing w:after="480" w:before="0" w:line="360" w:lineRule="auto"/>
        <w:jc w:val="center"/>
      </w:pPr>
      <w:r>
        <w:rPr>
          <w:rFonts w:ascii="Times New Roman" w:cs="David" w:eastAsia="David" w:hAnsi="Times New Roman"/>
          <w:b w:val="false"/>
          <w:i w:val="false"/>
          <w:sz w:val="26"/>
          <w:szCs w:val="26"/>
          <w:rtl/>
        </w:rPr>
        <w:t xml:space="preserve">כיצד משתקף הפער בין הבניית "עשיית הצדק" בתרבות הפופולרית לבין מציאות הגבייה ויחסי הכוח בתביעות עבודה? ניתוח מקרה בוחן אישי</w:t>
      </w:r>
    </w:p>
    <w:p>
      <w:pPr>
        <w:bidi/>
        <w:spacing w:after="60" w:before="0" w:line="360" w:lineRule="auto"/>
        <w:jc w:val="center"/>
      </w:pPr>
      <w:r>
        <w:rPr>
          <w:rFonts w:ascii="Times New Roman" w:cs="David" w:eastAsia="David" w:hAnsi="Times New Roman"/>
          <w:b w:val="false"/>
          <w:i w:val="false"/>
          <w:sz w:val="26"/>
          <w:szCs w:val="26"/>
          <w:rtl/>
        </w:rPr>
        <w:t xml:space="preserve">מרצה: ______________</w:t>
      </w:r>
    </w:p>
    <w:p>
      <w:pPr>
        <w:bidi/>
        <w:spacing w:after="60" w:before="0" w:line="360" w:lineRule="auto"/>
        <w:jc w:val="center"/>
      </w:pPr>
      <w:r>
        <w:rPr>
          <w:rFonts w:ascii="Times New Roman" w:cs="David" w:eastAsia="David" w:hAnsi="Times New Roman"/>
          <w:b/>
          <w:bCs/>
          <w:i w:val="false"/>
          <w:sz w:val="26"/>
          <w:szCs w:val="26"/>
          <w:rtl/>
        </w:rPr>
        <w:t xml:space="preserve">מגישה: ליני ______________</w:t>
      </w:r>
    </w:p>
    <w:p>
      <w:pPr>
        <w:bidi/>
        <w:spacing w:after="480" w:before="0" w:line="360" w:lineRule="auto"/>
        <w:jc w:val="center"/>
      </w:pPr>
      <w:r>
        <w:rPr>
          <w:rFonts w:ascii="Times New Roman" w:cs="David" w:eastAsia="David" w:hAnsi="Times New Roman"/>
          <w:b w:val="false"/>
          <w:i w:val="false"/>
          <w:sz w:val="26"/>
          <w:szCs w:val="26"/>
          <w:rtl/>
        </w:rPr>
        <w:t xml:space="preserve">ת"ז: ______________</w:t>
      </w:r>
    </w:p>
    <w:p>
      <w:pPr>
        <w:bidi/>
        <w:spacing w:after="0" w:before="0" w:line="360" w:lineRule="auto"/>
        <w:jc w:val="center"/>
      </w:pPr>
      <w:r>
        <w:rPr>
          <w:rFonts w:ascii="Times New Roman" w:cs="David" w:eastAsia="David" w:hAnsi="Times New Roman"/>
          <w:b w:val="false"/>
          <w:i w:val="false"/>
          <w:sz w:val="26"/>
          <w:szCs w:val="26"/>
          <w:rtl/>
        </w:rPr>
        <w:t xml:space="preserve">אב תשפ"ו, אוגוסט 2026</w:t>
      </w:r>
    </w:p>
    <w:p>
      <w:pPr>
        <w:pageBreakBefore/>
        <w:bidi/>
        <w:spacing w:after="240" w:line="360" w:lineRule="auto"/>
        <w:jc w:val="start"/>
      </w:pPr>
      <w:r>
        <w:rPr>
          <w:rFonts w:ascii="Times New Roman" w:cs="David" w:eastAsia="David" w:hAnsi="Times New Roman"/>
          <w:b/>
          <w:bCs/>
          <w:i w:val="false"/>
          <w:sz w:val="32"/>
          <w:szCs w:val="32"/>
          <w:rtl/>
        </w:rPr>
        <w:t xml:space="preserve">תוכן עניינים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מבוא</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3</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סקירת ספרות</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4</w:t>
            </w:r>
          </w:p>
        </w:tc>
      </w:tr>
      <w:tr>
        <w:tc>
          <w:tcPr>
            <w:tcW w:type="dxa" w:w="7800"/>
            <w:tcBorders>
              <w:top w:val="none" w:color="FFFFFF" w:sz="0"/>
              <w:left w:val="none" w:color="FFFFFF" w:sz="0"/>
              <w:bottom w:val="none" w:color="FFFFFF" w:sz="0"/>
              <w:right w:val="none" w:color="FFFFFF" w:sz="0"/>
            </w:tcBorders>
          </w:tcPr>
          <w:p>
            <w:pPr>
              <w:bidi/>
              <w:spacing w:after="60" w:line="360" w:lineRule="auto"/>
              <w:ind w:left="567"/>
              <w:jc w:val="start"/>
            </w:pPr>
            <w:r>
              <w:rPr>
                <w:rFonts w:ascii="Times New Roman" w:cs="David" w:eastAsia="David" w:hAnsi="Times New Roman"/>
                <w:b w:val="false"/>
                <w:i w:val="false"/>
                <w:sz w:val="24"/>
                <w:szCs w:val="24"/>
                <w:rtl/>
              </w:rPr>
              <w:t xml:space="preserve">פרק 1: עורכי הדין של המדינה: דימוי, ברירת מחדל ונגישות לצדק</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val="false"/>
                <w:i w:val="false"/>
                <w:sz w:val="24"/>
                <w:szCs w:val="24"/>
                <w:rtl/>
              </w:rPr>
              <w:t xml:space="preserve">4</w:t>
            </w:r>
          </w:p>
        </w:tc>
      </w:tr>
      <w:tr>
        <w:tc>
          <w:tcPr>
            <w:tcW w:type="dxa" w:w="7800"/>
            <w:tcBorders>
              <w:top w:val="none" w:color="FFFFFF" w:sz="0"/>
              <w:left w:val="none" w:color="FFFFFF" w:sz="0"/>
              <w:bottom w:val="none" w:color="FFFFFF" w:sz="0"/>
              <w:right w:val="none" w:color="FFFFFF" w:sz="0"/>
            </w:tcBorders>
          </w:tcPr>
          <w:p>
            <w:pPr>
              <w:bidi/>
              <w:spacing w:after="60" w:line="360" w:lineRule="auto"/>
              <w:ind w:left="567"/>
              <w:jc w:val="start"/>
            </w:pPr>
            <w:r>
              <w:rPr>
                <w:rFonts w:ascii="Times New Roman" w:cs="David" w:eastAsia="David" w:hAnsi="Times New Roman"/>
                <w:b w:val="false"/>
                <w:i w:val="false"/>
                <w:sz w:val="24"/>
                <w:szCs w:val="24"/>
                <w:rtl/>
              </w:rPr>
              <w:t xml:space="preserve">פרק 2: פסק דין שאינו נאכף: ברק כהן והאשליה של החוק הכתוב</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val="false"/>
                <w:i w:val="false"/>
                <w:sz w:val="24"/>
                <w:szCs w:val="24"/>
                <w:rtl/>
              </w:rPr>
              <w:t xml:space="preserve">5</w:t>
            </w:r>
          </w:p>
        </w:tc>
      </w:tr>
      <w:tr>
        <w:tc>
          <w:tcPr>
            <w:tcW w:type="dxa" w:w="7800"/>
            <w:tcBorders>
              <w:top w:val="none" w:color="FFFFFF" w:sz="0"/>
              <w:left w:val="none" w:color="FFFFFF" w:sz="0"/>
              <w:bottom w:val="none" w:color="FFFFFF" w:sz="0"/>
              <w:right w:val="none" w:color="FFFFFF" w:sz="0"/>
            </w:tcBorders>
          </w:tcPr>
          <w:p>
            <w:pPr>
              <w:bidi/>
              <w:spacing w:after="60" w:line="360" w:lineRule="auto"/>
              <w:ind w:left="567"/>
              <w:jc w:val="start"/>
            </w:pPr>
            <w:r>
              <w:rPr>
                <w:rFonts w:ascii="Times New Roman" w:cs="David" w:eastAsia="David" w:hAnsi="Times New Roman"/>
                <w:b w:val="false"/>
                <w:i w:val="false"/>
                <w:sz w:val="24"/>
                <w:szCs w:val="24"/>
                <w:rtl/>
              </w:rPr>
              <w:t xml:space="preserve">פרק 3: הסחבת המשפטית כחוויה תרבותית</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val="false"/>
                <w:i w:val="false"/>
                <w:sz w:val="24"/>
                <w:szCs w:val="24"/>
                <w:rtl/>
              </w:rPr>
              <w:t xml:space="preserve">6</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מתודולוגיה</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8</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ממצאים וניתוחם</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9</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דיון ומסקנות</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12</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סיכום</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13</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רשימת מקורות ופילמוגרפיה</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14</w:t>
            </w:r>
          </w:p>
        </w:tc>
      </w:tr>
    </w:tbl>
    <w:p>
      <w:pPr>
        <w:pageBreakBefore/>
        <w:bidi/>
        <w:spacing w:after="240" w:line="360" w:lineRule="auto"/>
        <w:jc w:val="start"/>
      </w:pPr>
      <w:r>
        <w:rPr>
          <w:rFonts w:ascii="Times New Roman" w:cs="David" w:eastAsia="David" w:hAnsi="Times New Roman"/>
          <w:b/>
          <w:bCs/>
          <w:i w:val="false"/>
          <w:sz w:val="32"/>
          <w:szCs w:val="32"/>
          <w:rtl/>
        </w:rPr>
        <w:t xml:space="preserve">מבוא</w:t>
      </w:r>
    </w:p>
    <w:p>
      <w:pPr>
        <w:bidi/>
        <w:spacing w:after="120" w:line="360" w:lineRule="auto"/>
        <w:jc w:val="both"/>
      </w:pPr>
      <w:r>
        <w:rPr>
          <w:rFonts w:ascii="Times New Roman" w:cs="David" w:eastAsia="David" w:hAnsi="Times New Roman"/>
          <w:b w:val="false"/>
          <w:i w:val="false"/>
          <w:sz w:val="24"/>
          <w:szCs w:val="24"/>
          <w:rtl/>
        </w:rPr>
        <w:t xml:space="preserve">יש מקומות עבודה שעוזבים בטריקת דלת, ויש כאלה שעוזבים בלב שבור. שלי היה מהסוג השני. את החבר'ה במשמרות אהבתי באמת, ועד היום אני מתגעגעת לצחוק ההוא ליד המטבחון. את ההנהלה, לעומת זאת, למדתי להכיר מהצד הפחות סימפטי: הלנות שכר, זכויות שנשחקו, ותחושה מצטברת שאני שקופה. כשנגמרו הדיבורים, הגשתי תביעה לבית הדין לעבודה.</w:t>
      </w:r>
    </w:p>
    <w:p>
      <w:pPr>
        <w:bidi/>
        <w:spacing w:after="120" w:line="360" w:lineRule="auto"/>
        <w:jc w:val="both"/>
      </w:pPr>
      <w:r>
        <w:rPr>
          <w:rFonts w:ascii="Times New Roman" w:cs="David" w:eastAsia="David" w:hAnsi="Times New Roman"/>
          <w:b w:val="false"/>
          <w:i w:val="false"/>
          <w:sz w:val="24"/>
          <w:szCs w:val="24"/>
          <w:rtl/>
        </w:rPr>
        <w:t xml:space="preserve">מכאן התחיל מסלול שאף סדרת עורכי דין לא הכינה אותי אליו. עורך דין פרטי היה מעבר ליכולתי, אז יוצגתי דרך הסיוע המשפטי של המדינה. ההליך נמשך שנתיים וחצי, תקופה שהרגישה כמו חיים שלמים בהמתנה. וכשזכיתי, התברר שגם פסק דין חתום הוא לפעמים רק דף: המעסיק התעלם ממנו בשלווה גמורה, והכסף זז רק כשהודעתי לו שאני פותחת נגדו תיק בהוצאה לפועל ומטילה עיקולים. בין הצדק שגדלתי לראות בטלוויזיה לבין הצדק שקיבלתי בפועל נפער מרחק, והמרחק הזה הוא לב העבודה.</w:t>
      </w:r>
    </w:p>
    <w:p>
      <w:pPr>
        <w:bidi/>
        <w:spacing w:after="120" w:line="360" w:lineRule="auto"/>
        <w:jc w:val="both"/>
      </w:pPr>
      <w:r>
        <w:rPr>
          <w:rFonts w:ascii="Times New Roman" w:cs="David" w:eastAsia="David" w:hAnsi="Times New Roman"/>
          <w:b w:val="false"/>
          <w:i w:val="false"/>
          <w:sz w:val="24"/>
          <w:szCs w:val="24"/>
          <w:rtl/>
        </w:rPr>
        <w:t xml:space="preserve">למה זה מעניין מישהו מלבדי? כי אני לא מקרה מיוחד. עובדים צעירים לומדים "איך נראה משפט" קודם כל מהמסך, ומגיעים לבתי הדין עם תסריט מוכן בראש. כשהמציאות סוטה מהתסריט, בקצב, בדמויות ובסוף, הפער הזה נחווה ככישלון אישי, למרות שהוא תוצר של מבנה. הבנת הפער יכולה להכין את התובע הבא טוב יותר משהוכנתי אני.</w:t>
      </w:r>
    </w:p>
    <w:p>
      <w:pPr>
        <w:bidi/>
        <w:spacing w:after="120" w:line="360" w:lineRule="auto"/>
        <w:jc w:val="both"/>
      </w:pPr>
      <w:r>
        <w:rPr>
          <w:rFonts w:ascii="Times New Roman" w:cs="David" w:eastAsia="David" w:hAnsi="Times New Roman"/>
          <w:b w:val="false"/>
          <w:i w:val="false"/>
          <w:sz w:val="24"/>
          <w:szCs w:val="24"/>
          <w:rtl/>
        </w:rPr>
        <w:t xml:space="preserve">שאלת המחקר שבמוקד העבודה: כיצד משתקף הפער בין הבניית "עשיית הצדק" בתרבות הפופולרית לבין מציאות הגבייה ויחסי הכוח בתביעות עבודה? העבודה בנויה כך: סקירת ספרות בשלושה ראשי פרקים, על דימוי הייצוג מטעם המדינה ונגישות לצדק, על הפער בין החוק הכתוב לאכיפתו לאור תופעת ברק כהן, ועל הסחבת המשפטית כחוויה תרבותית; פרק מתודולוגיה המגדיר את המחקר כאוטואתנוגרפיה; פרק ממצאים המצליב את סיפור המקרה עם הספרות; דיון ומסקנות; וסיכום.</w:t>
      </w:r>
    </w:p>
    <w:p>
      <w:pPr>
        <w:pageBreakBefore/>
        <w:bidi/>
        <w:spacing w:after="240" w:line="360" w:lineRule="auto"/>
        <w:jc w:val="start"/>
      </w:pPr>
      <w:r>
        <w:rPr>
          <w:rFonts w:ascii="Times New Roman" w:cs="David" w:eastAsia="David" w:hAnsi="Times New Roman"/>
          <w:b/>
          <w:bCs/>
          <w:i w:val="false"/>
          <w:sz w:val="32"/>
          <w:szCs w:val="32"/>
          <w:rtl/>
        </w:rPr>
        <w:t xml:space="preserve">סקירת ספרות</w:t>
      </w:r>
    </w:p>
    <w:p>
      <w:pPr>
        <w:bidi/>
        <w:spacing w:after="120" w:line="360" w:lineRule="auto"/>
        <w:jc w:val="both"/>
      </w:pPr>
      <w:r>
        <w:rPr>
          <w:rFonts w:ascii="Times New Roman" w:cs="David" w:eastAsia="David" w:hAnsi="Times New Roman"/>
          <w:b w:val="false"/>
          <w:i w:val="false"/>
          <w:sz w:val="24"/>
          <w:szCs w:val="24"/>
          <w:rtl/>
        </w:rPr>
        <w:t xml:space="preserve">הפרק מציג את הכלים התיאורטיים שישמשו לניתוח המקרה. המסגרת הכללית היא הגישה הרואה במשפט תופעה תרבותית, מערכת של משמעויות וסיפורים ולא רק של כללים, כך שהאופן שבו חברה מדמיינת את הצדק שלה הוא חלק מהמשפט עצמו (מאוטנר, 2008). מתוך המסגרת הזאת נבחנים שלושה מוקדים: הייצוג, האכיפה והזמן.</w:t>
      </w:r>
    </w:p>
    <w:p>
      <w:pPr>
        <w:bidi/>
        <w:spacing w:after="180" w:line="360" w:lineRule="auto"/>
        <w:jc w:val="start"/>
      </w:pPr>
      <w:r>
        <w:rPr>
          <w:rFonts w:ascii="Times New Roman" w:cs="David" w:eastAsia="David" w:hAnsi="Times New Roman"/>
          <w:b/>
          <w:bCs/>
          <w:i w:val="false"/>
          <w:sz w:val="28"/>
          <w:szCs w:val="28"/>
          <w:rtl/>
        </w:rPr>
        <w:t xml:space="preserve">פרק 1: עורכי הדין של המדינה: דימוי, ברירת מחדל ונגישות לצדק</w:t>
      </w:r>
    </w:p>
    <w:p>
      <w:pPr>
        <w:bidi/>
        <w:spacing w:after="120" w:line="360" w:lineRule="auto"/>
        <w:jc w:val="both"/>
      </w:pPr>
      <w:r>
        <w:rPr>
          <w:rFonts w:ascii="Times New Roman" w:cs="David" w:eastAsia="David" w:hAnsi="Times New Roman"/>
          <w:b w:val="false"/>
          <w:i w:val="false"/>
          <w:sz w:val="24"/>
          <w:szCs w:val="24"/>
          <w:rtl/>
        </w:rPr>
        <w:t xml:space="preserve">את הידע המשפטי של רוב האנשים לא מספקים ספרי לימוד אלא בית הספר, הבידור והספורט, כלומר מקורות יומיומיים שמלמדים "איך המשפט עובד" עוד לפני מפגש ראשון עם עורך דין. מקולי (Macaulay, 1987) מראה שדימויי המשפט הנרכשים כך אינם תמימים: הם מבנים ציפיות לגבי הוגנות, הליך ותוצאה, וההשוואה אליהם מלווה את האדם גם כשהוא פוגש את המערכת האמיתית. הדרמה המשפטית, שבמרכזה עורך הדין הפרטי המבריק, היא אחד המקורות המשפיעים שבהם.</w:t>
      </w:r>
    </w:p>
    <w:p>
      <w:pPr>
        <w:bidi/>
        <w:spacing w:after="120" w:line="360" w:lineRule="auto"/>
        <w:jc w:val="both"/>
      </w:pPr>
      <w:r>
        <w:rPr>
          <w:rFonts w:ascii="Times New Roman" w:cs="David" w:eastAsia="David" w:hAnsi="Times New Roman"/>
          <w:b w:val="false"/>
          <w:i w:val="false"/>
          <w:sz w:val="24"/>
          <w:szCs w:val="24"/>
          <w:rtl/>
        </w:rPr>
        <w:t xml:space="preserve">בתוך הדימוי הזה שמור לעורכי הדין מטעם המדינה תפקיד קבוע ולא מחמיא: הם העייפים, העמוסים, אלה שמקבלים את התיק חמש דקות לפני הדיון. הצופה לומד שמי שידו משגת שוכר "עורך דין אמיתי", ומי שלא, מסתדר עם מה שיש. רוד (Rhode, 2004) מתארת את הצד השני של המשוואה: שיטה אדברסרית שבנויה על הנחת ייצוג שוויוני, בעוד שבפועל חלק גדול מהמתדיינים החלשים מיוצגים בחסר או לא מיוצגים כלל, כך שהפער בין האידיאל למציאות הוא פער שיטתי ולא תקלה נקודתית.</w:t>
      </w:r>
    </w:p>
    <w:p>
      <w:pPr>
        <w:bidi/>
        <w:spacing w:after="120" w:line="360" w:lineRule="auto"/>
        <w:jc w:val="both"/>
      </w:pPr>
      <w:r>
        <w:rPr>
          <w:rFonts w:ascii="Times New Roman" w:cs="David" w:eastAsia="David" w:hAnsi="Times New Roman"/>
          <w:b w:val="false"/>
          <w:i w:val="false"/>
          <w:sz w:val="24"/>
          <w:szCs w:val="24"/>
          <w:rtl/>
        </w:rPr>
        <w:t xml:space="preserve">יש לשים לב גם למה שהמסך בוחר שלא להראות. סכסוכי עבודה, השלב שבו רוב האנשים פוגשים את המשפט בפועל, כמעט שאינם קיימים בדרמה המשפטית, שמעדיפה רצח ומשפטי ראווה. הידע היומיומי על המשפט נבנה כך מדימויים שאינם רלוונטיים לסכסוך העבודה הממשי, ובכל זאת הם אלה שמכתיבים את הציפיות ממנו (Macaulay, 1987). התוצאה היא שעובדת שתובעת את מעסיקה מגיעה לזירה שאין לה שום תסריט תרבותי עבורה, ומשלימה את החסר מז'אנרים שכללי המשחק שלהם אחרים לגמרי.</w:t>
      </w:r>
    </w:p>
    <w:p>
      <w:pPr>
        <w:bidi/>
        <w:spacing w:after="120" w:line="360" w:lineRule="auto"/>
        <w:jc w:val="both"/>
      </w:pPr>
      <w:r>
        <w:rPr>
          <w:rFonts w:ascii="Times New Roman" w:cs="David" w:eastAsia="David" w:hAnsi="Times New Roman"/>
          <w:b w:val="false"/>
          <w:i w:val="false"/>
          <w:sz w:val="24"/>
          <w:szCs w:val="24"/>
          <w:rtl/>
        </w:rPr>
        <w:t xml:space="preserve">הגישה התרבותית למשפט מסבירה מדוע הדימויים האלה אינם קוריוז אלא חלק מהתופעה המשפטית עצמה. אם המשפט הוא מערכת של משמעויות שחברה חיה בתוכה, הרי שהציפיות שהציבור מביא אל המערכת, מהיכן שלא הגיעו, משפיעות על אמונו בה, על נכונותו לפנות אליה ועל האופן שבו הוא מפרש את תוצאותיה (מאוטנר, 2008). דימוי עורך הדין הציבורי איננו רק עניין של יוקרה מקצועית, הוא שאלה של אמון מוסדי: מי שמאמין שקיבל את "הגרסה הזולה" של הצדק יתקשה לבטוח גם בתוצאה טובה שהשיג באמצעותה.</w:t>
      </w:r>
    </w:p>
    <w:p>
      <w:pPr>
        <w:bidi/>
        <w:spacing w:after="120" w:line="360" w:lineRule="auto"/>
        <w:jc w:val="both"/>
      </w:pPr>
      <w:r>
        <w:rPr>
          <w:rFonts w:ascii="Times New Roman" w:cs="David" w:eastAsia="David" w:hAnsi="Times New Roman"/>
          <w:b w:val="false"/>
          <w:i w:val="false"/>
          <w:sz w:val="24"/>
          <w:szCs w:val="24"/>
          <w:rtl/>
        </w:rPr>
        <w:t xml:space="preserve">לסטיגמה של "ברירת המחדל" יש גם השלכות מעשיות. מי שמשוכנע מראש שהייצוג שקיבל נחות עלול לוותר על טענות, למהר להתפשר או להשקיע פחות במאבק, ובכך להגשים את הנבואה במו ידיו. רוד (Rhode, 2004) מדגישה שאיכות ייצוג אינה נגזרת פשוטה של מחירו, אך מודה שהמחסור במשאבים ובזמן מגביל בפועל את מה שגם עורך דין ציבורי מסור מסוגל לתת. הדימוי והמציאות ניזונים כך זה מזו: העומס האמיתי מזין את הסטיגמה, והסטיגמה מקילה להשלים עם העומס.</w:t>
      </w:r>
    </w:p>
    <w:p>
      <w:pPr>
        <w:bidi/>
        <w:spacing w:after="120" w:line="360" w:lineRule="auto"/>
        <w:jc w:val="both"/>
      </w:pPr>
      <w:r>
        <w:rPr>
          <w:rFonts w:ascii="Times New Roman" w:cs="David" w:eastAsia="David" w:hAnsi="Times New Roman"/>
          <w:b w:val="false"/>
          <w:i w:val="false"/>
          <w:sz w:val="24"/>
          <w:szCs w:val="24"/>
          <w:rtl/>
        </w:rPr>
        <w:t xml:space="preserve">בישראל, זכות הגישה לערכאות מוכרת כזכות יסוד במעמד חוקתי, ומערך הסיוע המשפטי נועד לתת לה תוכן ממשי גם עבור מי שאין בכיסו לשלם (רבין, 1998). אלא שזכות כניסה אינה זהה לשוויון בתוך הזירה. גלנטר (Galanter, 1974) מסביר מדוע: המערכת פוגשת "שחקנים חוזרים", כמו מעסיקים, בנקים וחברות ביטוח, שמכירים אותה מבפנים, לצד "שחקנים חד פעמיים" שמגיעים אליה פעם בחיים. הראשונים משחקים לאורך זמן ויכולים להפסיד תיק ולנצח שיטה; האחרונים תלויים בתיק היחיד שלהם. עולה מכך שגם כשהייצוג הציבורי פותח את הדלת, יחסי הכוח ממתינים מעבר לה. השאלה מה קורה כשמגיעים בכל זאת עד פסק דין, עומדת במרכז הפרק הבא.</w:t>
      </w:r>
    </w:p>
    <w:p>
      <w:pPr>
        <w:bidi/>
        <w:spacing w:after="180" w:line="360" w:lineRule="auto"/>
        <w:jc w:val="start"/>
      </w:pPr>
      <w:r>
        <w:rPr>
          <w:rFonts w:ascii="Times New Roman" w:cs="David" w:eastAsia="David" w:hAnsi="Times New Roman"/>
          <w:b/>
          <w:bCs/>
          <w:i w:val="false"/>
          <w:sz w:val="28"/>
          <w:szCs w:val="28"/>
          <w:rtl/>
        </w:rPr>
        <w:t xml:space="preserve">פרק 2: פסק דין שאינו נאכף: ברק כהן והאשליה של החוק הכתוב</w:t>
      </w:r>
    </w:p>
    <w:p>
      <w:pPr>
        <w:bidi/>
        <w:spacing w:after="120" w:line="360" w:lineRule="auto"/>
        <w:jc w:val="both"/>
      </w:pPr>
      <w:r>
        <w:rPr>
          <w:rFonts w:ascii="Times New Roman" w:cs="David" w:eastAsia="David" w:hAnsi="Times New Roman"/>
          <w:b w:val="false"/>
          <w:i w:val="false"/>
          <w:sz w:val="24"/>
          <w:szCs w:val="24"/>
          <w:rtl/>
        </w:rPr>
        <w:t xml:space="preserve">ההבחנה המכוננת של פאונד (Pound, 1910) בין החוק שבספרים לחוק שבפעולה מזכירה שכלל משפטי חי רק במידה שהוא נאכף. פסק דין כספי שהחייב מתעלם ממנו הוא מקרה מבחן חריף: מבחינת הספרים הצדק נעשה, מבחינת הפעולה לא קרה דבר. שלב הגבייה, שכמעט אינו זוכה לייצוג תרבותי, הוא אפוא המקום שבו נמדד המרחק בין שתי צורות הקיום של החוק.</w:t>
      </w:r>
    </w:p>
    <w:p>
      <w:pPr>
        <w:bidi/>
        <w:spacing w:after="120" w:line="360" w:lineRule="auto"/>
        <w:jc w:val="both"/>
      </w:pPr>
      <w:r>
        <w:rPr>
          <w:rFonts w:ascii="Times New Roman" w:cs="David" w:eastAsia="David" w:hAnsi="Times New Roman"/>
          <w:b w:val="false"/>
          <w:i w:val="false"/>
          <w:sz w:val="24"/>
          <w:szCs w:val="24"/>
          <w:rtl/>
        </w:rPr>
        <w:t xml:space="preserve">מרי (Merry, 1990) מצאה במחקרה על מתדיינים ממעמד הפועלים דפוס שחוזר על עצמו: אנשים מגיעים לבית המשפט עם אמונה עמוקה בזכויותיהם, ומגלים שהמערכת מתייחסת לבעיותיהם כזוטות ושההכרעה, גם כשהיא לטובתם, אינה מתורגמת לשינוי ממשי בחייהם. התוצאה היא פיכחון: התובע לומד שהמשפט הפורמלי הוא כלי מוגבל, ומתחיל לחפש ערוצים אחרים להשגת מבוקשו. הפיכחון הזה הוא בדיוק נקודת הפתיחה של האקטיביזם המשפטי הישראלי שיתואר מיד.</w:t>
      </w:r>
    </w:p>
    <w:p>
      <w:pPr>
        <w:bidi/>
        <w:spacing w:after="120" w:line="360" w:lineRule="auto"/>
        <w:jc w:val="both"/>
      </w:pPr>
      <w:r>
        <w:rPr>
          <w:rFonts w:ascii="Times New Roman" w:cs="David" w:eastAsia="David" w:hAnsi="Times New Roman"/>
          <w:b w:val="false"/>
          <w:i w:val="false"/>
          <w:sz w:val="24"/>
          <w:szCs w:val="24"/>
          <w:rtl/>
        </w:rPr>
        <w:t xml:space="preserve">עורך הדין ברק כהן ותנועת "באים לבנקאים" הפכו את הפיכחון הזה לשיטה. הסרט התיעודי "משפט הבנקאים" (לילטי, 2022) מלווה את כהן ופעיליו כשהם עוקפים את המסלול המשפטי המקובל ופונים לפעולה ישירה: מגיעים אל מולם של בכירי המערכת הבנקאית, אל בתיהם ואל מרחבם הציבורי, שרים "באנו חושך לגרש" והופכים את המבוכה הפומבית לכלי המרכזי. המסר של התנועה, כפי שהוא עולה מהסרט, חד: מול בעלי הון, נייר מבית משפט הוא המלצה, ורק פגיעה בנוחות, בשם הטוב ובכיס מייצרת תגובה. זוהי תרבות נגד של ממש, שמחליפה את מיתוס האולם ההרואי במיתוס חדש של עימות פנים אל פנים.</w:t>
      </w:r>
    </w:p>
    <w:p>
      <w:pPr>
        <w:bidi/>
        <w:spacing w:after="120" w:line="360" w:lineRule="auto"/>
        <w:jc w:val="both"/>
      </w:pPr>
      <w:r>
        <w:rPr>
          <w:rFonts w:ascii="Times New Roman" w:cs="David" w:eastAsia="David" w:hAnsi="Times New Roman"/>
          <w:b w:val="false"/>
          <w:i w:val="false"/>
          <w:sz w:val="24"/>
          <w:szCs w:val="24"/>
          <w:rtl/>
        </w:rPr>
        <w:t xml:space="preserve">כדאי להתעכב על האסתטיקה של המחאה המתועדת בסרט, שכן היא הופכת את הקונבנציות של הז'אנר המשפטי אחת לאחת. במקום אולם שקט ומכובד, רחוב הומה ושירה בקצב תופים; במקום שפה משפטית מסוגננת, פזמונים פשוטים שכל ילד מסוגל לשיר; במקום הכרעה שמגיעה מלמעלה, לחץ שנבנה מלמטה (לילטי, 2022). ההיפוך הזה אינו קישוט, הוא הטענה עצמה: אם הצדק הרשמי מתעכב או מתאייד, ההמון מייצר לעצמו הליך חלופי, פומבי ומיידי, שקהל הצופים שלו הוא חבר המושבעים האמיתי.</w:t>
      </w:r>
    </w:p>
    <w:p>
      <w:pPr>
        <w:bidi/>
        <w:spacing w:after="120" w:line="360" w:lineRule="auto"/>
        <w:jc w:val="both"/>
      </w:pPr>
      <w:r>
        <w:rPr>
          <w:rFonts w:ascii="Times New Roman" w:cs="David" w:eastAsia="David" w:hAnsi="Times New Roman"/>
          <w:b w:val="false"/>
          <w:i w:val="false"/>
          <w:sz w:val="24"/>
          <w:szCs w:val="24"/>
          <w:rtl/>
        </w:rPr>
        <w:t xml:space="preserve">לכאורה מדובר בפרקטיקה פרועה, אבל יש לה עיגון תיאורטי מסודר. סקיל (Skeel, 2001) מראה שסנקציות של בושה פועלות על תאגידים ועל בעלי כוח באפקטיביות מפתיעה, משום שהמוניטין שלהם הוא נכס כלכלי סחיר, ופגיעה בו כואבת יותר מקנס. השיימינג, במילים אחרות, הוא מנגנון אכיפה חלופי שנכנס לפעולה בדיוק בנקודה שבה האכיפה הפורמלית נעצרת. נותר מימד אחד שטרם נדון, והוא אולי הקשה מכולם לחוויה: הזמן.</w:t>
      </w:r>
    </w:p>
    <w:p>
      <w:pPr>
        <w:bidi/>
        <w:spacing w:after="120" w:line="360" w:lineRule="auto"/>
        <w:jc w:val="both"/>
      </w:pPr>
      <w:r>
        <w:rPr>
          <w:rFonts w:ascii="Times New Roman" w:cs="David" w:eastAsia="David" w:hAnsi="Times New Roman"/>
          <w:b w:val="false"/>
          <w:i w:val="false"/>
          <w:sz w:val="24"/>
          <w:szCs w:val="24"/>
          <w:rtl/>
        </w:rPr>
        <w:t xml:space="preserve">המבנה המוסדי של הגבייה בישראל מטיל את היוזמה על הזוכה דווקא. פסק דין כספי אינו מבצע את עצמו: מי שזכה נדרש לפתוח תיק הוצאה לפועל, לאתר נכסים ולבקש עיקולים, כלומר לנהל הליך נוסף על ההליך שכבר עבר. עבור שחקן חד פעמי ומותש זו משוכה של ממש, ועבור חייב מנוסה זו הזדמנות נוספת למשוך זמן (Galanter, 1974). ההבחנה של פאונד (Pound, 1910) מקבלת כאן צורה מוסדית: המרחק בין הספרים לפעולה הוא הליך שלם, שמישהו צריך לממן ולסבול אותו.</w:t>
      </w:r>
    </w:p>
    <w:p>
      <w:pPr>
        <w:bidi/>
        <w:spacing w:after="180" w:line="360" w:lineRule="auto"/>
        <w:jc w:val="start"/>
      </w:pPr>
      <w:r>
        <w:rPr>
          <w:rFonts w:ascii="Times New Roman" w:cs="David" w:eastAsia="David" w:hAnsi="Times New Roman"/>
          <w:b/>
          <w:bCs/>
          <w:i w:val="false"/>
          <w:sz w:val="28"/>
          <w:szCs w:val="28"/>
          <w:rtl/>
        </w:rPr>
        <w:t xml:space="preserve">פרק 3: הסחבת המשפטית כחוויה תרבותית</w:t>
      </w:r>
    </w:p>
    <w:p>
      <w:pPr>
        <w:bidi/>
        <w:spacing w:after="120" w:line="360" w:lineRule="auto"/>
        <w:jc w:val="both"/>
      </w:pPr>
      <w:r>
        <w:rPr>
          <w:rFonts w:ascii="Times New Roman" w:cs="David" w:eastAsia="David" w:hAnsi="Times New Roman"/>
          <w:b w:val="false"/>
          <w:i w:val="false"/>
          <w:sz w:val="24"/>
          <w:szCs w:val="24"/>
          <w:rtl/>
        </w:rPr>
        <w:t xml:space="preserve">שעון הטלוויזיה והשעון המשפטי מודדים זמן אחר. פרידמן (Friedman, 1989) עומד על כך שהמשפט הטלוויזיוני חי בזמן דחוס: עוול, הליך והכרעה נארזים ביחידת שידור אחת, והצדק מוגש לצופה כקתרזיס מיידי. סדרה כמו "חוק וסדר" בנתה על הנוסחה הזאת אימפריה של עשרים שנה, שבה כל פרק פותח בעבירה ונסגר בהכרעת דין (Wolf, 1990-2010). מיליוני צופים הפנימו כך, פרק אחר פרק, שהליך משפטי הוא עניין של ימים.</w:t>
      </w:r>
    </w:p>
    <w:p>
      <w:pPr>
        <w:bidi/>
        <w:spacing w:after="120" w:line="360" w:lineRule="auto"/>
        <w:jc w:val="both"/>
      </w:pPr>
      <w:r>
        <w:rPr>
          <w:rFonts w:ascii="Times New Roman" w:cs="David" w:eastAsia="David" w:hAnsi="Times New Roman"/>
          <w:b w:val="false"/>
          <w:i w:val="false"/>
          <w:sz w:val="24"/>
          <w:szCs w:val="24"/>
          <w:rtl/>
        </w:rPr>
        <w:t xml:space="preserve">הקתרזיס המהיר אינו רק עניין של קצב, אלא מבנה רגשי שלם: הצופה מלווה עוול, צובר מתח, וזוכה לפריקה מלאה בסצנת ההכרעה, הכול בתוך ערב אחד. הלקח הסמוי של המבנה הזה הוא שצדק אמיתי מגיע שלם ובבת אחת, ושאם הוא מתמהמה, כנראה משהו התקלקל (Macaulay, 1987). מי שהפנים את הלקח חווה את ההמתנה הממשית לא כמהלך רגיל של הליך תקין אלא ככישלון, שלו או של המערכת, ותחושת הכישלון הזאת היא עצמה חלק ממחיר הסחבת.</w:t>
      </w:r>
    </w:p>
    <w:p>
      <w:pPr>
        <w:bidi/>
        <w:spacing w:after="120" w:line="360" w:lineRule="auto"/>
        <w:jc w:val="both"/>
      </w:pPr>
      <w:r>
        <w:rPr>
          <w:rFonts w:ascii="Times New Roman" w:cs="David" w:eastAsia="David" w:hAnsi="Times New Roman"/>
          <w:b w:val="false"/>
          <w:i w:val="false"/>
          <w:sz w:val="24"/>
          <w:szCs w:val="24"/>
          <w:rtl/>
        </w:rPr>
        <w:t xml:space="preserve">גם סיקור המשפט בחדשות, ולא רק בדרמה, תורם להעלמת ההמתנה. התקשורת מדווחת על רגעי השיא, הגשת כתב התביעה, עדות דרמטית, הכרעת הדין, ומדלגת על החודשים הריקים שביניהם, שאין בהם שום דבר לצלם (Friedman, 1989). כך נוצרת אשליה כפולה: הבדיון מקצר את ההליך במכוון, והחדשות מקצרות אותו כדרך אגב, ושתיהן יחד משאירות את הצרכן התרבותי בלי שום ייצוג של הזמן המת, שהוא דווקא רוב ההליך.</w:t>
      </w:r>
    </w:p>
    <w:p>
      <w:pPr>
        <w:bidi/>
        <w:spacing w:after="120" w:line="360" w:lineRule="auto"/>
        <w:jc w:val="both"/>
      </w:pPr>
      <w:r>
        <w:rPr>
          <w:rFonts w:ascii="Times New Roman" w:cs="David" w:eastAsia="David" w:hAnsi="Times New Roman"/>
          <w:b w:val="false"/>
          <w:i w:val="false"/>
          <w:sz w:val="24"/>
          <w:szCs w:val="24"/>
          <w:rtl/>
        </w:rPr>
        <w:t xml:space="preserve">ההמתנה עצמה נושאת מסר, גם אם איש אינו מנסח אותו בקול. מרי (Merry, 1990) מצאה שמתדיינים ממעמד הפועלים לומדים מן הדחיות ומן התורים שיעור ברור על מקומם: בעיה שממתינה חודשים היא, בעיני המערכת, בעיה לא חשובה, ומי שנושא אותה הוא בעל דין לא חשוב. כך הופך לוח הזמנים לשפה של היררכיה, שמדברת אל המתדיין בכל דחייה. התובע אינו זקוק להצהרה רשמית כדי להבין שסדר העדיפויות של המערכת אינו ערוך סביבו. ההמתנה מחנכת אותו לצפות למעט, ולעיתים גם להסתפק במעט.</w:t>
      </w:r>
    </w:p>
    <w:p>
      <w:pPr>
        <w:bidi/>
        <w:spacing w:after="120" w:line="360" w:lineRule="auto"/>
        <w:jc w:val="both"/>
      </w:pPr>
      <w:r>
        <w:rPr>
          <w:rFonts w:ascii="Times New Roman" w:cs="David" w:eastAsia="David" w:hAnsi="Times New Roman"/>
          <w:b w:val="false"/>
          <w:i w:val="false"/>
          <w:sz w:val="24"/>
          <w:szCs w:val="24"/>
          <w:rtl/>
        </w:rPr>
        <w:t xml:space="preserve">המחקר על מערכות משפט ממשיות מתאר עולם הפוך, שבו הזמן אינו רקע אלא שחקן. פילי (Feeley, 1979) מראה שבעבור בעל הדין הקטן ההליך עצמו הוא העונש: הדחיות, ההמתנות, ימי העבודה האבודים והמתח המתמשך גובים מחיר שאינו תלוי כלל בשאלה מי יזכה בסוף. ההליך המשפטי, שאמור להיות אמצעי, נהפך בעצמו למקור סבל.</w:t>
      </w:r>
    </w:p>
    <w:p>
      <w:pPr>
        <w:bidi/>
        <w:spacing w:after="120" w:line="360" w:lineRule="auto"/>
        <w:jc w:val="both"/>
      </w:pPr>
      <w:r>
        <w:rPr>
          <w:rFonts w:ascii="Times New Roman" w:cs="David" w:eastAsia="David" w:hAnsi="Times New Roman"/>
          <w:b w:val="false"/>
          <w:i w:val="false"/>
          <w:sz w:val="24"/>
          <w:szCs w:val="24"/>
          <w:rtl/>
        </w:rPr>
        <w:t xml:space="preserve">המחיר אינו רק נפשי אלא גם ראייתי ומעשי. הזמן שוחק את התשתית של התביעה עצמה: עדים נעלמים, פרטים נשכחים, והנכונות של סביבת העבודה לשעבר להעיד פוחתת ככל שהאירועים מתרחקים. בעל הדין נדרש לספר את סיפור הפגיעה שוב ושוב, בכל תצהיר ובכל דיון, ובכך לשמר בכוח זיכרון שהנפש מבקשת להניח (Feeley, 1979). נוצר מצב אכזרי במקצת: דווקא מי שנפגע נדרש להישאר בתוך הפגיעה כדי לזכות בפיצוי עליה. ההליך המשפטי, במקום לסגור את הפצע, מקבע אותו פתוח למשך שנים.</w:t>
      </w:r>
    </w:p>
    <w:p>
      <w:pPr>
        <w:bidi/>
        <w:spacing w:after="120" w:line="360" w:lineRule="auto"/>
        <w:jc w:val="both"/>
      </w:pPr>
      <w:r>
        <w:rPr>
          <w:rFonts w:ascii="Times New Roman" w:cs="David" w:eastAsia="David" w:hAnsi="Times New Roman"/>
          <w:b w:val="false"/>
          <w:i w:val="false"/>
          <w:sz w:val="24"/>
          <w:szCs w:val="24"/>
          <w:rtl/>
        </w:rPr>
        <w:t xml:space="preserve">להתמשכות יש גם השפעה ישירה על התוצאה. בעל דין שחוק הוא בעל דין שמתפשר, וההצעות הנמוכות ביותר מוגשות דווקא ברגעי השפל של הצד החלש. במובן הזה הסחבת אינה רק חוויה קשה אלא טקטיקה: מי ששולט בקצב שולט גם במחיר שבו יסתיים הסכסוך (Galanter, 1974). התביעה שנגררת שנים אינה אותה תביעה שהוגשה, ערכה הממשי נשחק עם כל דחייה, גם אם סכומה הנקוב לא השתנה.</w:t>
      </w:r>
    </w:p>
    <w:p>
      <w:pPr>
        <w:bidi/>
        <w:spacing w:after="120" w:line="360" w:lineRule="auto"/>
        <w:jc w:val="both"/>
      </w:pPr>
      <w:r>
        <w:rPr>
          <w:rFonts w:ascii="Times New Roman" w:cs="David" w:eastAsia="David" w:hAnsi="Times New Roman"/>
          <w:b w:val="false"/>
          <w:i w:val="false"/>
          <w:sz w:val="24"/>
          <w:szCs w:val="24"/>
          <w:rtl/>
        </w:rPr>
        <w:t xml:space="preserve">במבט רחב יותר, משכי ההליכים אינם נתון טכני אלא רכיב של התרבות המשפטית עצמה. חברה שבה תביעת עבודה נמשכת שנים משדרת לעובדיה מסר על ערכן המעשי של זכויות, מסר שסותר את הרטוריקה החגיגית של המשפט (מאוטנר, 2008). הפער בין ההצהרה למציאות אינו נעלם מעיני הציבור, והוא מזין ציניות כלפי המערכת דווקא בקרב מי שזקוק לה ביותר. כאשר הזמן המשפטי הממשי רחוק כל כך מהזמן המיוצג על המסך, שתי המערכות, התרבותית והמשפטית, מאבדות יחד את אמינותן. כך הסחבת חדלה להיות עניינו הפרטי של המתדיין ונעשית שאלה של אמון ציבורי.</w:t>
      </w:r>
    </w:p>
    <w:p>
      <w:pPr>
        <w:bidi/>
        <w:spacing w:after="120" w:line="360" w:lineRule="auto"/>
        <w:jc w:val="both"/>
      </w:pPr>
      <w:r>
        <w:rPr>
          <w:rFonts w:ascii="Times New Roman" w:cs="David" w:eastAsia="David" w:hAnsi="Times New Roman"/>
          <w:b w:val="false"/>
          <w:i w:val="false"/>
          <w:sz w:val="24"/>
          <w:szCs w:val="24"/>
          <w:rtl/>
        </w:rPr>
        <w:t xml:space="preserve">ומי משלם את מחיר הזמן? לא שני הצדדים במידה שווה. בהמשך לניתוח השחקנים של גלנטר (Galanter, 1974), לשחקן החוזר יש מה שאין לשחקן החד פעמי: אורך נשימה. מעסיק ממשיך לנהל עסק בזמן שהתיק מתנהל, ואילו העובד התובע נושא את התיק על גבו יום יום. מכאן שהסחבת אינה רק כשל בירוקרטי אלא מנגנון שממיין מי יכול להרשות לעצמו צדק: מי שיכול לחכות, מנצח את מי שלא. על רקע שלושת הפרקים, אפשר עתה לחזור לשאלת המחקר ולבחון אותה דרך מקרה הבוחן.</w:t>
      </w:r>
    </w:p>
    <w:p>
      <w:pPr>
        <w:pageBreakBefore/>
        <w:bidi/>
        <w:spacing w:after="240" w:line="360" w:lineRule="auto"/>
        <w:jc w:val="start"/>
      </w:pPr>
      <w:r>
        <w:rPr>
          <w:rFonts w:ascii="Times New Roman" w:cs="David" w:eastAsia="David" w:hAnsi="Times New Roman"/>
          <w:b/>
          <w:bCs/>
          <w:i w:val="false"/>
          <w:sz w:val="32"/>
          <w:szCs w:val="32"/>
          <w:rtl/>
        </w:rPr>
        <w:t xml:space="preserve">מתודולוגיה</w:t>
      </w:r>
    </w:p>
    <w:p>
      <w:pPr>
        <w:bidi/>
        <w:spacing w:after="120" w:line="360" w:lineRule="auto"/>
        <w:jc w:val="both"/>
      </w:pPr>
      <w:r>
        <w:rPr>
          <w:rFonts w:ascii="Times New Roman" w:cs="David" w:eastAsia="David" w:hAnsi="Times New Roman"/>
          <w:b w:val="false"/>
          <w:i w:val="false"/>
          <w:sz w:val="24"/>
          <w:szCs w:val="24"/>
          <w:rtl/>
        </w:rPr>
        <w:t xml:space="preserve">המחקר שבבסיס העבודה הוא מחקר איכותני. הכתיבה האיכותנית מבקשת להבין תופעות חברתיות מתוך נקודת מבטם של החווים אותן, והיא מכירה בכך שהחוקר אינו צופה ניטרלי אלא חלק מהמציאות שהוא מתאר ומפרש (שלסקי ואלפרט, 2007).</w:t>
      </w:r>
    </w:p>
    <w:p>
      <w:pPr>
        <w:bidi/>
        <w:spacing w:after="120" w:line="360" w:lineRule="auto"/>
        <w:jc w:val="both"/>
      </w:pPr>
      <w:r>
        <w:rPr>
          <w:rFonts w:ascii="Times New Roman" w:cs="David" w:eastAsia="David" w:hAnsi="Times New Roman"/>
          <w:b w:val="false"/>
          <w:i w:val="false"/>
          <w:sz w:val="24"/>
          <w:szCs w:val="24"/>
          <w:rtl/>
        </w:rPr>
        <w:t xml:space="preserve">שיטת המחקר שנבחרה היא אוטואתנוגרפיה, כלומר שימוש שיטתי בחוויה אישית של החוקרת כחומר מחקרי, מתוך הנחה שהאישי הוא שער אל התרבותי: ניתוח מעמיק של מקרה אחד יכול לחשוף כיצד מבנים חברתיים ודימויים תרבותיים פועלים בחיים ממשיים (Chang, 2008). על פי גישה זו, הסיפור האישי אינו התכלית אלא הנתון, והוא נדרש לעמוד בסטנדרטים של ניתוח, הקשרה תיאורטית ורפלקסיביות.</w:t>
      </w:r>
    </w:p>
    <w:p>
      <w:pPr>
        <w:bidi/>
        <w:spacing w:after="120" w:line="360" w:lineRule="auto"/>
        <w:jc w:val="both"/>
      </w:pPr>
      <w:r>
        <w:rPr>
          <w:rFonts w:ascii="Times New Roman" w:cs="David" w:eastAsia="David" w:hAnsi="Times New Roman"/>
          <w:b w:val="false"/>
          <w:i w:val="false"/>
          <w:sz w:val="24"/>
          <w:szCs w:val="24"/>
          <w:rtl/>
        </w:rPr>
        <w:t xml:space="preserve">מקרה הבוחן הוא תביעת עבודה שניהלתי נגד מעסיק לשעבר, מהגשת התביעה ועד קבלת הכסף בפועל. החומרים כוללים זיכרונות, מסמכים מן ההליך והתכתבויות, והם נותחו לאורך שלושת הצירים של סקירת הספרות: הייצוג, האכיפה והזמן. מגבלות השיטה ידועות: נקודת מבט יחידה, זיכרון סלקטיבי וקושי בהכללה (Chang, 2008). מנגד, יתרונה הוא גישה ישירה לחוויה שסטטיסטיקה אינה מסוגלת לתעד. פרטים מזהים של מקום העבודה והמעורבים הושמטו מטעמי פרטיות.</w:t>
      </w:r>
    </w:p>
    <w:p>
      <w:pPr>
        <w:bidi/>
        <w:spacing w:after="120" w:line="360" w:lineRule="auto"/>
        <w:jc w:val="both"/>
      </w:pPr>
      <w:r>
        <w:rPr>
          <w:rFonts w:ascii="Times New Roman" w:cs="David" w:eastAsia="David" w:hAnsi="Times New Roman"/>
          <w:b w:val="false"/>
          <w:i w:val="false"/>
          <w:sz w:val="24"/>
          <w:szCs w:val="24"/>
          <w:rtl/>
        </w:rPr>
        <w:t xml:space="preserve">הקפדה מתודולוגית נוספת נוגעת להפרדה בין תיאור לפרשנות: הסיפור מסופר תחילה כהתרחשות, ורק לאחר מכן נקרא דרך המושגים התיאורטיים, כך שהקורא יכול לבחון את הפרשנות מול האירועים עצמם (שלסקי ואלפרט, 2007). מגבלת ההכללה נותרת בעינה, אך היא מרוככת על ידי העיגון התיאורטי: כאשר מקרה יחיד חוזר על דפוסים שתועדו בספרות בהקשרים אחרים, יש בכך חיזוק הדדי לשניהם.</w:t>
      </w:r>
    </w:p>
    <w:p>
      <w:pPr>
        <w:pageBreakBefore/>
        <w:bidi/>
        <w:spacing w:after="240" w:line="360" w:lineRule="auto"/>
        <w:jc w:val="start"/>
      </w:pPr>
      <w:r>
        <w:rPr>
          <w:rFonts w:ascii="Times New Roman" w:cs="David" w:eastAsia="David" w:hAnsi="Times New Roman"/>
          <w:b/>
          <w:bCs/>
          <w:i w:val="false"/>
          <w:sz w:val="32"/>
          <w:szCs w:val="32"/>
          <w:rtl/>
        </w:rPr>
        <w:t xml:space="preserve">ממצאים וניתוחם</w:t>
      </w:r>
    </w:p>
    <w:p>
      <w:pPr>
        <w:bidi/>
        <w:spacing w:after="120" w:line="360" w:lineRule="auto"/>
        <w:jc w:val="start"/>
      </w:pPr>
      <w:r>
        <w:rPr>
          <w:rFonts w:ascii="Times New Roman" w:cs="David" w:eastAsia="David" w:hAnsi="Times New Roman"/>
          <w:b/>
          <w:bCs/>
          <w:i w:val="false"/>
          <w:sz w:val="24"/>
          <w:szCs w:val="24"/>
          <w:u w:val="single"/>
          <w:rtl/>
        </w:rPr>
        <w:t xml:space="preserve">עורך דין מהמדינה: הדימוי פוגש את המציאות</w:t>
      </w:r>
    </w:p>
    <w:p>
      <w:pPr>
        <w:bidi/>
        <w:spacing w:after="120" w:line="360" w:lineRule="auto"/>
        <w:jc w:val="both"/>
      </w:pPr>
      <w:r>
        <w:rPr>
          <w:rFonts w:ascii="Times New Roman" w:cs="David" w:eastAsia="David" w:hAnsi="Times New Roman"/>
          <w:b w:val="false"/>
          <w:i w:val="false"/>
          <w:sz w:val="24"/>
          <w:szCs w:val="24"/>
          <w:rtl/>
        </w:rPr>
        <w:t xml:space="preserve">הרגע שבו הבנתי שאיני יכולה לשכור עורך דין פרטי היה גם הרגע שבו הרגשתי, לראשונה, שהפסדתי משהו עוד לפני שההליך התחיל. התסריט שהיה לי בראש, תסריט של סדרות, שידר שעורך דין מהמדינה הוא הגרסה המצומצמת של הדבר האמיתי, בדיוק כפי שמלמדים דימויי המשפט היומיומיים שכולנו סופגים (Macaulay, 1987). בפועל, הייצוג שקיבלתי דרך הסיוע המשפטי היה מסור ומקצועי, אבל פעל בתנאי מחסור גלויים: זמן קצוב, עומס תיקים, וקצב תגובה שנקבע על ידי התור ולא על ידי הדחיפות שלי.</w:t>
      </w:r>
    </w:p>
    <w:p>
      <w:pPr>
        <w:bidi/>
        <w:spacing w:after="120" w:line="360" w:lineRule="auto"/>
        <w:jc w:val="both"/>
      </w:pPr>
      <w:r>
        <w:rPr>
          <w:rFonts w:ascii="Times New Roman" w:cs="David" w:eastAsia="David" w:hAnsi="Times New Roman"/>
          <w:b w:val="false"/>
          <w:i w:val="false"/>
          <w:sz w:val="24"/>
          <w:szCs w:val="24"/>
          <w:rtl/>
        </w:rPr>
        <w:t xml:space="preserve">זכורה לי במיוחד פגישה אחת שבה ראיתי על השולחן את ערימת התיקים, והבנתי שאני קלסר אחד מתוך עשרות. לא כעסתי על עורך הדין, הוא עשה כמיטב יכולתו בתנאים שקיבל. כעסתי על המשוואה שהמערכת כפתה: הזמן והקשב שהוקצו לתיק שלי לא נקבעו לפי מה שהיה מונח בו עבורי, אלא לפי מה שנשאר אחרי כל השאר (Rhode, 2004). זו בדיוק המשמעות המעשית של ייצוג בתנאי מחסור, והיא אינה מופיעה באף סדרה.</w:t>
      </w:r>
    </w:p>
    <w:p>
      <w:pPr>
        <w:bidi/>
        <w:spacing w:after="120" w:line="360" w:lineRule="auto"/>
        <w:jc w:val="both"/>
      </w:pPr>
      <w:r>
        <w:rPr>
          <w:rFonts w:ascii="Times New Roman" w:cs="David" w:eastAsia="David" w:hAnsi="Times New Roman"/>
          <w:b w:val="false"/>
          <w:i w:val="false"/>
          <w:sz w:val="24"/>
          <w:szCs w:val="24"/>
          <w:rtl/>
        </w:rPr>
        <w:t xml:space="preserve">החוויה הזאת ממחישה את שני הצדדים של הספרות. מצד אחד, בלי מערך הסיוע המשפטי לא הייתי מגיעה לבית הדין כלל, כלומר זכות הגישה לערכאות קיבלה אצלי תוכן ממשי (רבין, 1998). מצד שני, השוויון הפורמלי בכניסה לא ביטל את אי השוויון בתוך הזירה: מולי עמד מעסיק מיוצג היטב, שחקן חוזר שמכיר את המגרש, ואני הגעתי אליו בפעם הראשונה בחיי (Galanter, 1974). הפער שרוד (Rhode, 2004) מתארת בין אידיאל הייצוג השוויוני לבין המציאות לא היה בשבילי סעיף בספר, הוא היה ההרגשה בבטן בכל דיון.</w:t>
      </w:r>
    </w:p>
    <w:p>
      <w:pPr>
        <w:bidi/>
        <w:spacing w:after="120" w:line="360" w:lineRule="auto"/>
        <w:jc w:val="both"/>
      </w:pPr>
      <w:r>
        <w:rPr>
          <w:rFonts w:ascii="Times New Roman" w:cs="David" w:eastAsia="David" w:hAnsi="Times New Roman"/>
          <w:b w:val="false"/>
          <w:i w:val="false"/>
          <w:sz w:val="24"/>
          <w:szCs w:val="24"/>
          <w:rtl/>
        </w:rPr>
        <w:t xml:space="preserve">כדאי לעצור רגע גם על ההחלטה עצמה. לתבוע מקום עבודה שאהבתי היה צעד שנוגד כל אינטואיציה חברתית שגדלתי עליה. במשך חודשים אמרתי לעצמי שזה יסתדר, שההנהלה תתעשת, שלא שווה לריב. מרי (Merry, 1990) מתארת איך אנשים מן המעמד העובד מגיעים למשפט רק אחרי שכל הערוצים הלא פורמליים כשלו, וכך בדיוק היה אצלי: התביעה לא הייתה הצעד הראשון אלא האחרון, אחרי שיחות, בקשות ותזכורות שנענו בהבטחות ריקות. כשהגשתי אותה, כבר לא נשאר בי ספק שאני עושה את הדבר הנכון. נשאר רק עצב שזה נדרש.</w:t>
      </w:r>
    </w:p>
    <w:p>
      <w:pPr>
        <w:bidi/>
        <w:spacing w:after="120" w:line="360" w:lineRule="auto"/>
        <w:jc w:val="start"/>
      </w:pPr>
      <w:r>
        <w:rPr>
          <w:rFonts w:ascii="Times New Roman" w:cs="David" w:eastAsia="David" w:hAnsi="Times New Roman"/>
          <w:b/>
          <w:bCs/>
          <w:i w:val="false"/>
          <w:sz w:val="24"/>
          <w:szCs w:val="24"/>
          <w:u w:val="single"/>
          <w:rtl/>
        </w:rPr>
        <w:t xml:space="preserve">ניצחון בלי כסף: הגבייה כזירת הכוח האמיתית</w:t>
      </w:r>
    </w:p>
    <w:p>
      <w:pPr>
        <w:bidi/>
        <w:spacing w:after="120" w:line="360" w:lineRule="auto"/>
        <w:jc w:val="both"/>
      </w:pPr>
      <w:r>
        <w:rPr>
          <w:rFonts w:ascii="Times New Roman" w:cs="David" w:eastAsia="David" w:hAnsi="Times New Roman"/>
          <w:b w:val="false"/>
          <w:i w:val="false"/>
          <w:sz w:val="24"/>
          <w:szCs w:val="24"/>
          <w:rtl/>
        </w:rPr>
        <w:t xml:space="preserve">אחרי שנתיים וחצי הגיע פסק הדין, ובו נקבע שהמעסיק פגע בזכויותיי ועליו לשלם. באותו ערב חשבתי שזה נגמר. בפועל לא קרה דבר: לא העברה בנקאית, לא התנצלות, אפילו לא תגובה. פסק הדין, שנראה לי כמו סוף הסרט, התגלה כחוק שבספרים במובנו המילולי ביותר (Pound, 1910), הכרזה על צדק שאינה אוכפת את עצמה. חוויתי בדיוק את הפיכחון שמרי (Merry, 1990) מתארת אצל מתדיינים ממעמד הפועלים: המערכת נתנה לי הכרעה, אבל לא נתנה לי תוצאה.</w:t>
      </w:r>
    </w:p>
    <w:p>
      <w:pPr>
        <w:bidi/>
        <w:spacing w:after="120" w:line="360" w:lineRule="auto"/>
        <w:jc w:val="both"/>
      </w:pPr>
      <w:r>
        <w:rPr>
          <w:rFonts w:ascii="Times New Roman" w:cs="David" w:eastAsia="David" w:hAnsi="Times New Roman"/>
          <w:b w:val="false"/>
          <w:i w:val="false"/>
          <w:sz w:val="24"/>
          <w:szCs w:val="24"/>
          <w:rtl/>
        </w:rPr>
        <w:t xml:space="preserve">ואז עשיתי דבר שלא תכננתי. אחרי שבועות של נימוס, טלפונים עדינים ותזכורות, הרמתי טלפון אחד אחר: הודעתי למעסיק שאני פותחת תיק בהוצאה לפועל, ושהצעד הבא הוא עיקולים, על החשבון, על הרכב, על מה שיידרש. הכסף הגיע כמעט באותו רגע. הניצחון המשפטי לא הזיז לאגו שלו; האיום על הכיס ועל השקט שלו הזיז הכול. בדיעבד, פעלתי לפי ההיגיון שסקיל (Skeel, 2001) מתאר: מול שחקן כלכלי, איום מוחשי על נכסיו ועל נוחותו אפקטיבי יותר מכל נייר רשמי.</w:t>
      </w:r>
    </w:p>
    <w:p>
      <w:pPr>
        <w:bidi/>
        <w:spacing w:after="120" w:line="360" w:lineRule="auto"/>
        <w:jc w:val="both"/>
      </w:pPr>
      <w:r>
        <w:rPr>
          <w:rFonts w:ascii="Times New Roman" w:cs="David" w:eastAsia="David" w:hAnsi="Times New Roman"/>
          <w:b w:val="false"/>
          <w:i w:val="false"/>
          <w:sz w:val="24"/>
          <w:szCs w:val="24"/>
          <w:rtl/>
        </w:rPr>
        <w:t xml:space="preserve">ההקבלה לתופעת ברק כהן התבהרה לי רק כשצפיתי בסרט "משפט הבנקאים" (לילטי, 2022). הפעילים בסרט הבינו בגדול את מה שאני הבנתי בקטן: שאחרי שהמסלול הפורמלי ממצה את עצמו, נשארת רק שפת הכוח הישירה, זו שמדברת אל המוניטין ואל הכיס. הם שרו מול בתים של בנקאים; אני איימתי בעיקול. שנינו גילינו שהרגע שבו מפסיקים להיות מנומסים הוא הרגע שבו הצד השני מתחיל להקשיב.</w:t>
      </w:r>
    </w:p>
    <w:p>
      <w:pPr>
        <w:bidi/>
        <w:spacing w:after="120" w:line="360" w:lineRule="auto"/>
        <w:jc w:val="both"/>
      </w:pPr>
      <w:r>
        <w:rPr>
          <w:rFonts w:ascii="Times New Roman" w:cs="David" w:eastAsia="David" w:hAnsi="Times New Roman"/>
          <w:b w:val="false"/>
          <w:i w:val="false"/>
          <w:sz w:val="24"/>
          <w:szCs w:val="24"/>
          <w:rtl/>
        </w:rPr>
        <w:t xml:space="preserve">מוזר לחשוב שהרגע המכריע של ההליך כולו לא התרחש באולם, ואיש לא צילם אותו. לא היו בו נאום מסכם ולא הלמות פטיש, רק שיחת טלפון קצרה ומילים שלא האמנתי שאצליח להגיד בקול. אף סצנה שראיתי לא הכינה אותי לזה, כי הסצנה הזאת פשוט אינה קיימת בז'אנר: איום בעיקול אינו טלוויזיוני. ובכל זאת, זה היה הרגע שבו החוק שבספרים הפך אצלי לחוק שבפעולה (Pound, 1910).</w:t>
      </w:r>
    </w:p>
    <w:p>
      <w:pPr>
        <w:bidi/>
        <w:spacing w:after="120" w:line="360" w:lineRule="auto"/>
        <w:jc w:val="start"/>
      </w:pPr>
      <w:r>
        <w:rPr>
          <w:rFonts w:ascii="Times New Roman" w:cs="David" w:eastAsia="David" w:hAnsi="Times New Roman"/>
          <w:b/>
          <w:bCs/>
          <w:i w:val="false"/>
          <w:sz w:val="24"/>
          <w:szCs w:val="24"/>
          <w:u w:val="single"/>
          <w:rtl/>
        </w:rPr>
        <w:t xml:space="preserve">הזמן של מי: שנתיים וחצי מול פרק של שעה</w:t>
      </w:r>
    </w:p>
    <w:p>
      <w:pPr>
        <w:bidi/>
        <w:spacing w:after="120" w:line="360" w:lineRule="auto"/>
        <w:jc w:val="both"/>
      </w:pPr>
      <w:r>
        <w:rPr>
          <w:rFonts w:ascii="Times New Roman" w:cs="David" w:eastAsia="David" w:hAnsi="Times New Roman"/>
          <w:b w:val="false"/>
          <w:i w:val="false"/>
          <w:sz w:val="24"/>
          <w:szCs w:val="24"/>
          <w:rtl/>
        </w:rPr>
        <w:t xml:space="preserve">ההליך כולו נמשך שנתיים וחצי. הצירוף הזה לא אומר דבר למי שלא חי אותו. מבחינתי אלה היו מאות ערבים של מחשבות טורדניות, גלים של תקווה מול כל דיון מתקרב, ונפילה מול כל דחייה. שוב ושוב נדרשתי לספר את סיפור הפגיעה, בתצהיר, בהכנה לדיון, בחקירה, וכל פעם כזאת פתחה את הפצע מחדש. זו התגלמות מדויקת של הטענה שההליך הוא העונש (Feeley, 1979): המחיר הכבד ביותר ששילמתי לא היה תלוי בתוצאה, הוא נגבה ממני על הדרך.</w:t>
      </w:r>
    </w:p>
    <w:p>
      <w:pPr>
        <w:bidi/>
        <w:spacing w:after="120" w:line="360" w:lineRule="auto"/>
        <w:jc w:val="both"/>
      </w:pPr>
      <w:r>
        <w:rPr>
          <w:rFonts w:ascii="Times New Roman" w:cs="David" w:eastAsia="David" w:hAnsi="Times New Roman"/>
          <w:b w:val="false"/>
          <w:i w:val="false"/>
          <w:sz w:val="24"/>
          <w:szCs w:val="24"/>
          <w:rtl/>
        </w:rPr>
        <w:t xml:space="preserve">ובאותו זמן, בערבים, המשכתי לראות טלוויזיה שבה משפטים שלמים מסתיימים בין כותרות הפתיחה לכותרות הסיום (Friedman, 1989; Wolf, 1990-2010). האירוניה לא נעלמה ממני: הזמן היחיד שבו הצדק היה מהיר היה על המסך. חשוב מזה, הבנתי בהדרגה שהזמן אינו סתם עובר, הוא עובד. הוא עבד בשביל המעסיק, שהעסק שלו המשיך לפעול ושיכול היה לחכות לי עד שאשבר, ועבד נגדי, העובדת הצעירה שכל חודש נוסף הכביד עליה (Galanter, 1974). ההמתנה לא הייתה סימטרית, והצד שקבע את הקצב היה הצד שהרוויח ממנו.</w:t>
      </w:r>
    </w:p>
    <w:p>
      <w:pPr>
        <w:bidi/>
        <w:spacing w:after="120" w:line="360" w:lineRule="auto"/>
        <w:jc w:val="both"/>
      </w:pPr>
      <w:r>
        <w:rPr>
          <w:rFonts w:ascii="Times New Roman" w:cs="David" w:eastAsia="David" w:hAnsi="Times New Roman"/>
          <w:b w:val="false"/>
          <w:i w:val="false"/>
          <w:sz w:val="24"/>
          <w:szCs w:val="24"/>
          <w:rtl/>
        </w:rPr>
        <w:t xml:space="preserve">המחיר לא היה רק נפשי. במהלך התקופה הזאת דחיתי החלטות שתלויות בכסף שחיכיתי לו: קורס שרציתי להתחיל, מעבר דירה, אפילו חופשה קצרה. החיים התנהלו במעין הקפאה חלקית, כאילו אסור לתכנן כלום עד שהתיק ייסגר. כשקוראים על עלויות ההתדיינות בספרות הן נשמעות מופשטות (Feeley, 1979), אבל בשטח יש להן צורה מאוד מוחשית: לוח שנה שלם שחי בהמתנה.</w:t>
      </w:r>
    </w:p>
    <w:p>
      <w:pPr>
        <w:bidi/>
        <w:spacing w:after="120" w:line="360" w:lineRule="auto"/>
        <w:jc w:val="both"/>
      </w:pPr>
      <w:r>
        <w:rPr>
          <w:rFonts w:ascii="Times New Roman" w:cs="David" w:eastAsia="David" w:hAnsi="Times New Roman"/>
          <w:b w:val="false"/>
          <w:i w:val="false"/>
          <w:sz w:val="24"/>
          <w:szCs w:val="24"/>
          <w:rtl/>
        </w:rPr>
        <w:t xml:space="preserve">אני חושבת שהשינוי העמוק ביותר שההליך חולל בי קשור לזמן. למדתי שסבלנות אינה רק מידה טובה, היא משאב שנגמר, ומי שמנהל מולך את הזמן יודע את זה היטב. אם הייתי מנסחת את הידע הזה במשפט אחד לעובדת הבאה, הייתי אומרת: ההליך יימשך פי כמה ממה שאת מדמיינת, וזה אינו כשל של המערכת אלא חלק מכללי המשחק. ההיערכות הנפשית והכלכלית לזמן הזה היא חלק מההחלטה לתבוע, לא פחות מהשאלה אם החוק לצידך.</w:t>
      </w:r>
    </w:p>
    <w:p>
      <w:pPr>
        <w:pageBreakBefore/>
        <w:bidi/>
        <w:spacing w:after="240" w:line="360" w:lineRule="auto"/>
        <w:jc w:val="start"/>
      </w:pPr>
      <w:r>
        <w:rPr>
          <w:rFonts w:ascii="Times New Roman" w:cs="David" w:eastAsia="David" w:hAnsi="Times New Roman"/>
          <w:b/>
          <w:bCs/>
          <w:i w:val="false"/>
          <w:sz w:val="32"/>
          <w:szCs w:val="32"/>
          <w:rtl/>
        </w:rPr>
        <w:t xml:space="preserve">דיון ומסקנות</w:t>
      </w:r>
    </w:p>
    <w:p>
      <w:pPr>
        <w:bidi/>
        <w:spacing w:after="120" w:line="360" w:lineRule="auto"/>
        <w:jc w:val="both"/>
      </w:pPr>
      <w:r>
        <w:rPr>
          <w:rFonts w:ascii="Times New Roman" w:cs="David" w:eastAsia="David" w:hAnsi="Times New Roman"/>
          <w:b w:val="false"/>
          <w:i w:val="false"/>
          <w:sz w:val="24"/>
          <w:szCs w:val="24"/>
          <w:rtl/>
        </w:rPr>
        <w:t xml:space="preserve">בחזרה לשאלת המחקר: כיצד משתקף הפער בין הבניית "עשיית הצדק" בתרבות הפופולרית לבין מציאות הגבייה ויחסי הכוח בתביעות עבודה? מקרה הבוחן מלמד שהפער אינו נקודה אחת אלא שלוש. בציר הייצוג, הדימוי התרבותי של עורך הדין הציבורי כפתרון של מי שאין לו ברירה (Macaulay, 1987) צבע את חוויית ההליך עוד לפני תחילתו, אף שהייצוג הזה הוא שמימש בפועל את זכות הגישה לערכאות (רבין, 1998; Rhode, 2004). בציר הזמן, שעון הפריים־טיים של פרק בן שעה (Friedman, 1989) התחלף בשנתיים וחצי שבהן הזמן שירת את החזק (Feeley, 1979; Galanter, 1974). ובציר הגבייה, השלב שהמסך פשוט אינו מצלם, פסק הדין התגלה כחוק שבספרים בלבד (Pound, 1910), עד שאיום בהוצאה לפועל תרגם אותו לשפה שהמעסיק מבין.</w:t>
      </w:r>
    </w:p>
    <w:p>
      <w:pPr>
        <w:bidi/>
        <w:spacing w:after="120" w:line="360" w:lineRule="auto"/>
        <w:jc w:val="both"/>
      </w:pPr>
      <w:r>
        <w:rPr>
          <w:rFonts w:ascii="Times New Roman" w:cs="David" w:eastAsia="David" w:hAnsi="Times New Roman"/>
          <w:b w:val="false"/>
          <w:i w:val="false"/>
          <w:sz w:val="24"/>
          <w:szCs w:val="24"/>
          <w:rtl/>
        </w:rPr>
        <w:t xml:space="preserve">החיבור בין שלושת הצירים מוליך למסקנה אחת: התרבות הפופולרית מבנה את הצדק כרגע, בעוד שהמציאות מבנה אותו כמאבק מתמשך שההכרעה השיפוטית היא רק תחנה בו. ההשמטה התרבותית של ההמתנה ושל הגבייה אינה ניטרלית, שכן דווקא בשלבים המושמטים האלה פועלים יחסי הכוח במלוא עוצמתם. מי שחונך על ידי המסך מגיע אליהם בלי מפה, ולומד אותם, כמוני, בדרך הקשה.</w:t>
      </w:r>
    </w:p>
    <w:p>
      <w:pPr>
        <w:bidi/>
        <w:spacing w:after="120" w:line="360" w:lineRule="auto"/>
        <w:jc w:val="both"/>
      </w:pPr>
      <w:r>
        <w:rPr>
          <w:rFonts w:ascii="Times New Roman" w:cs="David" w:eastAsia="David" w:hAnsi="Times New Roman"/>
          <w:b w:val="false"/>
          <w:i w:val="false"/>
          <w:sz w:val="24"/>
          <w:szCs w:val="24"/>
          <w:rtl/>
        </w:rPr>
        <w:t xml:space="preserve">הממצאים מאירים גם את תפקידה של תרבות הנגד. "משפט הבנקאים" (לילטי, 2022) הוא במובן הזה תיקון תרבותי: טקסט פופולרי שמתחיל היכן שהדרמה הקלאסית מסיימת, ומעמיד במרכז את השאלה שהעסיקה אותי בשבועות שאחרי פסק הדין, איך גורמים למי שחייב לך לשלם. העובדה שהתשובה שלו, שיימינג ולחץ ישיר על המוניטין (Skeel, 2001), זהה במבנה שלה לפתרון שמצאתי בעצמי, מחזקת את טענת המחקר של מרי (Merry, 1990): הפיכחון מהמשפט הפורמלי אינו חוויה פרטית אלא דפוס חברתי.</w:t>
      </w:r>
    </w:p>
    <w:p>
      <w:pPr>
        <w:bidi/>
        <w:spacing w:after="120" w:line="360" w:lineRule="auto"/>
        <w:jc w:val="both"/>
      </w:pPr>
      <w:r>
        <w:rPr>
          <w:rFonts w:ascii="Times New Roman" w:cs="David" w:eastAsia="David" w:hAnsi="Times New Roman"/>
          <w:b w:val="false"/>
          <w:i w:val="false"/>
          <w:sz w:val="24"/>
          <w:szCs w:val="24"/>
          <w:rtl/>
        </w:rPr>
        <w:t xml:space="preserve">נדרשת זהירות בהסקה: זהו מקרה יחיד, שהסתיים יחסית בטוב, ואצלי די היה באיום ולא נדרש הליך גבייה ממשי. אפשר להניח שלא כל מעסיק נשבר מטלפון אחד, ולא כל תובעת מחזיקה מעמד שנתיים וחצי. אבל דווקא בגלל זה חשוב לספר את הסיפורים האלה: כל עוד השלב שאחרי פסק הדין נשאר מחוץ לפריים, כל תובע יגלה אותו לבד ומחדש.</w:t>
      </w:r>
    </w:p>
    <w:p>
      <w:pPr>
        <w:pageBreakBefore/>
        <w:bidi/>
        <w:spacing w:after="240" w:line="360" w:lineRule="auto"/>
        <w:jc w:val="start"/>
      </w:pPr>
      <w:r>
        <w:rPr>
          <w:rFonts w:ascii="Times New Roman" w:cs="David" w:eastAsia="David" w:hAnsi="Times New Roman"/>
          <w:b/>
          <w:bCs/>
          <w:i w:val="false"/>
          <w:sz w:val="32"/>
          <w:szCs w:val="32"/>
          <w:rtl/>
        </w:rPr>
        <w:t xml:space="preserve">סיכום</w:t>
      </w:r>
    </w:p>
    <w:p>
      <w:pPr>
        <w:bidi/>
        <w:spacing w:after="120" w:line="360" w:lineRule="auto"/>
        <w:jc w:val="both"/>
      </w:pPr>
      <w:r>
        <w:rPr>
          <w:rFonts w:ascii="Times New Roman" w:cs="David" w:eastAsia="David" w:hAnsi="Times New Roman"/>
          <w:b w:val="false"/>
          <w:i w:val="false"/>
          <w:sz w:val="24"/>
          <w:szCs w:val="24"/>
          <w:rtl/>
        </w:rPr>
        <w:t xml:space="preserve">העבודה בחנה, דרך מקרה בוחן אישי של תביעת עבודה, את שאלת המחקר: כיצד משתקף הפער בין הבניית "עשיית הצדק" בתרבות הפופולרית לבין מציאות הגבייה ויחסי הכוח בתביעות עבודה? המסגרת התיאורטית נשענה על שלושה ראשי פרקים: דימוי הייצוג מטעם המדינה מול המציאות של נגישות לצדק, ההבחנה בין החוק שבספרים לחוק שבפעולה כפי שהיא מתגלמת בתופעת ברק כהן, והסחבת המשפטית כחוויה של יחסי כוח. הניתוח האוטואתנוגרפי הראה התאמה צמודה בין המקרה לספרות: כניסה להליך דרך דימוי נחות של הייצוג הציבורי, שנתיים וחצי שבהן הזמן פעל לטובת המעסיק, ופסק דין שקם לחיים רק לאחר איום בהוצאה לפועל ובעיקולים.</w:t>
      </w:r>
    </w:p>
    <w:p>
      <w:pPr>
        <w:bidi/>
        <w:spacing w:after="120" w:line="360" w:lineRule="auto"/>
        <w:jc w:val="both"/>
      </w:pPr>
      <w:r>
        <w:rPr>
          <w:rFonts w:ascii="Times New Roman" w:cs="David" w:eastAsia="David" w:hAnsi="Times New Roman"/>
          <w:b w:val="false"/>
          <w:i w:val="false"/>
          <w:sz w:val="24"/>
          <w:szCs w:val="24"/>
          <w:rtl/>
        </w:rPr>
        <w:t xml:space="preserve">המענה לשאלת המחקר הוא שהפער משתקף בעצם נקודת הסיום של הסיפור: הטלוויזיה מסיימת בהכרעה, החיים נמשכים אל הגבייה. בשטח המת הזה שבין פסק הדין לכסף חי אי השוויון האמיתי, ומי שלא הוכן אליו משלם עליו פעמיים, בכסף ובנפש.</w:t>
      </w:r>
    </w:p>
    <w:p>
      <w:pPr>
        <w:bidi/>
        <w:spacing w:after="120" w:line="360" w:lineRule="auto"/>
        <w:jc w:val="both"/>
      </w:pPr>
      <w:r>
        <w:rPr>
          <w:rFonts w:ascii="Times New Roman" w:cs="David" w:eastAsia="David" w:hAnsi="Times New Roman"/>
          <w:b w:val="false"/>
          <w:i w:val="false"/>
          <w:sz w:val="24"/>
          <w:szCs w:val="24"/>
          <w:rtl/>
        </w:rPr>
        <w:t xml:space="preserve">ברמה המעשית עולות מהעבודה שלוש המלצות. האחת, לצרף לכל פסק דין כספי בבתי הדין לעבודה הסבר נגיש על אפשרויות הגבייה, כולל הוצאה לפועל ועיקולים, כדי שהידע הזה לא יהיה נחלתם של מיוצגים היטב בלבד. השנייה, לשקול הרחבה של הסיוע המשפטי כך שילווה את הזוכה גם בשלב הגבייה, שהוא כפי שהראתה העבודה שלב של יחסי כוח ולא פורמליות גרידא. השלישית, לקצר את משכי ההליכים בבתי הדין לעבודה או לקבוע מסלולים מהירים לתביעות של עובדים בשכר נמוך, מתוך הכרה בכך שהזמן עצמו הוא משאב שמחולק בין הצדדים באופן לא שווה. שלוש ההמלצות נובעות ישירות משלושת הצירים שנבחנו, ויישומן היה הופך את הסיפור שסופר כאן לקצר יותר, וכואב פחות.</w:t>
      </w:r>
    </w:p>
    <w:p>
      <w:pPr>
        <w:pageBreakBefore/>
        <w:bidi/>
        <w:spacing w:after="240" w:line="360" w:lineRule="auto"/>
        <w:jc w:val="start"/>
      </w:pPr>
      <w:r>
        <w:rPr>
          <w:rFonts w:ascii="Times New Roman" w:cs="David" w:eastAsia="David" w:hAnsi="Times New Roman"/>
          <w:b/>
          <w:bCs/>
          <w:i w:val="false"/>
          <w:sz w:val="32"/>
          <w:szCs w:val="32"/>
          <w:rtl/>
        </w:rPr>
        <w:t xml:space="preserve">רשימת מקורות ופילמוגרפיה</w:t>
      </w:r>
    </w:p>
    <w:p>
      <w:pPr>
        <w:bidi/>
        <w:spacing w:after="120" w:line="360" w:lineRule="auto"/>
        <w:jc w:val="start"/>
      </w:pPr>
      <w:r>
        <w:rPr>
          <w:rFonts w:ascii="Times New Roman" w:cs="David" w:eastAsia="David" w:hAnsi="Times New Roman"/>
          <w:b/>
          <w:bCs/>
          <w:i w:val="false"/>
          <w:sz w:val="24"/>
          <w:szCs w:val="24"/>
          <w:u w:val="single"/>
          <w:rtl/>
        </w:rPr>
        <w:t xml:space="preserve">רשימת מקורות</w:t>
      </w:r>
    </w:p>
    <w:p>
      <w:pPr>
        <w:bidi/>
        <w:spacing w:after="180" w:line="360" w:lineRule="auto"/>
        <w:ind w:left="709" w:hanging="709"/>
        <w:jc w:val="start"/>
      </w:pPr>
      <w:r>
        <w:rPr>
          <w:rFonts w:ascii="Times New Roman" w:cs="David" w:eastAsia="David" w:hAnsi="Times New Roman"/>
          <w:b w:val="false"/>
          <w:i w:val="false"/>
          <w:sz w:val="24"/>
          <w:szCs w:val="24"/>
          <w:rtl/>
        </w:rPr>
        <w:t xml:space="preserve">מאוטנר, מ' (2008). </w:t>
      </w:r>
      <w:r>
        <w:rPr>
          <w:rFonts w:ascii="Times New Roman" w:cs="David" w:eastAsia="David" w:hAnsi="Times New Roman"/>
          <w:b w:val="false"/>
          <w:i/>
          <w:iCs/>
          <w:sz w:val="24"/>
          <w:szCs w:val="24"/>
          <w:rtl/>
        </w:rPr>
        <w:t xml:space="preserve">משפט ותרבות בישראל בפתח המאה העשרים ואחת</w:t>
      </w:r>
      <w:r>
        <w:rPr>
          <w:rFonts w:ascii="Times New Roman" w:cs="David" w:eastAsia="David" w:hAnsi="Times New Roman"/>
          <w:b w:val="false"/>
          <w:i w:val="false"/>
          <w:sz w:val="24"/>
          <w:szCs w:val="24"/>
          <w:rtl/>
        </w:rPr>
        <w:t xml:space="preserve">. עם עובד.</w:t>
      </w:r>
    </w:p>
    <w:p>
      <w:pPr>
        <w:bidi/>
        <w:spacing w:after="180" w:line="360" w:lineRule="auto"/>
        <w:ind w:left="709" w:hanging="709"/>
        <w:jc w:val="start"/>
      </w:pPr>
      <w:r>
        <w:rPr>
          <w:rFonts w:ascii="Times New Roman" w:cs="David" w:eastAsia="David" w:hAnsi="Times New Roman"/>
          <w:b w:val="false"/>
          <w:i w:val="false"/>
          <w:sz w:val="24"/>
          <w:szCs w:val="24"/>
          <w:rtl/>
        </w:rPr>
        <w:t xml:space="preserve">רבין, י' (1998). </w:t>
      </w:r>
      <w:r>
        <w:rPr>
          <w:rFonts w:ascii="Times New Roman" w:cs="David" w:eastAsia="David" w:hAnsi="Times New Roman"/>
          <w:b w:val="false"/>
          <w:i/>
          <w:iCs/>
          <w:sz w:val="24"/>
          <w:szCs w:val="24"/>
          <w:rtl/>
        </w:rPr>
        <w:t xml:space="preserve">זכות הגישה לערכאות כזכות חוקתית</w:t>
      </w:r>
      <w:r>
        <w:rPr>
          <w:rFonts w:ascii="Times New Roman" w:cs="David" w:eastAsia="David" w:hAnsi="Times New Roman"/>
          <w:b w:val="false"/>
          <w:i w:val="false"/>
          <w:sz w:val="24"/>
          <w:szCs w:val="24"/>
          <w:rtl/>
        </w:rPr>
        <w:t xml:space="preserve">. בורסי.</w:t>
      </w:r>
    </w:p>
    <w:p>
      <w:pPr>
        <w:bidi/>
        <w:spacing w:after="180" w:line="360" w:lineRule="auto"/>
        <w:ind w:left="709" w:hanging="709"/>
        <w:jc w:val="start"/>
      </w:pPr>
      <w:r>
        <w:rPr>
          <w:rFonts w:ascii="Times New Roman" w:cs="David" w:eastAsia="David" w:hAnsi="Times New Roman"/>
          <w:b w:val="false"/>
          <w:i w:val="false"/>
          <w:sz w:val="24"/>
          <w:szCs w:val="24"/>
          <w:rtl/>
        </w:rPr>
        <w:t xml:space="preserve">שלסקי, ש', ואלפרט, ב' (2007). </w:t>
      </w:r>
      <w:r>
        <w:rPr>
          <w:rFonts w:ascii="Times New Roman" w:cs="David" w:eastAsia="David" w:hAnsi="Times New Roman"/>
          <w:b w:val="false"/>
          <w:i/>
          <w:iCs/>
          <w:sz w:val="24"/>
          <w:szCs w:val="24"/>
          <w:rtl/>
        </w:rPr>
        <w:t xml:space="preserve">דרכים בכתיבת מחקר איכותי: מפירוק המציאות להבנייתה כטקסט</w:t>
      </w:r>
      <w:r>
        <w:rPr>
          <w:rFonts w:ascii="Times New Roman" w:cs="David" w:eastAsia="David" w:hAnsi="Times New Roman"/>
          <w:b w:val="false"/>
          <w:i w:val="false"/>
          <w:sz w:val="24"/>
          <w:szCs w:val="24"/>
          <w:rtl/>
        </w:rPr>
        <w:t xml:space="preserve">. מכון מופ"ת.</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Chang, H. (2008). </w:t>
      </w:r>
      <w:r>
        <w:rPr>
          <w:rFonts w:ascii="Times New Roman" w:cs="Times New Roman" w:eastAsia="Times New Roman" w:hAnsi="Times New Roman"/>
          <w:b w:val="false"/>
          <w:i/>
          <w:iCs/>
          <w:sz w:val="24"/>
          <w:szCs w:val="24"/>
          <w:rtl w:val="false"/>
        </w:rPr>
        <w:t xml:space="preserve">Autoethnography as method</w:t>
      </w:r>
      <w:r>
        <w:rPr>
          <w:rFonts w:ascii="Times New Roman" w:cs="Times New Roman" w:eastAsia="Times New Roman" w:hAnsi="Times New Roman"/>
          <w:b w:val="false"/>
          <w:i w:val="false"/>
          <w:sz w:val="24"/>
          <w:szCs w:val="24"/>
          <w:rtl w:val="false"/>
        </w:rPr>
        <w:t xml:space="preserve">. Left Coast Press.</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Feeley, M. M. (1979). </w:t>
      </w:r>
      <w:r>
        <w:rPr>
          <w:rFonts w:ascii="Times New Roman" w:cs="Times New Roman" w:eastAsia="Times New Roman" w:hAnsi="Times New Roman"/>
          <w:b w:val="false"/>
          <w:i/>
          <w:iCs/>
          <w:sz w:val="24"/>
          <w:szCs w:val="24"/>
          <w:rtl w:val="false"/>
        </w:rPr>
        <w:t xml:space="preserve">The process is the punishment: Handling cases in a lower criminal court</w:t>
      </w:r>
      <w:r>
        <w:rPr>
          <w:rFonts w:ascii="Times New Roman" w:cs="Times New Roman" w:eastAsia="Times New Roman" w:hAnsi="Times New Roman"/>
          <w:b w:val="false"/>
          <w:i w:val="false"/>
          <w:sz w:val="24"/>
          <w:szCs w:val="24"/>
          <w:rtl w:val="false"/>
        </w:rPr>
        <w:t xml:space="preserve">. Russell Sage Foundation.</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Friedman, L. M. (1989). Law, lawyers, and popular culture. </w:t>
      </w:r>
      <w:r>
        <w:rPr>
          <w:rFonts w:ascii="Times New Roman" w:cs="Times New Roman" w:eastAsia="Times New Roman" w:hAnsi="Times New Roman"/>
          <w:b w:val="false"/>
          <w:i/>
          <w:iCs/>
          <w:sz w:val="24"/>
          <w:szCs w:val="24"/>
          <w:rtl w:val="false"/>
        </w:rPr>
        <w:t xml:space="preserve">Yale Law Journal, 98</w:t>
      </w:r>
      <w:r>
        <w:rPr>
          <w:rFonts w:ascii="Times New Roman" w:cs="Times New Roman" w:eastAsia="Times New Roman" w:hAnsi="Times New Roman"/>
          <w:b w:val="false"/>
          <w:i w:val="false"/>
          <w:sz w:val="24"/>
          <w:szCs w:val="24"/>
          <w:rtl w:val="false"/>
        </w:rPr>
        <w:t xml:space="preserve">(8), 1579-1606.</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Galanter, M. (1974). Why the "haves" come out ahead: Speculations on the limits of legal change. </w:t>
      </w:r>
      <w:r>
        <w:rPr>
          <w:rFonts w:ascii="Times New Roman" w:cs="Times New Roman" w:eastAsia="Times New Roman" w:hAnsi="Times New Roman"/>
          <w:b w:val="false"/>
          <w:i/>
          <w:iCs/>
          <w:sz w:val="24"/>
          <w:szCs w:val="24"/>
          <w:rtl w:val="false"/>
        </w:rPr>
        <w:t xml:space="preserve">Law &amp; Society Review, 9</w:t>
      </w:r>
      <w:r>
        <w:rPr>
          <w:rFonts w:ascii="Times New Roman" w:cs="Times New Roman" w:eastAsia="Times New Roman" w:hAnsi="Times New Roman"/>
          <w:b w:val="false"/>
          <w:i w:val="false"/>
          <w:sz w:val="24"/>
          <w:szCs w:val="24"/>
          <w:rtl w:val="false"/>
        </w:rPr>
        <w:t xml:space="preserve">(1), 95-160.</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Macaulay, S. (1987). Images of law in everyday life: The lessons of school, entertainment, and spectator sports. </w:t>
      </w:r>
      <w:r>
        <w:rPr>
          <w:rFonts w:ascii="Times New Roman" w:cs="Times New Roman" w:eastAsia="Times New Roman" w:hAnsi="Times New Roman"/>
          <w:b w:val="false"/>
          <w:i/>
          <w:iCs/>
          <w:sz w:val="24"/>
          <w:szCs w:val="24"/>
          <w:rtl w:val="false"/>
        </w:rPr>
        <w:t xml:space="preserve">Law &amp; Society Review, 21</w:t>
      </w:r>
      <w:r>
        <w:rPr>
          <w:rFonts w:ascii="Times New Roman" w:cs="Times New Roman" w:eastAsia="Times New Roman" w:hAnsi="Times New Roman"/>
          <w:b w:val="false"/>
          <w:i w:val="false"/>
          <w:sz w:val="24"/>
          <w:szCs w:val="24"/>
          <w:rtl w:val="false"/>
        </w:rPr>
        <w:t xml:space="preserve">(2), 185-218.</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Merry, S. E. (1990). </w:t>
      </w:r>
      <w:r>
        <w:rPr>
          <w:rFonts w:ascii="Times New Roman" w:cs="Times New Roman" w:eastAsia="Times New Roman" w:hAnsi="Times New Roman"/>
          <w:b w:val="false"/>
          <w:i/>
          <w:iCs/>
          <w:sz w:val="24"/>
          <w:szCs w:val="24"/>
          <w:rtl w:val="false"/>
        </w:rPr>
        <w:t xml:space="preserve">Getting justice and getting even: Legal consciousness among working-class Americans</w:t>
      </w:r>
      <w:r>
        <w:rPr>
          <w:rFonts w:ascii="Times New Roman" w:cs="Times New Roman" w:eastAsia="Times New Roman" w:hAnsi="Times New Roman"/>
          <w:b w:val="false"/>
          <w:i w:val="false"/>
          <w:sz w:val="24"/>
          <w:szCs w:val="24"/>
          <w:rtl w:val="false"/>
        </w:rPr>
        <w:t xml:space="preserve">. University of Chicago Press.</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Pound, R. (1910). Law in books and law in action. </w:t>
      </w:r>
      <w:r>
        <w:rPr>
          <w:rFonts w:ascii="Times New Roman" w:cs="Times New Roman" w:eastAsia="Times New Roman" w:hAnsi="Times New Roman"/>
          <w:b w:val="false"/>
          <w:i/>
          <w:iCs/>
          <w:sz w:val="24"/>
          <w:szCs w:val="24"/>
          <w:rtl w:val="false"/>
        </w:rPr>
        <w:t xml:space="preserve">American Law Review, 44</w:t>
      </w:r>
      <w:r>
        <w:rPr>
          <w:rFonts w:ascii="Times New Roman" w:cs="Times New Roman" w:eastAsia="Times New Roman" w:hAnsi="Times New Roman"/>
          <w:b w:val="false"/>
          <w:i w:val="false"/>
          <w:sz w:val="24"/>
          <w:szCs w:val="24"/>
          <w:rtl w:val="false"/>
        </w:rPr>
        <w:t xml:space="preserve">(1), 12-36.</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Rhode, D. L. (2004). </w:t>
      </w:r>
      <w:r>
        <w:rPr>
          <w:rFonts w:ascii="Times New Roman" w:cs="Times New Roman" w:eastAsia="Times New Roman" w:hAnsi="Times New Roman"/>
          <w:b w:val="false"/>
          <w:i/>
          <w:iCs/>
          <w:sz w:val="24"/>
          <w:szCs w:val="24"/>
          <w:rtl w:val="false"/>
        </w:rPr>
        <w:t xml:space="preserve">Access to justice</w:t>
      </w:r>
      <w:r>
        <w:rPr>
          <w:rFonts w:ascii="Times New Roman" w:cs="Times New Roman" w:eastAsia="Times New Roman" w:hAnsi="Times New Roman"/>
          <w:b w:val="false"/>
          <w:i w:val="false"/>
          <w:sz w:val="24"/>
          <w:szCs w:val="24"/>
          <w:rtl w:val="false"/>
        </w:rPr>
        <w:t xml:space="preserve">. Oxford University Press.</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Skeel, D. A. (2001). Shaming in corporate law. </w:t>
      </w:r>
      <w:r>
        <w:rPr>
          <w:rFonts w:ascii="Times New Roman" w:cs="Times New Roman" w:eastAsia="Times New Roman" w:hAnsi="Times New Roman"/>
          <w:b w:val="false"/>
          <w:i/>
          <w:iCs/>
          <w:sz w:val="24"/>
          <w:szCs w:val="24"/>
          <w:rtl w:val="false"/>
        </w:rPr>
        <w:t xml:space="preserve">University of Pennsylvania Law Review, 149</w:t>
      </w:r>
      <w:r>
        <w:rPr>
          <w:rFonts w:ascii="Times New Roman" w:cs="Times New Roman" w:eastAsia="Times New Roman" w:hAnsi="Times New Roman"/>
          <w:b w:val="false"/>
          <w:i w:val="false"/>
          <w:sz w:val="24"/>
          <w:szCs w:val="24"/>
          <w:rtl w:val="false"/>
        </w:rPr>
        <w:t xml:space="preserve">(6), 1811-1868.</w:t>
      </w:r>
    </w:p>
    <w:p>
      <w:pPr>
        <w:bidi/>
        <w:spacing w:after="120" w:line="360" w:lineRule="auto"/>
        <w:jc w:val="start"/>
      </w:pPr>
      <w:r>
        <w:rPr>
          <w:rFonts w:ascii="Times New Roman" w:cs="David" w:eastAsia="David" w:hAnsi="Times New Roman"/>
          <w:b/>
          <w:bCs/>
          <w:i w:val="false"/>
          <w:sz w:val="24"/>
          <w:szCs w:val="24"/>
          <w:u w:val="single"/>
          <w:rtl/>
        </w:rPr>
        <w:t xml:space="preserve">פילמוגרפיה</w:t>
      </w:r>
    </w:p>
    <w:p>
      <w:pPr>
        <w:bidi/>
        <w:spacing w:after="180" w:line="360" w:lineRule="auto"/>
        <w:ind w:left="709" w:hanging="709"/>
        <w:jc w:val="start"/>
      </w:pPr>
      <w:r>
        <w:rPr>
          <w:rFonts w:ascii="Times New Roman" w:cs="David" w:eastAsia="David" w:hAnsi="Times New Roman"/>
          <w:b w:val="false"/>
          <w:i w:val="false"/>
          <w:sz w:val="24"/>
          <w:szCs w:val="24"/>
          <w:rtl/>
        </w:rPr>
        <w:t xml:space="preserve">לילטי, א' (במאי). (2022). </w:t>
      </w:r>
      <w:r>
        <w:rPr>
          <w:rFonts w:ascii="Times New Roman" w:cs="David" w:eastAsia="David" w:hAnsi="Times New Roman"/>
          <w:b w:val="false"/>
          <w:i/>
          <w:iCs/>
          <w:sz w:val="24"/>
          <w:szCs w:val="24"/>
          <w:rtl/>
        </w:rPr>
        <w:t xml:space="preserve">משפט הבנקאים</w:t>
      </w:r>
      <w:r>
        <w:rPr>
          <w:rFonts w:ascii="Times New Roman" w:cs="David" w:eastAsia="David" w:hAnsi="Times New Roman"/>
          <w:b w:val="false"/>
          <w:i w:val="false"/>
          <w:sz w:val="24"/>
          <w:szCs w:val="24"/>
          <w:rtl/>
        </w:rPr>
        <w:t xml:space="preserve"> [סרט תיעודי]. כאן 11, תאגיד השידור הישראלי.</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Wolf, D. (Creator). (1990-2010). </w:t>
      </w:r>
      <w:r>
        <w:rPr>
          <w:rFonts w:ascii="Times New Roman" w:cs="Times New Roman" w:eastAsia="Times New Roman" w:hAnsi="Times New Roman"/>
          <w:b w:val="false"/>
          <w:i/>
          <w:iCs/>
          <w:sz w:val="24"/>
          <w:szCs w:val="24"/>
          <w:rtl w:val="false"/>
        </w:rPr>
        <w:t xml:space="preserve">Law &amp; Order</w:t>
      </w:r>
      <w:r>
        <w:rPr>
          <w:rFonts w:ascii="Times New Roman" w:cs="Times New Roman" w:eastAsia="Times New Roman" w:hAnsi="Times New Roman"/>
          <w:b w:val="false"/>
          <w:i w:val="false"/>
          <w:sz w:val="24"/>
          <w:szCs w:val="24"/>
          <w:rtl w:val="false"/>
        </w:rPr>
        <w:t xml:space="preserve"> [TV series]. NBC.</w:t>
      </w:r>
    </w:p>
    <w:sectPr>
      <w:headerReference w:type="default" r:id="rId7"/>
      <w:head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cef8e8849440abd831d006ed8d69cbc194dbb50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הצדק לא ממהר: על הפער בין משפט של שעה בטלוויזיה לבין שנתיים וחצי בבית הדין לעבודה</dc:title>
  <dc:creator>ליני ______________</dc:creator>
  <cp:lastModifiedBy>Un-named</cp:lastModifiedBy>
  <cp:revision>1</cp:revision>
  <dcterms:created xsi:type="dcterms:W3CDTF">2026-08-01T21:25:50.218Z</dcterms:created>
  <dcterms:modified xsi:type="dcterms:W3CDTF">2026-08-01T21:25:50.219Z</dcterms:modified>
</cp:coreProperties>
</file>

<file path=docProps/custom.xml><?xml version="1.0" encoding="utf-8"?>
<Properties xmlns="http://schemas.openxmlformats.org/officeDocument/2006/custom-properties" xmlns:vt="http://schemas.openxmlformats.org/officeDocument/2006/docPropsVTypes"/>
</file>