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center"/>
      </w:pPr>
      <w:r>
        <w:rPr>
          <w:rFonts w:ascii="David" w:hAnsi="David" w:cs="David"/>
          <w:b w:val="0"/>
          <w:i w:val="0"/>
          <w:sz w:val="24"/>
          <w:szCs w:val="24"/>
          <w:rtl w:val="1"/>
        </w:rPr>
      </w:r>
    </w:p>
    <w:p>
      <w:pPr>
        <w:bidi w:val="1"/>
        <w:spacing w:line="360" w:lineRule="auto" w:after="0"/>
        <w:jc w:val="center"/>
      </w:pPr>
      <w:r>
        <w:rPr>
          <w:rFonts w:ascii="David" w:hAnsi="David" w:cs="David"/>
          <w:b w:val="0"/>
          <w:i w:val="0"/>
          <w:sz w:val="24"/>
          <w:szCs w:val="24"/>
          <w:rtl w:val="1"/>
        </w:rPr>
      </w:r>
    </w:p>
    <w:p>
      <w:pPr>
        <w:bidi w:val="1"/>
        <w:spacing w:line="360" w:lineRule="auto" w:after="0"/>
        <w:jc w:val="center"/>
      </w:pPr>
      <w:r>
        <w:rPr>
          <w:rFonts w:ascii="David" w:hAnsi="David" w:cs="David"/>
          <w:b w:val="0"/>
          <w:i w:val="0"/>
          <w:sz w:val="24"/>
          <w:szCs w:val="24"/>
          <w:rtl w:val="1"/>
        </w:rPr>
      </w:r>
    </w:p>
    <w:p>
      <w:pPr>
        <w:bidi w:val="1"/>
        <w:spacing w:line="360" w:lineRule="auto" w:after="120"/>
        <w:jc w:val="center"/>
      </w:pPr>
      <w:r>
        <w:rPr>
          <w:rFonts w:ascii="David" w:hAnsi="David" w:cs="David"/>
          <w:b/>
          <w:i w:val="0"/>
          <w:sz w:val="28"/>
          <w:szCs w:val="28"/>
          <w:rtl w:val="1"/>
        </w:rPr>
        <w:t>הקריה האקדמית אונו</w:t>
      </w:r>
    </w:p>
    <w:p>
      <w:pPr>
        <w:bidi w:val="1"/>
        <w:spacing w:line="360" w:lineRule="auto" w:after="120"/>
        <w:jc w:val="center"/>
      </w:pPr>
      <w:r>
        <w:rPr>
          <w:rFonts w:ascii="David" w:hAnsi="David" w:cs="David"/>
          <w:b/>
          <w:i w:val="0"/>
          <w:sz w:val="36"/>
          <w:szCs w:val="36"/>
          <w:rtl w:val="1"/>
        </w:rPr>
        <w:t>מוגבלות וסיכון: לקויות למידה ואוטיזם</w:t>
      </w:r>
    </w:p>
    <w:p>
      <w:pPr>
        <w:bidi w:val="1"/>
        <w:spacing w:line="360" w:lineRule="auto" w:after="480"/>
        <w:jc w:val="center"/>
      </w:pPr>
      <w:r>
        <w:rPr>
          <w:rFonts w:ascii="David" w:hAnsi="David" w:cs="David"/>
          <w:b w:val="0"/>
          <w:i w:val="0"/>
          <w:sz w:val="26"/>
          <w:szCs w:val="26"/>
          <w:rtl w:val="1"/>
        </w:rPr>
        <w:t>מרצה: קרן דרור</w:t>
      </w:r>
    </w:p>
    <w:p>
      <w:pPr>
        <w:bidi w:val="1"/>
        <w:spacing w:line="360" w:lineRule="auto" w:after="960"/>
        <w:jc w:val="center"/>
      </w:pPr>
      <w:r>
        <w:rPr>
          <w:rFonts w:ascii="David" w:hAnsi="David" w:cs="David"/>
          <w:b/>
          <w:i w:val="0"/>
          <w:sz w:val="32"/>
          <w:szCs w:val="32"/>
          <w:rtl w:val="1"/>
        </w:rPr>
        <w:t>יומן מסע: מטלת סיכום</w:t>
      </w:r>
    </w:p>
    <w:p>
      <w:pPr>
        <w:bidi w:val="1"/>
        <w:spacing w:line="360" w:lineRule="auto" w:after="120"/>
        <w:jc w:val="center"/>
      </w:pPr>
      <w:r>
        <w:rPr>
          <w:rFonts w:ascii="David" w:hAnsi="David" w:cs="David"/>
          <w:b w:val="0"/>
          <w:i w:val="0"/>
          <w:sz w:val="26"/>
          <w:szCs w:val="26"/>
          <w:rtl w:val="1"/>
        </w:rPr>
        <w:t>מגישות: מרים ___________  והדיר ___________</w:t>
      </w:r>
    </w:p>
    <w:p>
      <w:pPr>
        <w:bidi w:val="1"/>
        <w:spacing w:line="360" w:lineRule="auto" w:after="120"/>
        <w:jc w:val="center"/>
      </w:pPr>
      <w:r>
        <w:rPr>
          <w:rFonts w:ascii="David" w:hAnsi="David" w:cs="David"/>
          <w:b w:val="0"/>
          <w:i w:val="0"/>
          <w:sz w:val="26"/>
          <w:szCs w:val="26"/>
          <w:rtl w:val="1"/>
        </w:rPr>
        <w:t>ת.ז: ___________  |  ___________</w:t>
      </w:r>
    </w:p>
    <w:p>
      <w:pPr>
        <w:bidi w:val="1"/>
        <w:spacing w:line="360" w:lineRule="auto" w:after="120"/>
        <w:jc w:val="center"/>
      </w:pPr>
      <w:r>
        <w:rPr>
          <w:rFonts w:ascii="David" w:hAnsi="David" w:cs="David"/>
          <w:b w:val="0"/>
          <w:i w:val="0"/>
          <w:sz w:val="26"/>
          <w:szCs w:val="26"/>
          <w:rtl w:val="1"/>
        </w:rPr>
        <w:t>תאריך: יולי 2026</w:t>
      </w:r>
    </w:p>
    <w:p>
      <w:r>
        <w:br w:type="page"/>
      </w:r>
    </w:p>
    <w:p>
      <w:pPr>
        <w:bidi w:val="1"/>
        <w:spacing w:line="360" w:lineRule="auto" w:after="200"/>
        <w:jc w:val="right"/>
      </w:pPr>
      <w:r>
        <w:rPr>
          <w:rFonts w:ascii="David" w:hAnsi="David" w:cs="David"/>
          <w:b/>
          <w:i w:val="0"/>
          <w:sz w:val="28"/>
          <w:szCs w:val="28"/>
          <w:rtl w:val="1"/>
        </w:rPr>
        <w:t>חלק א: מה כל אחת לקחה מהקורס</w:t>
      </w:r>
    </w:p>
    <w:p>
      <w:pPr>
        <w:bidi w:val="1"/>
        <w:spacing w:line="360" w:lineRule="auto" w:after="160"/>
        <w:jc w:val="right"/>
      </w:pPr>
      <w:r>
        <w:rPr>
          <w:rFonts w:ascii="David" w:hAnsi="David" w:cs="David"/>
          <w:b/>
          <w:i w:val="0"/>
          <w:sz w:val="26"/>
          <w:szCs w:val="26"/>
          <w:rtl w:val="1"/>
        </w:rPr>
        <w:t>מרים</w:t>
      </w:r>
    </w:p>
    <w:p>
      <w:pPr>
        <w:bidi w:val="1"/>
        <w:spacing w:line="360" w:lineRule="auto" w:after="160"/>
        <w:jc w:val="both"/>
      </w:pPr>
      <w:r>
        <w:rPr>
          <w:rFonts w:ascii="David" w:hAnsi="David" w:cs="David"/>
          <w:b w:val="0"/>
          <w:i w:val="0"/>
          <w:sz w:val="24"/>
          <w:szCs w:val="24"/>
          <w:rtl w:val="1"/>
        </w:rPr>
        <w:t>נכנסתי לקורס עם תמונה די ברורה בראש, שילד או בוגר עם מוגבלות נמצא בסכנה, ושהתפקיד שלי כמי שנמצאת סביבו הוא בעיקר לשמור עליו. ככל שהתקדמנו הבנתי כמה התמונה הזאת חלקית. הנתון שקרן הציגה כבר בשיעור הראשון, ש-20 אחוז מנפגעי ההתעללות בישראל הם ילדים עם מוגבלות ושיעור הפגיעה בהם גבוה פי שניים, טלטל אותי. אבל מה שהכה בי באמת היה המשפט שהרבה מהפגיעות מתרחשות דווקא בתוך המסגרות שאמורות להגן, ושבגלל המוגבלות עצם הדיווח והחקירה נעשים קשים. ישבתי מול השקף הזה והבנתי שכל מה שחשבתי שאני יודעת על הגנה דורש בדיקה מחדש.</w:t>
      </w:r>
    </w:p>
    <w:p>
      <w:pPr>
        <w:bidi w:val="1"/>
        <w:spacing w:line="360" w:lineRule="auto" w:after="160"/>
        <w:jc w:val="both"/>
      </w:pPr>
      <w:r>
        <w:rPr>
          <w:rFonts w:ascii="David" w:hAnsi="David" w:cs="David"/>
          <w:b w:val="0"/>
          <w:i w:val="0"/>
          <w:sz w:val="24"/>
          <w:szCs w:val="24"/>
          <w:rtl w:val="1"/>
        </w:rPr>
        <w:t>הדבר השני שהקורס חידש לי הוא הדגש על מוגבלויות בלתי נראות, על לקויות למידה ועל אוטיזם. עד היום נטיתי לזהות סיכון רק כשהוא בולט לעין, ולמדתי שדווקא הקושי שלא רואים אותו מבחוץ הוא לעיתים המסוכן ביותר, כי הוא לא מזמין את ההגנה שהוא צריך. קרן חזרה והדגישה שהקורס מבקש להבין את התהליכים שמובילים אדם למצב סיכון, ולא רק להצביע על הקושי שלו. זה שינה לי את השאלה, מ"מה לא בסדר אצל הילד" ל"מה קרה בדרך שהביא אותו לכאן". הדרישה להביא דוגמה משלנו לכל מפגש הכריחה אותי לבדוק את התבנית הזאת שוב ושוב על מקרים אמיתיים.</w:t>
      </w:r>
    </w:p>
    <w:p>
      <w:pPr>
        <w:bidi w:val="1"/>
        <w:spacing w:line="360" w:lineRule="auto" w:after="160"/>
        <w:jc w:val="both"/>
      </w:pPr>
      <w:r>
        <w:rPr>
          <w:rFonts w:ascii="David" w:hAnsi="David" w:cs="David"/>
          <w:b w:val="0"/>
          <w:i w:val="0"/>
          <w:sz w:val="24"/>
          <w:szCs w:val="24"/>
          <w:rtl w:val="1"/>
        </w:rPr>
        <w:t>כשהכנו עם הדיר את המצגת על בחור עם אוטיזם, "זה הילד שלי", ועסקנו בפרשת מעון בני ציון ובדוח ועדת דותן, ההבנה הזאת הפכה למוחשית עד כאב. מקום שהיה אמור לתת בית הפך לזירה של התעללות ממושכת, ואיש לא עצר אותה במשך שנים, בין השאר משום שלדיירים לא היו המילים או הכוח להשמיע את קולם. פתאום ראיתי שהסיכון לא נולד בתוך הבחור עם האוטיזם. הוא נוצר במפגש בינו לבין סביבה שלא ראתה אותו, ובתלות המוחלטת שלו באנשים שהיו אמורים לשמור עליו ופגעו בו. העבודה על המצגת לא הייתה בשבילי עוד מטלה, היא הפכה את הנתונים היבשים לפרצוף של אדם.</w:t>
      </w:r>
    </w:p>
    <w:p>
      <w:pPr>
        <w:bidi w:val="1"/>
        <w:spacing w:line="360" w:lineRule="auto" w:after="160"/>
        <w:jc w:val="both"/>
      </w:pPr>
      <w:r>
        <w:rPr>
          <w:rFonts w:ascii="David" w:hAnsi="David" w:cs="David"/>
          <w:b w:val="0"/>
          <w:i w:val="0"/>
          <w:sz w:val="24"/>
          <w:szCs w:val="24"/>
          <w:rtl w:val="1"/>
        </w:rPr>
        <w:t>הדבר שחידש לי יותר מכול הוא המתח בין הרצון להגן לבין הזכות של אדם לנהל את חייו בעצמו. עד הקורס לא חשבתי על מחיר של הגנה. היום ברור לי שכל פעם שמישהו מחליט במקום אדם עם מוגבלות בשם הביטחון, הוא גם לוקח ממנו נתח מהיכולת להיות בעל הבית על חייו. הפרשה שלמדנו הראתה לי גם את הצד השני של המטבע, שדווקא הגנת יתר בתוך מסגרת סגורה, בלי עיניים מבחוץ ובלי קול לדיירים, היא זו שאפשרה את הפגיעה. במקום להרגיע אותי, ההבנה הזאת השאירה אותי עם אי נוחות שאני חושבת שדווקא טובה לי.</w:t>
      </w:r>
    </w:p>
    <w:p>
      <w:pPr>
        <w:bidi w:val="1"/>
        <w:spacing w:line="360" w:lineRule="auto" w:after="160"/>
        <w:jc w:val="both"/>
      </w:pPr>
      <w:r>
        <w:rPr>
          <w:rFonts w:ascii="David" w:hAnsi="David" w:cs="David"/>
          <w:b w:val="0"/>
          <w:i w:val="0"/>
          <w:sz w:val="24"/>
          <w:szCs w:val="24"/>
          <w:rtl w:val="1"/>
        </w:rPr>
        <w:t>היה לי גם רגע לא נעים של הסתכלות פנימה. נזכרתי בפעמים שבהן מיהרתי להחליט במקום מישהו כי ככה היה לי יותר בטוח ויותר קל, ואמרתי לעצמי שאני עושה את זה למענו. הקורס אילץ אותי להודות שלפעמים ההגנה שאני נותנת היא בעצם נוחות שלי, לא צורך שלו. זה לא נעים לכתוב את זה, אבל זו אולי התובנה הכי חשובה שאני לוקחת.</w:t>
      </w:r>
    </w:p>
    <w:p>
      <w:pPr>
        <w:bidi w:val="1"/>
        <w:spacing w:line="360" w:lineRule="auto" w:after="160"/>
        <w:jc w:val="both"/>
      </w:pPr>
      <w:r>
        <w:rPr>
          <w:rFonts w:ascii="David" w:hAnsi="David" w:cs="David"/>
          <w:b w:val="0"/>
          <w:i w:val="0"/>
          <w:sz w:val="24"/>
          <w:szCs w:val="24"/>
          <w:rtl w:val="1"/>
        </w:rPr>
        <w:t>המקום שבו הקורס פגש אותי הכי לעומק הוא ההבנה שהעבודה שלי היא לא לעמוד מול הסיכון במקום האדם אלא לצדו. במקום לשאול איך אני שומרת עליו, התחלתי לשאול איך אני עוזרת לו לשמור על עצמו, ואיך אני מכניסה עיניים, קול ובחירה למקומות שבהם הכי קל להם להיעלם. אני יוצאת מהקורס עם פחות ביטחון בתשובות הקלות, ועם הרבה יותר רצון להקשיב למי שרגילים להחליט בשבילו.</w:t>
      </w:r>
    </w:p>
    <w:p>
      <w:r>
        <w:br w:type="page"/>
      </w:r>
    </w:p>
    <w:p>
      <w:pPr>
        <w:bidi w:val="1"/>
        <w:spacing w:line="360" w:lineRule="auto" w:after="160"/>
        <w:jc w:val="right"/>
      </w:pPr>
      <w:r>
        <w:rPr>
          <w:rFonts w:ascii="David" w:hAnsi="David" w:cs="David"/>
          <w:b/>
          <w:i w:val="0"/>
          <w:sz w:val="26"/>
          <w:szCs w:val="26"/>
          <w:rtl w:val="1"/>
        </w:rPr>
        <w:t>הדיר</w:t>
      </w:r>
    </w:p>
    <w:p>
      <w:pPr>
        <w:bidi w:val="1"/>
        <w:spacing w:line="360" w:lineRule="auto" w:after="160"/>
        <w:jc w:val="both"/>
      </w:pPr>
      <w:r>
        <w:rPr>
          <w:rFonts w:ascii="David" w:hAnsi="David" w:cs="David"/>
          <w:b w:val="0"/>
          <w:i w:val="0"/>
          <w:sz w:val="24"/>
          <w:szCs w:val="24"/>
          <w:rtl w:val="1"/>
        </w:rPr>
        <w:t>אם אצטרך לומר במשפט אחד מה הקורס הזה עשה לי, זה שהוא לימד אותי להסתכל על סיכון דרך משקפיים מגדריים. עד הקורס חשבתי על מוגבלות כמצב אחד, בלי הבדל בין גבר לאישה. השיעור על פגיעוּת מגדרית שינה לי את זה. הנתונים שקרן הציגה נשארו איתי, שאחת מכל שלוש נשים בעולם חווה אלימות פיזית או מינית במהלך חייה, ושכאשר מוסיפים מוגבלות הסיכון כמעט מוכפל. פתאום הבנתי שאישה עם מוגבלות עומדת בהצטלבות של שני מקורות של פגיעוּת, ולא רק של אחד. הצירוף הזה, של מגדר ומוגבלות יחד, הפך למשקפיים שדרכם אני מסתכלת עכשיו על כל מקרה.</w:t>
      </w:r>
    </w:p>
    <w:p>
      <w:pPr>
        <w:bidi w:val="1"/>
        <w:spacing w:line="360" w:lineRule="auto" w:after="160"/>
        <w:jc w:val="both"/>
      </w:pPr>
      <w:r>
        <w:rPr>
          <w:rFonts w:ascii="David" w:hAnsi="David" w:cs="David"/>
          <w:b w:val="0"/>
          <w:i w:val="0"/>
          <w:sz w:val="24"/>
          <w:szCs w:val="24"/>
          <w:rtl w:val="1"/>
        </w:rPr>
        <w:t>מה שחידש לי במיוחד היה להבין למה זה קורה. זה לא בגלל האישה עצמה, אלא בגלל מבנה של תלות. מי שאמור לתמוך הוא לפעמים גם מי שפוגע, והפחד לאבד את התמיכה, יחד עם בידוד חברתי וחוסר ידע על גבולות ועל זכויות, סוגר על האישה את הדרך לספר. הצירוף הזה יצר בעיניי את מה שקרן כינתה הקורבן ה"שקוף", זאת שהמערכת מתקשה לראות ולכן גם מתקשה להגן עליה. הבנתי שהשקיפות הזאת איננה מקרה, היא תוצאה של סטיגמות שמראש לא מאמינות לאישה עם מוגבלות, ושל עדויות שנוטים לצמצם ולפקפק בהן.</w:t>
      </w:r>
    </w:p>
    <w:p>
      <w:pPr>
        <w:bidi w:val="1"/>
        <w:spacing w:line="360" w:lineRule="auto" w:after="160"/>
        <w:jc w:val="both"/>
      </w:pPr>
      <w:r>
        <w:rPr>
          <w:rFonts w:ascii="David" w:hAnsi="David" w:cs="David"/>
          <w:b w:val="0"/>
          <w:i w:val="0"/>
          <w:sz w:val="24"/>
          <w:szCs w:val="24"/>
          <w:rtl w:val="1"/>
        </w:rPr>
        <w:t>נקודה נוספת שנחרתה בי היא שנערות עם מוגבלות נמצאות בסיכון גבוה עוד יותר. הרצון החזק להשתייך, פערי הכוח מול בני גילן, וחוסר הידע על גבולות ועל זכויות, יוצרים שילוב מסוכן דווקא בגיל שבו כל נערה מחפשת קרבה והכרה. חשבתי כמה פעמים אנחנו ממהרים להגן על נערה כזאת דרך צמצום, אוסרים ומגבילים, במקום לתת לה את הידע שיאפשר לה לשמור על עצמה. שם, בפער הזה, הקורס באמת פגש אותי.</w:t>
      </w:r>
    </w:p>
    <w:p>
      <w:pPr>
        <w:bidi w:val="1"/>
        <w:spacing w:line="360" w:lineRule="auto" w:after="160"/>
        <w:jc w:val="both"/>
      </w:pPr>
      <w:r>
        <w:rPr>
          <w:rFonts w:ascii="David" w:hAnsi="David" w:cs="David"/>
          <w:b w:val="0"/>
          <w:i w:val="0"/>
          <w:sz w:val="24"/>
          <w:szCs w:val="24"/>
          <w:rtl w:val="1"/>
        </w:rPr>
        <w:t>כשעבדנו עם מרים על המצגת "זה הילד שלי" ועל פרשת מעון בני ציון, ראיתי את הרעיון הזה מתגלם. הפגיעה לא צעקה החוצה, היא התרחשה בשקט בתוך מסגרת סגורה, מול אנשים שלא היו להם הכלים או הכוח להישמע. חשבתי הרבה על הנשים הדיירות שם, ועל כמה קל היה להתעלם מהן דווקא משום שהיו תלויות לגמרי במי שהיה אמור לשמור עליהן. המצגת לקחה עבורי את התאוריה מהשקפים והפכה אותה לסיפור של בני אדם.</w:t>
      </w:r>
    </w:p>
    <w:p>
      <w:pPr>
        <w:bidi w:val="1"/>
        <w:spacing w:line="360" w:lineRule="auto" w:after="160"/>
        <w:jc w:val="both"/>
      </w:pPr>
      <w:r>
        <w:rPr>
          <w:rFonts w:ascii="David" w:hAnsi="David" w:cs="David"/>
          <w:b w:val="0"/>
          <w:i w:val="0"/>
          <w:sz w:val="24"/>
          <w:szCs w:val="24"/>
          <w:rtl w:val="1"/>
        </w:rPr>
        <w:t>הקורס פגש אותי גם בבעיה שנראתה לי טכנית והתבררה כמהותית, המחסור בנתונים. נשים וצעירות עם מוגבלות כמעט לא מיוצגות במחקרים, וקשה לבנות מדיניות למי שכמעט לא נספרת. קרן קראה לזה כדור שלג, המחסור בנתונים מוביל למדיניות לא מותאמת, וזו מחזירה את הנשים אל אותה שקיפות שבה התחלנו. אני יוצאת מהקורס עם החלטה פשוטה, לשים לב דווקא למי שקל לפספס, ולזכור שהשתיקה של אישה עם מוגבלות היא לרוב סימן לפער כוחות, לא לכך שהכול בסדר.</w:t>
      </w:r>
    </w:p>
    <w:p>
      <w:r>
        <w:br w:type="page"/>
      </w:r>
    </w:p>
    <w:p>
      <w:pPr>
        <w:bidi w:val="1"/>
        <w:spacing w:line="360" w:lineRule="auto" w:after="200"/>
        <w:jc w:val="right"/>
      </w:pPr>
      <w:r>
        <w:rPr>
          <w:rFonts w:ascii="David" w:hAnsi="David" w:cs="David"/>
          <w:b/>
          <w:i w:val="0"/>
          <w:sz w:val="28"/>
          <w:szCs w:val="28"/>
          <w:rtl w:val="1"/>
        </w:rPr>
        <w:t>חלק ב: תובנות משותפות</w:t>
      </w:r>
    </w:p>
    <w:p>
      <w:pPr>
        <w:bidi w:val="1"/>
        <w:spacing w:line="360" w:lineRule="auto" w:after="160"/>
        <w:jc w:val="both"/>
      </w:pPr>
      <w:r>
        <w:rPr>
          <w:rFonts w:ascii="David" w:hAnsi="David" w:cs="David"/>
          <w:b w:val="0"/>
          <w:i w:val="0"/>
          <w:sz w:val="24"/>
          <w:szCs w:val="24"/>
          <w:rtl w:val="1"/>
        </w:rPr>
        <w:t>התובנה הראשונה שאנחנו לוקחות מהקורס ביחד היא ששתינו נכנסנו אליו עם אותה הנחה, שהגנה היא כל התפקיד, ושתפקידנו מול אדם עם מוגבלות הוא בעיקר לשמור עליו מפני העולם. הקורס פירק לנו את ההנחה הזאת. למדנו שהסיכון כמעט אף פעם לא נולד בתוך האדם, אלא נוצר במפגש בינו לבין סביבה שאינה מותאמת, ובתלות שלו באנשים שאמורים לתמוך בו. זו נקודה שהגענו אליה משתי דרכים שונות והיא חיברה בינינו.</w:t>
      </w:r>
    </w:p>
    <w:p>
      <w:pPr>
        <w:bidi w:val="1"/>
        <w:spacing w:line="360" w:lineRule="auto" w:after="160"/>
        <w:jc w:val="both"/>
      </w:pPr>
      <w:r>
        <w:rPr>
          <w:rFonts w:ascii="David" w:hAnsi="David" w:cs="David"/>
          <w:b w:val="0"/>
          <w:i w:val="0"/>
          <w:sz w:val="24"/>
          <w:szCs w:val="24"/>
          <w:rtl w:val="1"/>
        </w:rPr>
        <w:t>העבודה המשותפת על המצגת "זה הילד שלי" ועל פרשת מעון בני ציון הפכה את זה למוחשי. כל אחת מאיתנו הסתכלה מזווית אחרת, מרים דרך המתח בין מוגנות לאוטונומיה והדיר דרך הפגיעוּת המגדרית ושתיקת הקורבן ה"שקוף", והגענו לאותה מסקנה. המסגרת שהייתה אמורה להגן הפכה בעצמה למקום של פגיעה, בין השאר משום שלא היו בה עיניים מבחוץ ולא היה קול לדיירים. גילינו שדווקא ההגנה הסגורה, זו שאין בה בחירה ואין בה שקיפות, היא שאפשרה את הפגיעה.</w:t>
      </w:r>
    </w:p>
    <w:p>
      <w:pPr>
        <w:bidi w:val="1"/>
        <w:spacing w:line="360" w:lineRule="auto" w:after="160"/>
        <w:jc w:val="both"/>
      </w:pPr>
      <w:r>
        <w:rPr>
          <w:rFonts w:ascii="David" w:hAnsi="David" w:cs="David"/>
          <w:b w:val="0"/>
          <w:i w:val="0"/>
          <w:sz w:val="24"/>
          <w:szCs w:val="24"/>
          <w:rtl w:val="1"/>
        </w:rPr>
        <w:t>שתינו יצאנו עם חשד בריא כלפי התשובה הקלה. הגנה שמשתיקה את מי שהיא אמורה לשמור עליו הופכת בעצמה לסיכון, וזה נכון גם לאדם עם אוטיזם שמחליטים במקומו וגם לאישה עם מוגבלות שלא מאמינים לה כשהיא מספרת. השאלה המשותפת שאנחנו לוקחות איתנו איננה עוד איך אנחנו שומרות על האדם, אלא איך אנחנו עוזרות לו לשמור על עצמו, איך אנחנו מכניסות ידע, קול ובחירה בדיוק למקומות שבהם הכי קל להיעלם.</w:t>
      </w:r>
    </w:p>
    <w:p>
      <w:pPr>
        <w:bidi w:val="1"/>
        <w:spacing w:line="360" w:lineRule="auto" w:after="160"/>
        <w:jc w:val="both"/>
      </w:pPr>
      <w:r>
        <w:rPr>
          <w:rFonts w:ascii="David" w:hAnsi="David" w:cs="David"/>
          <w:b w:val="0"/>
          <w:i w:val="0"/>
          <w:sz w:val="24"/>
          <w:szCs w:val="24"/>
          <w:rtl w:val="1"/>
        </w:rPr>
        <w:t>מעבר לתוכן, המסע המשותף לימד אותנו גם משהו על עצם העבודה בזוג. שתי נקודות מבט על אותו מקרה נתנו לנו תמונה שאף אחת מאיתנו לא הייתה מגיעה אליה לבד. אנחנו מסיימות את הקורס עם פחות ביטחון בתשובות מוחלטות, עם יותר שאלות פתוחות, ועם החלטה לשים לב דווקא למי שקל לפספס.</w:t>
      </w:r>
    </w:p>
    <w:p>
      <w:r>
        <w:br w:type="page"/>
      </w:r>
    </w:p>
    <w:p>
      <w:pPr>
        <w:bidi w:val="1"/>
        <w:spacing w:line="360" w:lineRule="auto" w:after="200"/>
        <w:jc w:val="right"/>
      </w:pPr>
      <w:r>
        <w:rPr>
          <w:rFonts w:ascii="David" w:hAnsi="David" w:cs="David"/>
          <w:b/>
          <w:i w:val="0"/>
          <w:sz w:val="28"/>
          <w:szCs w:val="28"/>
          <w:rtl w:val="1"/>
        </w:rPr>
        <w:t>חלק ג: העמקה בנושא מרכזי מהקורס</w:t>
      </w:r>
    </w:p>
    <w:p>
      <w:pPr>
        <w:bidi w:val="1"/>
        <w:spacing w:line="360" w:lineRule="auto" w:after="200"/>
        <w:jc w:val="right"/>
      </w:pPr>
      <w:r>
        <w:rPr>
          <w:rFonts w:ascii="David" w:hAnsi="David" w:cs="David"/>
          <w:b/>
          <w:i w:val="0"/>
          <w:sz w:val="26"/>
          <w:szCs w:val="26"/>
          <w:rtl w:val="1"/>
        </w:rPr>
        <w:t>מוגנות מול אוטונומיה בחיי אנשים עם מוגבלות</w:t>
      </w:r>
    </w:p>
    <w:p>
      <w:pPr>
        <w:bidi w:val="1"/>
        <w:spacing w:line="360" w:lineRule="auto" w:after="160"/>
        <w:jc w:val="both"/>
      </w:pPr>
      <w:r>
        <w:rPr>
          <w:rFonts w:ascii="David" w:hAnsi="David" w:cs="David"/>
          <w:b w:val="0"/>
          <w:i w:val="0"/>
          <w:sz w:val="24"/>
          <w:szCs w:val="24"/>
          <w:rtl w:val="1"/>
        </w:rPr>
        <w:t>הנושא שבחרנו להעמיק בו צמח ישירות מהעבודה שלנו על מעון בני ציון, המתח בין החובה להגן על אדם עם מוגבלות לבין הזכות שלו להחליט על חייו. המתח הזה איננו רק שאלה מוסרית מופשטת, הוא עומד בבסיס המעבר שהאמנה הבינלאומית בדבר זכויותיהם של אנשים עם מוגבלות חוללה, ממודל שראה באדם עם מוגבלות מושא לטיפול ולהגנה אל מודל שרואה בו נושא זכויות ובעל כשירות משפטית שווה. השאלה כבר איננה רק כמה להגן, אלא איך להגן בלי לשלול מהאדם את מעמדו כמי שמחליט על חייו.</w:t>
      </w:r>
    </w:p>
    <w:p>
      <w:pPr>
        <w:bidi w:val="1"/>
        <w:spacing w:line="360" w:lineRule="auto" w:after="160"/>
        <w:jc w:val="both"/>
      </w:pPr>
      <w:r>
        <w:rPr>
          <w:rFonts w:ascii="David" w:hAnsi="David" w:cs="David"/>
          <w:b w:val="0"/>
          <w:i w:val="0"/>
          <w:sz w:val="24"/>
          <w:szCs w:val="24"/>
          <w:rtl w:val="1"/>
        </w:rPr>
        <w:t>הבחירה בנושא נשענת ישירות על מה שלמדנו בקורס. כבר בשיעור הראשון הציגה קרן את הקשר בין מוגבלות לסיכון, ואת הנתונים שלפיהם אנשים עם מוגבלות נמצאים בסיכון מוגבר להתעללות, שחלק ניכר מהפגיעות מתרחש דווקא בתוך מסגרות טיפוליות, ושהמוגבלות עצמה מקשה על הדיווח ועל החקירה. לצד אלה למדנו על מגוון הסיכונים שאליהם חשופים אנשים עם מוגבלות, מהתעללות מילולית ופיזית ועד הזנחה, פגיעה מינית וניצול. המסר שחזר לאורך כל הקורס היה שהסיכון אינו תכונה של האדם אלא נוצר במפגש בינו לבין סביבה שאינה מותאמת ובתלות שלו באחרים. דווקא ההבנה הזאת מחייבת אותנו לשאול לא רק כמה להגן, אלא איך להגן בלי לרוקן את האוטונומיה של האדם, וזו נקודת המוצא שממנה יצאנו אל המקורות.</w:t>
      </w:r>
    </w:p>
    <w:p>
      <w:pPr>
        <w:bidi w:val="1"/>
        <w:spacing w:line="360" w:lineRule="auto" w:after="160"/>
        <w:jc w:val="both"/>
      </w:pPr>
      <w:r>
        <w:rPr>
          <w:rFonts w:ascii="David" w:hAnsi="David" w:cs="David"/>
          <w:b w:val="0"/>
          <w:i w:val="0"/>
          <w:sz w:val="24"/>
          <w:szCs w:val="24"/>
          <w:rtl w:val="1"/>
        </w:rPr>
        <w:t>נקודת המוצא היא שהחשיפה לסיכון איננה מקרית. סקירה שיטתית ומטא-אנליזה רחבה מצאו שמבוגרים עם מוגבלות נמצאים בסיכון גבוה משמעותית לחוות אלימות בהשוואה למבוגרים ללא מוגבלות, ושאנשים עם מוגבלות נפשית עלולים להיות פגיעים במיוחד (Hughes et al., 2012). הקושי לתקשר את הפגיעה, לזהות אותה כפגיעה או להתלונן עליה הוא בדיוק מה שהופך אדם למטרה קלה, ולכן ההגנה כאן איננה מותרות אלא הכרח.</w:t>
      </w:r>
    </w:p>
    <w:p>
      <w:pPr>
        <w:bidi w:val="1"/>
        <w:spacing w:line="360" w:lineRule="auto" w:after="160"/>
        <w:jc w:val="both"/>
      </w:pPr>
      <w:r>
        <w:rPr>
          <w:rFonts w:ascii="David" w:hAnsi="David" w:cs="David"/>
          <w:b w:val="0"/>
          <w:i w:val="0"/>
          <w:sz w:val="24"/>
          <w:szCs w:val="24"/>
          <w:rtl w:val="1"/>
        </w:rPr>
        <w:t>הפיתוי המובן הוא להסיק שאם הסיכון כה גבוה, יש להגן יותר, ולעיתים גם להחליט במקום האדם. דווקא כאן למדנו לעצור. ההיגיון שאומר שהאדם אינו מסוגל להחליט ולכן נחליט בשבילו הוא אותו היגיון שאפשר את מה שקרה בבני ציון, שם ההנחה שהדיירים חסרי יכולת הצדיקה שליטה מוחלטת בחייהם. ההגנה והשליטה נראו כאותו דבר, וזו הייתה הטעות.</w:t>
      </w:r>
    </w:p>
    <w:p>
      <w:pPr>
        <w:bidi w:val="1"/>
        <w:spacing w:line="360" w:lineRule="auto" w:after="160"/>
        <w:jc w:val="both"/>
      </w:pPr>
      <w:r>
        <w:rPr>
          <w:rFonts w:ascii="David" w:hAnsi="David" w:cs="David"/>
          <w:b w:val="0"/>
          <w:i w:val="0"/>
          <w:sz w:val="24"/>
          <w:szCs w:val="24"/>
          <w:rtl w:val="1"/>
        </w:rPr>
        <w:t>הממצא שהפך לנו את המבט הגיע ממחקר איכותני שהקשיב ישירות למבוגרים אוטיסטים עם מוגבלות שכלית. עבורם אוטונומיה פירושה "להיות מי שאני", ובחירה ושליטה על החיים אינן מנוגדות לתחושת ביטחון אלא תנאי לה. המשתתפים תיארו סביבה בטוחה ככזו שמאפשרת להם לתקשר בדרך שלהם ולהחזיק שליטה על מה שקורה להם, ולא ככזו ששומרת עליהם באמצעות צמצום הבחירות שלהם (Ryan et al., 2024). זו הוכחה ששני צדי המתח לא באמת עומדים זה מול זה, ושדווקא מי שחווים את המוגבלות מבפנים מבקשים הגנה שאינה באה על חשבון הקול שלהם.</w:t>
      </w:r>
    </w:p>
    <w:p>
      <w:pPr>
        <w:bidi w:val="1"/>
        <w:spacing w:line="360" w:lineRule="auto" w:after="160"/>
        <w:jc w:val="both"/>
      </w:pPr>
      <w:r>
        <w:rPr>
          <w:rFonts w:ascii="David" w:hAnsi="David" w:cs="David"/>
          <w:b w:val="0"/>
          <w:i w:val="0"/>
          <w:sz w:val="24"/>
          <w:szCs w:val="24"/>
          <w:rtl w:val="1"/>
        </w:rPr>
        <w:t>ההשלכה המעשית מתבררת בעבודה של אנשי המקצוע בשטח. מחקר ישראלי שבחן תפיסות ושיקולים של עובדות סוציאליות בתהליכי מינוי אפוטרופסות מול קבלת החלטות נתמכת מצא שלמרות תיקון 18 לחוק הכשרות המשפטית משנת 2016, שנועד לצמצם את השימוש באפוטרופסות ולקדם חלופות כמו קבלת החלטות נתמכת, נותר פער בין חזון הרפורמה לבין הפרקטיקה בשטח. הבחירה בין אפוטרופסות לתמיכה רחוקה מלהיות טכנית, והיא נשענת על תפיסות של אנשי המקצוע לגבי אבחון האדם, רמת התפקוד שלו ורצונו, ועל מטרות של מניעת סיכון וקידום איכות חיים. הכותבות ממליצות על שינוי בהכשרה ובמדיניות שיאפשר מעבר ממודל האפוטרופסות אל מודל של תמיכה, שבו האדם נשאר בעל ההחלטה ומקבל סביבו מעגל שעוזר לו להבין, לשקול ולבחור (הולר וורנר, 2025). הגישה הזאת שוברת את הקישור האוטומטי בין קושי בקבלת החלטות לבין שלילת הזכות להחליט.</w:t>
      </w:r>
    </w:p>
    <w:p>
      <w:pPr>
        <w:bidi w:val="1"/>
        <w:spacing w:line="360" w:lineRule="auto" w:after="160"/>
        <w:jc w:val="both"/>
      </w:pPr>
      <w:r>
        <w:rPr>
          <w:rFonts w:ascii="David" w:hAnsi="David" w:cs="David"/>
          <w:b w:val="0"/>
          <w:i w:val="0"/>
          <w:sz w:val="24"/>
          <w:szCs w:val="24"/>
          <w:rtl w:val="1"/>
        </w:rPr>
        <w:t>כשמצרפים את שלושת המקורות מתקבלת עמדה שאנחנו לוקחות איתנו. הגנה איננה מנוגדת לאוטונומיה, היא אמורה לשרת אותה. מוגנות ראויה מצמצמת סיכון בלי לצמצם את האדם, ואילו מוגנות שמשתיקה את מי שהיא אמורה לשמור עליו הופכת בעצמה לסיכון, בדיוק כפי שקרה בבני ציון. אין קו ברור שמפריד בין השניים, וכל מקרה דורש שיקול דעת מחדש, שכן הכרעה שמתאימה לאדם אחד עלולה להיות שגויה עבור אחר. מבחינתנו המשמעות היא לבנות יחד עם האדם את הכלים, הניסיון והביטחון שיאפשרו לו להחליט, במקום להחליט בשבילו כברירת מחדל. זו הגנה שמכבדת את מי שהיא מיועדת לו.</w:t>
      </w:r>
    </w:p>
    <w:p>
      <w:r>
        <w:br w:type="page"/>
      </w:r>
    </w:p>
    <w:p>
      <w:pPr>
        <w:bidi w:val="1"/>
        <w:spacing w:line="360" w:lineRule="auto" w:after="200"/>
        <w:jc w:val="right"/>
      </w:pPr>
      <w:r>
        <w:rPr>
          <w:rFonts w:ascii="David" w:hAnsi="David" w:cs="David"/>
          <w:b/>
          <w:i w:val="0"/>
          <w:sz w:val="28"/>
          <w:szCs w:val="28"/>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הולר, ר', וורנר, ש' (2025). תפיסות ושיקולים של עובדות סוציאליות בתהליכי מינוי של אפוטרופסות וקבלת החלטות נתמכת בקרב אנשים עם מוגבלויות: המלצות להכשרה ולמדיניות. </w:t>
      </w:r>
      <w:r>
        <w:rPr>
          <w:rFonts w:ascii="David" w:hAnsi="David" w:cs="David"/>
          <w:b w:val="0"/>
          <w:i/>
          <w:sz w:val="24"/>
          <w:szCs w:val="24"/>
          <w:rtl w:val="1"/>
        </w:rPr>
        <w:t>ביטחון סוציאלי, 124</w:t>
      </w:r>
      <w:r>
        <w:rPr>
          <w:rFonts w:ascii="David" w:hAnsi="David" w:cs="David"/>
          <w:b w:val="0"/>
          <w:i w:val="0"/>
          <w:sz w:val="24"/>
          <w:szCs w:val="24"/>
          <w:rtl w:val="1"/>
        </w:rPr>
        <w:t>, 75-104.</w:t>
      </w:r>
      <w:r>
        <w:rPr>
          <w:rFonts w:ascii="David" w:hAnsi="David" w:cs="David"/>
          <w:b w:val="0"/>
          <w:i w:val="0"/>
          <w:sz w:val="24"/>
          <w:szCs w:val="24"/>
          <w:rtl w:val="1"/>
        </w:rPr>
        <w:t xml:space="preserve"> </w:t>
      </w:r>
      <w:hyperlink r:id="rId9">
        <w:r>
          <w:rPr>
            <w:rFonts w:ascii="David" w:hAnsi="David" w:cs="David"/>
            <w:sz w:val="24"/>
            <w:szCs w:val="24"/>
            <w:color w:val="0563C1"/>
            <w:u w:val="single"/>
            <w:rtl w:val="1"/>
          </w:rPr>
          <w:t xml:space="preserve">https://www.btl.gov.il/Publications/Social_Security/124/Documents/holer30.pdf</w:t>
        </w:r>
      </w:hyperlink>
    </w:p>
    <w:p>
      <w:pPr>
        <w:bidi w:val="1"/>
        <w:spacing w:line="360" w:lineRule="auto" w:after="200"/>
        <w:ind w:left="720" w:hanging="720"/>
        <w:jc w:val="both"/>
      </w:pPr>
      <w:r>
        <w:rPr>
          <w:rFonts w:ascii="David" w:hAnsi="David" w:cs="David"/>
          <w:b w:val="0"/>
          <w:i w:val="0"/>
          <w:sz w:val="24"/>
          <w:szCs w:val="24"/>
          <w:rtl w:val="1"/>
        </w:rPr>
        <w:t xml:space="preserve">Hughes, K., Bellis, M. A., Jones, L., Wood, S., Bates, G., Eckley, L., … Officer, A. (2012). Prevalence and risk of violence against adults with disabilities: A systematic review and meta-analysis of observational studies. </w:t>
      </w:r>
      <w:r>
        <w:rPr>
          <w:rFonts w:ascii="David" w:hAnsi="David" w:cs="David"/>
          <w:b w:val="0"/>
          <w:i/>
          <w:sz w:val="24"/>
          <w:szCs w:val="24"/>
          <w:rtl w:val="1"/>
        </w:rPr>
        <w:t>The Lancet, 379</w:t>
      </w:r>
      <w:r>
        <w:rPr>
          <w:rFonts w:ascii="David" w:hAnsi="David" w:cs="David"/>
          <w:b w:val="0"/>
          <w:i w:val="0"/>
          <w:sz w:val="24"/>
          <w:szCs w:val="24"/>
          <w:rtl w:val="1"/>
        </w:rPr>
        <w:t>(9826), 1621-1629.</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https://doi.org/10.1016/S0140-6736(11)61851-5</w:t>
        </w:r>
      </w:hyperlink>
    </w:p>
    <w:p>
      <w:pPr>
        <w:bidi w:val="1"/>
        <w:spacing w:line="360" w:lineRule="auto" w:after="200"/>
        <w:ind w:left="720" w:hanging="720"/>
        <w:jc w:val="both"/>
      </w:pPr>
      <w:r>
        <w:rPr>
          <w:rFonts w:ascii="David" w:hAnsi="David" w:cs="David"/>
          <w:b w:val="0"/>
          <w:i w:val="0"/>
          <w:sz w:val="24"/>
          <w:szCs w:val="24"/>
          <w:rtl w:val="1"/>
        </w:rPr>
        <w:t xml:space="preserve">Ryan, J., Brown, H. M., Borden, A., Devlin, C., Kedmy, A., Lee, A., … Thompson-Hodgetts, S. (2024). Being able to be myself: Understanding autonomy and autonomy-support from the perspectives of autistic adults with intellectual disabilities. </w:t>
      </w:r>
      <w:r>
        <w:rPr>
          <w:rFonts w:ascii="David" w:hAnsi="David" w:cs="David"/>
          <w:b w:val="0"/>
          <w:i/>
          <w:sz w:val="24"/>
          <w:szCs w:val="24"/>
          <w:rtl w:val="1"/>
        </w:rPr>
        <w:t>Autism, 28</w:t>
      </w:r>
      <w:r>
        <w:rPr>
          <w:rFonts w:ascii="David" w:hAnsi="David" w:cs="David"/>
          <w:b w:val="0"/>
          <w:i w:val="0"/>
          <w:sz w:val="24"/>
          <w:szCs w:val="24"/>
          <w:rtl w:val="1"/>
        </w:rPr>
        <w:t>(12), 3138-3150.</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https://doi.org/10.1177/13623613241254432</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tl.gov.il/Publications/Social_Security/124/Documents/holer30.pdf" TargetMode="External"/><Relationship Id="rId10" Type="http://schemas.openxmlformats.org/officeDocument/2006/relationships/hyperlink" Target="https://doi.org/10.1016/S0140-6736(11)61851-5" TargetMode="External"/><Relationship Id="rId11" Type="http://schemas.openxmlformats.org/officeDocument/2006/relationships/hyperlink" Target="https://doi.org/10.1177/13623613241254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