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خطة 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__\__\2026م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60" w:line="360"/>
        <w:jc w:val="both"/>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60" w:line="36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أولًا: الدراسات باللغة العربيّة (17 دراسة):</w:t>
      </w:r>
    </w:p>
    <w:p>
      <w:pPr>
        <w:bidi/>
        <w:spacing w:after="60" w:line="36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0vmwposjqczo4sctkzryv">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60" w:line="36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bkirxnckwhgp9w_luogsx">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60" w:line="36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qmxxezd0kiufuuxxg9zpi">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60" w:line="36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xldpjowzntuo4zdl3nsps">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60" w:line="36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piwfp68xgtxkmvqwpykuo">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60" w:line="36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bxpsyvcijmaxja1cweng2">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60" w:line="36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1mufktqay1sg_zgsbomga">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60" w:line="36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6dfu7in4yizwoowp4ntfb">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60" w:line="36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cxyjjzl1auim9sbq_u9gz">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60" w:line="36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gh11rlwl7cpvp2pulqycq">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60" w:line="36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wbvihyyn6d0unvwjhsci6">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60" w:line="36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nenwpq5n9kxoywlljhkbd">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60" w:line="36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0lrjlouhhjolrmndxy2tx">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60" w:line="36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fabh5gf2_dcrpcvlmaocg">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60" w:line="36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u1zt46yxnualzkvmstu-8">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60" w:line="36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a_gu50jfwzl5_jdon_jtc">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60" w:line="360"/>
        <w:jc w:val="both"/>
      </w:pPr>
      <w:r>
        <w:rPr>
          <w:rFonts w:ascii="Simplified Arabic" w:cs="Simplified Arabic" w:eastAsia="Simplified Arabic" w:hAnsi="Simplified Arabic"/>
          <w:b/>
          <w:bCs/>
          <w:sz w:val="28"/>
          <w:szCs w:val="28"/>
          <w:rtl/>
        </w:rPr>
        <w:t xml:space="preserve">17. التعريف الطبيّ للموت</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lgw6ocscf3nvlmmyyzkit">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ثانيًا: الدراسات باللغات الأجنبيّة (10 دراسات):</w:t>
      </w:r>
    </w:p>
    <w:p>
      <w:pPr>
        <w:bidi/>
        <w:spacing w:after="60" w:line="36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zu2vyub01zz6xa2wzn2bd">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60" w:line="36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xbecqxsxrpeujwqe9m_bx">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60" w:line="36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7yxcjqalhia9dbiwr-qmn">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60" w:line="36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rg7i7ozsobnsovzizgwh9">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60" w:line="36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ygxdspaxbtahz6dtahtj-">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60" w:line="36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xqpnaczy4nbsdnqxsvo4-">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60" w:line="36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xnaepnsgd_dm5iko548hb">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60" w:line="36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vezxkrjjtqhc_gf8-bhdh">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60" w:line="36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ys2ffik8nhlehz_uz2n2l">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60" w:line="36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nsjqrarpuolwhdjmzdljt">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الأسئلة الفرعيّة: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60" w:line="360"/>
        <w:jc w:val="both"/>
      </w:pPr>
      <w:r>
        <w:rPr>
          <w:rFonts w:ascii="Simplified Arabic" w:cs="Simplified Arabic" w:eastAsia="Simplified Arabic" w:hAnsi="Simplified Arabic"/>
          <w:b/>
          <w:bCs/>
          <w:sz w:val="28"/>
          <w:szCs w:val="28"/>
          <w:rtl/>
        </w:rPr>
        <w:t xml:space="preserve">* المبحث الأوّل: تعريفات أساسيّة.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60" w:line="360"/>
        <w:jc w:val="both"/>
      </w:pPr>
      <w:r>
        <w:rPr>
          <w:rFonts w:ascii="Simplified Arabic" w:cs="Simplified Arabic" w:eastAsia="Simplified Arabic" w:hAnsi="Simplified Arabic"/>
          <w:b/>
          <w:bCs/>
          <w:sz w:val="28"/>
          <w:szCs w:val="28"/>
          <w:rtl/>
        </w:rPr>
        <w:t xml:space="preserve">* المبحث الثاني: تعريفات ذات صلة.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الفصل الثاني (التمهيديّ): نشأة مسألة نزع الأجهزة الطبيّة وتاريخها، وربطها بالشرائع السماويّة والتشريعات الوضعيّة القديمة.</w:t>
      </w:r>
    </w:p>
    <w:p>
      <w:pPr>
        <w:bidi/>
        <w:spacing w:after="60" w:line="360"/>
        <w:jc w:val="both"/>
      </w:pPr>
      <w:r>
        <w:rPr>
          <w:rFonts w:ascii="Simplified Arabic" w:cs="Simplified Arabic" w:eastAsia="Simplified Arabic" w:hAnsi="Simplified Arabic"/>
          <w:b/>
          <w:bCs/>
          <w:sz w:val="28"/>
          <w:szCs w:val="28"/>
          <w:rtl/>
        </w:rPr>
        <w:t xml:space="preserve">* المبحث الأوّل: تاريخ ظهور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60" w:line="360"/>
        <w:jc w:val="both"/>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60" w:line="360"/>
        <w:jc w:val="both"/>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60" w:line="360"/>
        <w:jc w:val="both"/>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60" w:line="360"/>
        <w:jc w:val="both"/>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60" w:line="360"/>
        <w:jc w:val="both"/>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الفصل الخامس: الفتاوى المؤيّدة والمعارضة في مسألة نزع الأجهزة الطبيّة عن الميت سريريًّا.</w:t>
      </w:r>
    </w:p>
    <w:p>
      <w:pPr>
        <w:bidi/>
        <w:spacing w:after="60" w:line="360"/>
        <w:jc w:val="both"/>
      </w:pPr>
      <w:r>
        <w:rPr>
          <w:rFonts w:ascii="Simplified Arabic" w:cs="Simplified Arabic" w:eastAsia="Simplified Arabic" w:hAnsi="Simplified Arabic"/>
          <w:b/>
          <w:bCs/>
          <w:sz w:val="28"/>
          <w:szCs w:val="28"/>
          <w:rtl/>
        </w:rPr>
        <w:t xml:space="preserve">* المبحث الأوّل: الفتاوى المؤيّدة (أربع فتاوى مع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قرار مجلس الإفتاء والبحوث والدراسات الإسلاميّة الأردنيّ رقم (117) بشأن أجهزة الإنعاش. الفرع الأوّل: نصّ القرار. الفرع الثاني: الردّ والتعقيب.</w:t>
      </w:r>
    </w:p>
    <w:p>
      <w:pPr>
        <w:bidi/>
        <w:spacing w:after="60" w:line="360"/>
        <w:jc w:val="both"/>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الخاتمة والنتائج والتوصيات.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الفهارس.</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60" w:line="360"/>
        <w:jc w:val="both"/>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ثانيًا: المعاجم اللغويّة والاصطلاحيّة: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ثالثًا: كتب الحديث الشريف:</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رابعًا: كتب المذاهب الإسلاميّة المعتمدة (ثلاثة كتب لكلّ مذهب):</w:t>
      </w:r>
    </w:p>
    <w:p>
      <w:pPr>
        <w:bidi/>
        <w:spacing w:after="60" w:line="360"/>
        <w:jc w:val="both"/>
      </w:pPr>
      <w:r>
        <w:rPr>
          <w:rFonts w:ascii="Simplified Arabic" w:cs="Simplified Arabic" w:eastAsia="Simplified Arabic" w:hAnsi="Simplified Arabic"/>
          <w:b/>
          <w:bCs/>
          <w:sz w:val="28"/>
          <w:szCs w:val="28"/>
          <w:rtl/>
        </w:rPr>
        <w:t xml:space="preserve">المذهب الحنفيّ: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60" w:line="360"/>
        <w:jc w:val="both"/>
      </w:pPr>
      <w:r>
        <w:rPr>
          <w:rFonts w:ascii="Simplified Arabic" w:cs="Simplified Arabic" w:eastAsia="Simplified Arabic" w:hAnsi="Simplified Arabic"/>
          <w:b/>
          <w:bCs/>
          <w:sz w:val="28"/>
          <w:szCs w:val="28"/>
          <w:rtl/>
        </w:rPr>
        <w:t xml:space="preserve">المذهب المالكيّ: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60" w:line="360"/>
        <w:jc w:val="both"/>
      </w:pPr>
      <w:r>
        <w:rPr>
          <w:rFonts w:ascii="Simplified Arabic" w:cs="Simplified Arabic" w:eastAsia="Simplified Arabic" w:hAnsi="Simplified Arabic"/>
          <w:b/>
          <w:bCs/>
          <w:sz w:val="28"/>
          <w:szCs w:val="28"/>
          <w:rtl/>
        </w:rPr>
        <w:t xml:space="preserve">المذهب الشافعيّ: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60" w:line="360"/>
        <w:jc w:val="both"/>
      </w:pPr>
      <w:r>
        <w:rPr>
          <w:rFonts w:ascii="Simplified Arabic" w:cs="Simplified Arabic" w:eastAsia="Simplified Arabic" w:hAnsi="Simplified Arabic"/>
          <w:b/>
          <w:bCs/>
          <w:sz w:val="28"/>
          <w:szCs w:val="28"/>
          <w:rtl/>
        </w:rPr>
        <w:t xml:space="preserve">المذهب الحنبليّ: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خامسًا: كتب أصول الفقه والقواعد الفقهيّة ومقاصد الشريعة: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سادسًا: كتب ودراسات معاصرة عن موضوع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مجلة مركز بابل للدراسات الإنسانية، مج13، ع2.</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ع3.</w:t>
      </w:r>
    </w:p>
    <w:p>
      <w:pPr>
        <w:bidi/>
        <w:spacing w:after="60" w:line="360"/>
        <w:jc w:val="both"/>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17 دراسة عربيّة و10 دراسات أجنبيّة).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سابعًا: القرارات والفتاوى:</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https://dar-alifta.org/ar/fatwa/details/11622</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الأردني. القرار رقم (117): حكم عدم وضع أجهزة الإنعاش على المريض الذي لا يُرجى شفاؤه. عمّان. https://www.aliftaa.jo/Decision.aspx?DecisionId=119</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ثامنًا: القوانين والتشريعات: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 ج2.</w:t>
      </w:r>
    </w:p>
  </w:footnote>
  <w:footnote w:id="2">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داود، سليمان بن الأشعث. سنن أبي داود، كتاب الجنائز، باب في الحفّار يجد العظم، رقم الحديث 3207.</w:t>
      </w:r>
    </w:p>
  </w:footnote>
  <w:footnote w:id="3">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4"/>
      <w:szCs w:val="24"/>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vmwposjqczo4sctkzryv" Type="http://schemas.openxmlformats.org/officeDocument/2006/relationships/hyperlink" Target="https://journals.ekb.eg/article_368941_0.html" TargetMode="External"/><Relationship Id="rIdbkirxnckwhgp9w_luogsx" Type="http://schemas.openxmlformats.org/officeDocument/2006/relationships/hyperlink" Target="https://mjle.journals.ekb.eg/article_368941_50690f4113b5efc26ad3acb040dabad4.pdf" TargetMode="External"/><Relationship Id="rIdqmxxezd0kiufuuxxg9zpi" Type="http://schemas.openxmlformats.org/officeDocument/2006/relationships/hyperlink" Target="https://search.mandumah.com/Record/1633970" TargetMode="External"/><Relationship Id="rIdxldpjowzntuo4zdl3nsps" Type="http://schemas.openxmlformats.org/officeDocument/2006/relationships/hyperlink" Target="https://doi.org/10.65414/najsp.v2i4.281" TargetMode="External"/><Relationship Id="rIdpiwfp68xgtxkmvqwpykuo" Type="http://schemas.openxmlformats.org/officeDocument/2006/relationships/hyperlink" Target="https://doi.org/10.61353/ma.0000141" TargetMode="External"/><Relationship Id="rIdbxpsyvcijmaxja1cweng2" Type="http://schemas.openxmlformats.org/officeDocument/2006/relationships/hyperlink" Target="https://www.researchgate.net/publication/393318043" TargetMode="External"/><Relationship Id="rId1mufktqay1sg_zgsbomga" Type="http://schemas.openxmlformats.org/officeDocument/2006/relationships/hyperlink" Target="https://bcchj.uobabylon.edu.iq/index.php/bcchj/ar/article/view/1016" TargetMode="External"/><Relationship Id="rId6dfu7in4yizwoowp4ntfb" Type="http://schemas.openxmlformats.org/officeDocument/2006/relationships/hyperlink" Target="https://asjp.cerist.dz/en/article/198662" TargetMode="External"/><Relationship Id="rIdcxyjjzl1auim9sbq_u9gz" Type="http://schemas.openxmlformats.org/officeDocument/2006/relationships/hyperlink" Target="https://search.mandumah.com/Record/1232048" TargetMode="External"/><Relationship Id="rIdgh11rlwl7cpvp2pulqycq" Type="http://schemas.openxmlformats.org/officeDocument/2006/relationships/hyperlink" Target="https://journals.alqasimia.ac.ae/index.php/ssis/article/view/66" TargetMode="External"/><Relationship Id="rIdwbvihyyn6d0unvwjhsci6" Type="http://schemas.openxmlformats.org/officeDocument/2006/relationships/hyperlink" Target="https://www.ajrsp.com/vol/issue31/" TargetMode="External"/><Relationship Id="rIdnenwpq5n9kxoywlljhkbd" Type="http://schemas.openxmlformats.org/officeDocument/2006/relationships/hyperlink" Target="https://dspace.univ-eloued.dz/handle/123456789/15831" TargetMode="External"/><Relationship Id="rId0lrjlouhhjolrmndxy2tx" Type="http://schemas.openxmlformats.org/officeDocument/2006/relationships/hyperlink" Target="https://asjp.cerist.dz/en/article/91461" TargetMode="External"/><Relationship Id="rIdfabh5gf2_dcrpcvlmaocg" Type="http://schemas.openxmlformats.org/officeDocument/2006/relationships/hyperlink" Target="https://asjp.cerist.dz/en/article/26599" TargetMode="External"/><Relationship Id="rIdu1zt46yxnualzkvmstu-8" Type="http://schemas.openxmlformats.org/officeDocument/2006/relationships/hyperlink" Target="https://www.damascusuniversity.edu.sy/mag/law/images/stories/479-500.pdf" TargetMode="External"/><Relationship Id="rIda_gu50jfwzl5_jdon_jtc" Type="http://schemas.openxmlformats.org/officeDocument/2006/relationships/hyperlink" Target="https://search.mandumah.com/Record/167975" TargetMode="External"/><Relationship Id="rIdlgw6ocscf3nvlmmyyzkit" Type="http://schemas.openxmlformats.org/officeDocument/2006/relationships/hyperlink" Target="https://iifa-aifi.org/ar/journal" TargetMode="External"/><Relationship Id="rIdzu2vyub01zz6xa2wzn2bd" Type="http://schemas.openxmlformats.org/officeDocument/2006/relationships/hyperlink" Target="https://www.cambridge.org/core/services/aop-cambridge-core/content/view/F891733330C5E4ADCB8C5BB0235E271F" TargetMode="External"/><Relationship Id="rIdxbecqxsxrpeujwqe9m_bx" Type="http://schemas.openxmlformats.org/officeDocument/2006/relationships/hyperlink" Target="https://doi.org/10.3389/fneur.2024.1491263" TargetMode="External"/><Relationship Id="rId7yxcjqalhia9dbiwr-qmn" Type="http://schemas.openxmlformats.org/officeDocument/2006/relationships/hyperlink" Target="https://www.walshmedicalmedia.com/open-access/clinical-death-a-reversible-state-of-cardiac-arrest-119791.html" TargetMode="External"/><Relationship Id="rIdrg7i7ozsobnsovzizgwh9" Type="http://schemas.openxmlformats.org/officeDocument/2006/relationships/hyperlink" Target="https://doi.org/10.1212/WNL.0000000000207740" TargetMode="External"/><Relationship Id="rIdygxdspaxbtahz6dtahtj-" Type="http://schemas.openxmlformats.org/officeDocument/2006/relationships/hyperlink" Target="https://doi.org/10.1001/jama.2020.11586" TargetMode="External"/><Relationship Id="rIdxqpnaczy4nbsdnqxsvo4-" Type="http://schemas.openxmlformats.org/officeDocument/2006/relationships/hyperlink" Target="https://doi.org/10.1038/nrneurol.2017.172" TargetMode="External"/><Relationship Id="rIdxnaepnsgd_dm5iko548hb" Type="http://schemas.openxmlformats.org/officeDocument/2006/relationships/hyperlink" Target="https://pmc.ncbi.nlm.nih.gov/articles/PMC7595719/" TargetMode="External"/><Relationship Id="rIdvezxkrjjtqhc_gf8-bhdh" Type="http://schemas.openxmlformats.org/officeDocument/2006/relationships/hyperlink" Target="https://doi.org/10.1212/WNL.0000000000006750" TargetMode="External"/><Relationship Id="rIdys2ffik8nhlehz_uz2n2l" Type="http://schemas.openxmlformats.org/officeDocument/2006/relationships/hyperlink" Target="https://doi.org/10.2147/MB.S70369" TargetMode="External"/><Relationship Id="rIdnsjqrarpuolwhdjmzdljt"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2026-08-30T19:16:16.733Z</dcterms:created>
  <dcterms:modified xsi:type="dcterms:W3CDTF">2026-08-30T19:16:16.733Z</dcterms:modified>
</cp:coreProperties>
</file>

<file path=docProps/custom.xml><?xml version="1.0" encoding="utf-8"?>
<Properties xmlns="http://schemas.openxmlformats.org/officeDocument/2006/custom-properties" xmlns:vt="http://schemas.openxmlformats.org/officeDocument/2006/docPropsVTypes"/>
</file>