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للبحث: __\__\2026م</w:t>
      </w:r>
    </w:p>
    <w:p>
      <w:pPr>
        <w:pageBreakBefore/>
      </w:pPr>
    </w:p>
    <w:p/>
    <w:p/>
    <w:p/>
    <w:p>
      <w:pPr>
        <w:bidi/>
        <w:spacing w:after="80" w:line="300"/>
        <w:jc w:val="center"/>
      </w:pPr>
      <w:r>
        <w:rPr>
          <w:rFonts w:ascii="Simplified Arabic" w:cs="Simplified Arabic" w:eastAsia="Simplified Arabic" w:hAnsi="Simplified Arabic"/>
          <w:b/>
          <w:bCs/>
          <w:sz w:val="32"/>
          <w:szCs w:val="32"/>
          <w:rtl/>
        </w:rPr>
        <w:t xml:space="preserve">تصريح النزاهة العلميّة</w:t>
      </w:r>
    </w:p>
    <w:p>
      <w:pPr>
        <w:bidi/>
        <w:spacing w:after="80" w:line="300"/>
        <w:jc w:val="center"/>
      </w:pPr>
      <w:r>
        <w:rPr>
          <w:rFonts w:ascii="Simplified Arabic" w:cs="Simplified Arabic" w:eastAsia="Simplified Arabic" w:hAnsi="Simplified Arabic"/>
          <w:b/>
          <w:bCs/>
          <w:sz w:val="26"/>
          <w:szCs w:val="26"/>
          <w:rtl/>
        </w:rPr>
        <w:t xml:space="preserve">وعدم الغشّ في كتابة وظيفة الحلقة الدراسيّة (سيمينار) في موضوع الدين الإسلاميّ</w:t>
      </w:r>
    </w:p>
    <w:p/>
    <w:p/>
    <w:p>
      <w:pPr>
        <w:bidi/>
        <w:spacing w:after="0" w:line="480"/>
        <w:jc w:val="both"/>
      </w:pPr>
      <w:r>
        <w:rPr>
          <w:rFonts w:ascii="Simplified Arabic" w:cs="Simplified Arabic" w:eastAsia="Simplified Arabic" w:hAnsi="Simplified Arabic"/>
          <w:b w:val="false"/>
          <w:bCs w:val="false"/>
          <w:sz w:val="28"/>
          <w:szCs w:val="28"/>
          <w:rtl/>
        </w:rPr>
        <w:t xml:space="preserve">أنا الموقّع أدناه، الطالب عبد المهدي دحلة، حامل بطاقة الهويّة رقم 212684527، الدارس في أكاديميّة القاسمي - كلّيّة أكاديميّة للتربية، أصرّح بما يأتي: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هذا البحث الموسوم بـ"الأحكام الفقهيّة المتعلقة بنزع الأجهزة الطبيّة عن الميت سريريًّا - دراسة فقهيّة طبيّة قانونيّة مقارنة" هو من إعدادي وكتابتي.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أنّني التزمت النزاهة العلميّة في جميع مراحل إعداد البحث، فلم أرتكب غشًّا ولا انتحالًا، ولم أنسب إلى نفسي شيئًا من أقوال غيري.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جميع الاقتباسات والأفكار المأخوذة من المصادر والمراجع قد وثّقتها توثيقًا علميًّا كاملًا في حواشي البحث وقائمة مصادره.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أنّني أتحمّل المسؤوليّة الكاملة عن مضمون هذا البحث أمام الكلّيّة والمساق.</w:t>
      </w:r>
    </w:p>
    <w:p/>
    <w:p/>
    <w:p>
      <w:pPr>
        <w:bidi/>
        <w:spacing w:after="0" w:line="480"/>
        <w:jc w:val="both"/>
      </w:pPr>
      <w:r>
        <w:rPr>
          <w:rFonts w:ascii="Simplified Arabic" w:cs="Simplified Arabic" w:eastAsia="Simplified Arabic" w:hAnsi="Simplified Arabic"/>
          <w:b/>
          <w:bCs/>
          <w:sz w:val="28"/>
          <w:szCs w:val="28"/>
          <w:rtl/>
        </w:rPr>
        <w:t xml:space="preserve">اسم الطالب: </w:t>
      </w:r>
      <w:r>
        <w:rPr>
          <w:rFonts w:ascii="Simplified Arabic" w:cs="Simplified Arabic" w:eastAsia="Simplified Arabic" w:hAnsi="Simplified Arabic"/>
          <w:b w:val="false"/>
          <w:bCs w:val="false"/>
          <w:sz w:val="28"/>
          <w:szCs w:val="28"/>
          <w:rtl/>
        </w:rPr>
        <w:t xml:space="preserve">عبد المهدي دحلة        </w:t>
      </w:r>
      <w:r>
        <w:rPr>
          <w:rFonts w:ascii="Simplified Arabic" w:cs="Simplified Arabic" w:eastAsia="Simplified Arabic" w:hAnsi="Simplified Arabic"/>
          <w:b/>
          <w:bCs/>
          <w:sz w:val="28"/>
          <w:szCs w:val="28"/>
          <w:rtl/>
        </w:rPr>
        <w:t xml:space="preserve">رقم الهويّة: </w:t>
      </w:r>
      <w:r>
        <w:rPr>
          <w:rFonts w:ascii="Simplified Arabic" w:cs="Simplified Arabic" w:eastAsia="Simplified Arabic" w:hAnsi="Simplified Arabic"/>
          <w:b w:val="false"/>
          <w:bCs w:val="false"/>
          <w:sz w:val="28"/>
          <w:szCs w:val="28"/>
          <w:rtl/>
        </w:rPr>
        <w:t xml:space="preserve">212684527</w:t>
      </w:r>
    </w:p>
    <w:p>
      <w:pPr>
        <w:bidi/>
        <w:spacing w:after="0" w:line="480"/>
        <w:jc w:val="both"/>
      </w:pPr>
      <w:r>
        <w:rPr>
          <w:rFonts w:ascii="Simplified Arabic" w:cs="Simplified Arabic" w:eastAsia="Simplified Arabic" w:hAnsi="Simplified Arabic"/>
          <w:b/>
          <w:bCs/>
          <w:sz w:val="28"/>
          <w:szCs w:val="28"/>
          <w:rtl/>
        </w:rPr>
        <w:t xml:space="preserve">التوقيع: </w:t>
      </w:r>
      <w:r>
        <w:rPr>
          <w:rFonts w:ascii="Simplified Arabic" w:cs="Simplified Arabic" w:eastAsia="Simplified Arabic" w:hAnsi="Simplified Arabic"/>
          <w:b w:val="false"/>
          <w:bCs w:val="false"/>
          <w:sz w:val="28"/>
          <w:szCs w:val="28"/>
          <w:rtl/>
        </w:rPr>
        <w:t xml:space="preserve">____________        </w:t>
      </w:r>
      <w:r>
        <w:rPr>
          <w:rFonts w:ascii="Simplified Arabic" w:cs="Simplified Arabic" w:eastAsia="Simplified Arabic" w:hAnsi="Simplified Arabic"/>
          <w:b/>
          <w:bCs/>
          <w:sz w:val="28"/>
          <w:szCs w:val="28"/>
          <w:rtl/>
        </w:rPr>
        <w:t xml:space="preserve">التاريخ: </w:t>
      </w:r>
      <w:r>
        <w:rPr>
          <w:rFonts w:ascii="Simplified Arabic" w:cs="Simplified Arabic" w:eastAsia="Simplified Arabic" w:hAnsi="Simplified Arabic"/>
          <w:b w:val="false"/>
          <w:bCs w:val="false"/>
          <w:sz w:val="28"/>
          <w:szCs w:val="28"/>
          <w:rtl/>
        </w:rPr>
        <w:t xml:space="preserve">____ / ____ / 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فهرس موضوعات البحث</w:t>
      </w:r>
    </w:p>
    <w:p>
      <w:pPr>
        <w:bidi/>
        <w:spacing w:after="0" w:line="480"/>
        <w:jc w:val="both"/>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عشر: الحياة.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عشر: الحياة المستقرّة.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عشر: الروح.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عشر: الوفاة.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عشر: حرمة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عشر: المريض الميؤوس من شفائه.</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عشر: الضرر والضرورة الشرعيّة.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العشرون: تخطيط كهربيّة الدماغ (EEG).</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والعشرون: اختبار انقطاع النفَس (Apnea Test).</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والعشرون: التوجيهات الطبيّة المسبقة.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ageBreakBefore/>
      </w:pPr>
    </w:p>
    <w:p/>
    <w:p/>
    <w:p/>
    <w:p/>
    <w:p/>
    <w:p/>
    <w:p>
      <w:pPr>
        <w:bidi/>
        <w:spacing w:after="80" w:line="300"/>
        <w:jc w:val="center"/>
      </w:pPr>
      <w:r>
        <w:rPr>
          <w:rFonts w:ascii="Simplified Arabic" w:cs="Simplified Arabic" w:eastAsia="Simplified Arabic" w:hAnsi="Simplified Arabic"/>
          <w:b/>
          <w:bCs/>
          <w:sz w:val="36"/>
          <w:szCs w:val="36"/>
          <w:rtl/>
        </w:rPr>
        <w:t xml:space="preserve">خطّة البحث بعد التعديل</w:t>
      </w:r>
    </w:p>
    <w:p/>
    <w:p/>
    <w:p>
      <w:pPr>
        <w:bidi/>
        <w:spacing w:after="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وثالثها استعراض الآثار المترتبة على المسألة؛ ورابعها التأصيل والتحرير والموازنة بين الأقوال، وهو قلب البحث؛ وخامسها عرض الفتاوى والقرارات الرسميّة بنصوصها والتعقيب عليها. وفيما يأتي عناصر الخطّة المعدّلة وفق ملاحظات المحاضر: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إشكاليّة البحث:</w:t>
      </w:r>
    </w:p>
    <w:p>
      <w:pPr>
        <w:bidi/>
        <w:spacing w:after="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الأسئلة الفرعيّة: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حدود البحث: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أولًا: الدراسات باللغة العربيّة (17 دراسة):</w:t>
      </w:r>
    </w:p>
    <w:p>
      <w:pPr>
        <w:bidi/>
        <w:spacing w:after="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j7lob6wxkp8r6gjcpmfdh">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zdwc9xq6es0qefnwbshx7">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ygdfjvgwlgvioa42ucurz">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oetlg52ucpbvjybg1ga_t">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_5v52qw-cw0l0pfc21wak">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1pk66gpk0v223ao36zpvx">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3w7nqfvr5wh5im6govecv">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7cadszjzko25_8ibsvpl">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rr4aox4oxm4al135otyq">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xsxtyhlq4gqsghs_qwfsf">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gkx5gkjfrjmr89jfydyi">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0nwrhjhyolugayu-hslud">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x-gggk32h-dv4-ybjxjdp">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occucnjuecm4bravvahpg">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6qayoobe8csvjpvdx6_to">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kg99qe-hjnznmxtappc4u">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0" w:line="480"/>
        <w:jc w:val="both"/>
      </w:pPr>
      <w:r>
        <w:rPr>
          <w:rFonts w:ascii="Simplified Arabic" w:cs="Simplified Arabic" w:eastAsia="Simplified Arabic" w:hAnsi="Simplified Arabic"/>
          <w:b/>
          <w:bCs/>
          <w:sz w:val="28"/>
          <w:szCs w:val="28"/>
          <w:rtl/>
        </w:rPr>
        <w:t xml:space="preserve">17. التعريف الطبيّ للموت</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wsulu4a84-8vw-62f9e1">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العربيّة السبع عشرة، أرى أنّ البحث العربيّ في هذه النازلة انتقل في العقد الأخير من سؤال (ما حكم رفع الأجهزة؟) إلى أسئلة أدقّ: تكييف الموت الدماغيّ، وأثر النيابة في القرار الطبيّ، ومسؤوليّة الطبيب الجنائيّة؛ مع أنّ الدراسات لم تعالج بعدُ واقع المستشفيات في بلادنا إلا نادرًا، وهي الفجوة التي يتوجّه إليها بحثي.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ثانيًا: الدراسات باللغات الأجنبيّة (10 دراسات):</w:t>
      </w:r>
    </w:p>
    <w:p>
      <w:pPr>
        <w:bidi/>
        <w:spacing w:after="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xl9bc2mmqffl9kzn4yfh4">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thh7_8x_rp4u8ujyhuo5n">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g4qjck1uqkemuxkpthwr">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ghcmxbvac1jnoaq_3dexc">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bttjcnmuleqsmrkocjzq5">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oj3bbas5_putx_8g9ojlo">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i1bqtcohreeffzhacfvxb">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hwkygtjvei8dyxr_jck0">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laqj_sriizi-y4wa2r2mo">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82akctgsgzfy-vino3ged">
        <w:r>
          <w:rPr>
            <w:rFonts w:ascii="Simplified Arabic" w:cs="Simplified Arabic" w:eastAsia="Simplified Arabic" w:hAnsi="Simplified Arabic"/>
            <w:b/>
            <w:bCs/>
            <w:color w:val="000000"/>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الدراسات الأجنبيّة العشر، أعتقد أنّ الجدل الغربيّ حول الموت الدماغيّ لم يُحسم هو الآخر؛ فالاعتراضات التي سجّلها باحثون معاصرون على التعريف العصبيّ للموت تشبه في جوهرها اعتراضات الفقهاء المانعين، وهو تشابه يدلّ على أنّ السؤال إنسانيّ عابر للثقافات وليس إشكالًا إسلاميًّا خاصًّا.</w:t>
      </w:r>
    </w:p>
    <w:p>
      <w:pPr>
        <w:pageBreakBefore/>
      </w:pPr>
    </w:p>
    <w:p/>
    <w:p/>
    <w:p/>
    <w:p/>
    <w:p/>
    <w:p/>
    <w:p>
      <w:pPr>
        <w:bidi/>
        <w:spacing w:after="80" w:line="300"/>
        <w:jc w:val="center"/>
      </w:pPr>
      <w:r>
        <w:rPr>
          <w:rFonts w:ascii="Simplified Arabic" w:cs="Simplified Arabic" w:eastAsia="Simplified Arabic" w:hAnsi="Simplified Arabic"/>
          <w:b/>
          <w:bCs/>
          <w:sz w:val="34"/>
          <w:szCs w:val="34"/>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ملخّص البحث</w:t>
      </w:r>
    </w:p>
    <w:p>
      <w:pPr>
        <w:bidi/>
        <w:spacing w:after="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الأحكام.</w:t>
      </w:r>
    </w:p>
    <w:p>
      <w:pPr>
        <w:bidi/>
        <w:spacing w:after="80" w:line="300"/>
        <w:jc w:val="center"/>
      </w:pPr>
      <w:r>
        <w:rPr>
          <w:rFonts w:ascii="Simplified Arabic" w:cs="Simplified Arabic" w:eastAsia="Simplified Arabic" w:hAnsi="Simplified Arabic"/>
          <w:b/>
          <w:bCs/>
          <w:sz w:val="28"/>
          <w:szCs w:val="28"/>
          <w:rtl/>
        </w:rPr>
        <w:t xml:space="preserve">المطلب الثاني: الفقهيّة.</w:t>
      </w:r>
    </w:p>
    <w:p>
      <w:pPr>
        <w:bidi/>
        <w:spacing w:after="80" w:line="300"/>
        <w:jc w:val="center"/>
      </w:pPr>
      <w:r>
        <w:rPr>
          <w:rFonts w:ascii="Simplified Arabic" w:cs="Simplified Arabic" w:eastAsia="Simplified Arabic" w:hAnsi="Simplified Arabic"/>
          <w:b/>
          <w:bCs/>
          <w:sz w:val="28"/>
          <w:szCs w:val="28"/>
          <w:rtl/>
        </w:rPr>
        <w:t xml:space="preserve">المطلب الثالث: النزع.</w:t>
      </w:r>
    </w:p>
    <w:p>
      <w:pPr>
        <w:bidi/>
        <w:spacing w:after="80" w:line="30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80" w:line="300"/>
        <w:jc w:val="center"/>
      </w:pPr>
      <w:r>
        <w:rPr>
          <w:rFonts w:ascii="Simplified Arabic" w:cs="Simplified Arabic" w:eastAsia="Simplified Arabic" w:hAnsi="Simplified Arabic"/>
          <w:b/>
          <w:bCs/>
          <w:sz w:val="28"/>
          <w:szCs w:val="28"/>
          <w:rtl/>
        </w:rPr>
        <w:t xml:space="preserve">المطلب الخامس: الميت.</w:t>
      </w:r>
    </w:p>
    <w:p>
      <w:pPr>
        <w:bidi/>
        <w:spacing w:after="80" w:line="300"/>
        <w:jc w:val="center"/>
      </w:pPr>
      <w:r>
        <w:rPr>
          <w:rFonts w:ascii="Simplified Arabic" w:cs="Simplified Arabic" w:eastAsia="Simplified Arabic" w:hAnsi="Simplified Arabic"/>
          <w:b/>
          <w:bCs/>
          <w:sz w:val="28"/>
          <w:szCs w:val="28"/>
          <w:rtl/>
        </w:rPr>
        <w:t xml:space="preserve">المطلب السادس: سريريًّا.</w:t>
      </w:r>
    </w:p>
    <w:p>
      <w:pPr>
        <w:bidi/>
        <w:spacing w:after="80" w:line="30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الأحكام.</w:t>
      </w:r>
    </w:p>
    <w:p>
      <w:pPr>
        <w:bidi/>
        <w:spacing w:after="60" w:before="120" w:line="360"/>
        <w:jc w:val="right"/>
      </w:pPr>
      <w:r>
        <w:rPr>
          <w:rFonts w:ascii="Simplified Arabic" w:cs="Simplified Arabic" w:eastAsia="Simplified Arabic" w:hAnsi="Simplified Arabic"/>
          <w:b/>
          <w:bCs/>
          <w:sz w:val="32"/>
          <w:szCs w:val="32"/>
          <w:rtl/>
        </w:rPr>
        <w:t xml:space="preserve">الفرع الأوّل: تعريف الحكم لغةً.</w:t>
      </w:r>
    </w:p>
    <w:p>
      <w:pPr>
        <w:bidi/>
        <w:spacing w:after="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تعريف الحكم اصطلاحًا.</w:t>
      </w:r>
    </w:p>
    <w:p>
      <w:pPr>
        <w:bidi/>
        <w:spacing w:after="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الفقهيّة.</w:t>
      </w:r>
    </w:p>
    <w:p>
      <w:pPr>
        <w:bidi/>
        <w:spacing w:after="60" w:before="120" w:line="360"/>
        <w:jc w:val="right"/>
      </w:pPr>
      <w:r>
        <w:rPr>
          <w:rFonts w:ascii="Simplified Arabic" w:cs="Simplified Arabic" w:eastAsia="Simplified Arabic" w:hAnsi="Simplified Arabic"/>
          <w:b/>
          <w:bCs/>
          <w:sz w:val="32"/>
          <w:szCs w:val="32"/>
          <w:rtl/>
        </w:rPr>
        <w:t xml:space="preserve">الفرع الأوّل: تعريف الفقه لغةً.</w:t>
      </w:r>
    </w:p>
    <w:p>
      <w:pPr>
        <w:bidi/>
        <w:spacing w:after="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تعريف الفقه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النزع.</w:t>
      </w:r>
    </w:p>
    <w:p>
      <w:pPr>
        <w:bidi/>
        <w:spacing w:after="60" w:before="120" w:line="360"/>
        <w:jc w:val="right"/>
      </w:pPr>
      <w:r>
        <w:rPr>
          <w:rFonts w:ascii="Simplified Arabic" w:cs="Simplified Arabic" w:eastAsia="Simplified Arabic" w:hAnsi="Simplified Arabic"/>
          <w:b/>
          <w:bCs/>
          <w:sz w:val="32"/>
          <w:szCs w:val="32"/>
          <w:rtl/>
        </w:rPr>
        <w:t xml:space="preserve">الفرع الأوّل: تعريف النزع لغةً.</w:t>
      </w:r>
    </w:p>
    <w:p>
      <w:pPr>
        <w:bidi/>
        <w:spacing w:after="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تعريف النزع اصطلاحًا.</w:t>
      </w:r>
    </w:p>
    <w:p>
      <w:pPr>
        <w:bidi/>
        <w:spacing w:after="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الأجهزة الطبيّة.</w:t>
      </w:r>
    </w:p>
    <w:p>
      <w:pPr>
        <w:bidi/>
        <w:spacing w:after="60" w:before="120" w:line="360"/>
        <w:jc w:val="right"/>
      </w:pPr>
      <w:r>
        <w:rPr>
          <w:rFonts w:ascii="Simplified Arabic" w:cs="Simplified Arabic" w:eastAsia="Simplified Arabic" w:hAnsi="Simplified Arabic"/>
          <w:b/>
          <w:bCs/>
          <w:sz w:val="32"/>
          <w:szCs w:val="32"/>
          <w:rtl/>
        </w:rPr>
        <w:t xml:space="preserve">الفرع الأوّل: تعريف الجهاز لغةً.</w:t>
      </w:r>
    </w:p>
    <w:p>
      <w:pPr>
        <w:bidi/>
        <w:spacing w:after="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تعريف الأجهزة الطبيّة طبًّا.</w:t>
      </w:r>
    </w:p>
    <w:p>
      <w:pPr>
        <w:bidi/>
        <w:spacing w:after="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الخامس: الميت.</w:t>
      </w:r>
    </w:p>
    <w:p>
      <w:pPr>
        <w:bidi/>
        <w:spacing w:after="60" w:before="120" w:line="360"/>
        <w:jc w:val="right"/>
      </w:pPr>
      <w:r>
        <w:rPr>
          <w:rFonts w:ascii="Simplified Arabic" w:cs="Simplified Arabic" w:eastAsia="Simplified Arabic" w:hAnsi="Simplified Arabic"/>
          <w:b/>
          <w:bCs/>
          <w:sz w:val="32"/>
          <w:szCs w:val="32"/>
          <w:rtl/>
        </w:rPr>
        <w:t xml:space="preserve">الفرع الأوّل: تعريف الموت لغةً.</w:t>
      </w:r>
    </w:p>
    <w:p>
      <w:pPr>
        <w:bidi/>
        <w:spacing w:after="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تعريف الموت اصطلاحًا (شرعًا).</w:t>
      </w:r>
    </w:p>
    <w:p>
      <w:pPr>
        <w:bidi/>
        <w:spacing w:after="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60" w:before="120" w:line="360"/>
        <w:jc w:val="right"/>
      </w:pPr>
      <w:r>
        <w:rPr>
          <w:rFonts w:ascii="Simplified Arabic" w:cs="Simplified Arabic" w:eastAsia="Simplified Arabic" w:hAnsi="Simplified Arabic"/>
          <w:b/>
          <w:bCs/>
          <w:sz w:val="32"/>
          <w:szCs w:val="32"/>
          <w:rtl/>
        </w:rPr>
        <w:t xml:space="preserve">الفرع الثالث: تعريف الموت طبًّا.</w:t>
      </w:r>
    </w:p>
    <w:p>
      <w:pPr>
        <w:bidi/>
        <w:spacing w:after="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السادس: سريريًّا.</w:t>
      </w:r>
    </w:p>
    <w:p>
      <w:pPr>
        <w:bidi/>
        <w:spacing w:after="60" w:before="120" w:line="360"/>
        <w:jc w:val="right"/>
      </w:pPr>
      <w:r>
        <w:rPr>
          <w:rFonts w:ascii="Simplified Arabic" w:cs="Simplified Arabic" w:eastAsia="Simplified Arabic" w:hAnsi="Simplified Arabic"/>
          <w:b/>
          <w:bCs/>
          <w:sz w:val="32"/>
          <w:szCs w:val="32"/>
          <w:rtl/>
        </w:rPr>
        <w:t xml:space="preserve">الفرع الأوّل: تعريف السرير لغةً.</w:t>
      </w:r>
    </w:p>
    <w:p>
      <w:pPr>
        <w:bidi/>
        <w:spacing w:after="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60" w:before="120" w:line="360"/>
        <w:jc w:val="right"/>
      </w:pPr>
      <w:r>
        <w:rPr>
          <w:rFonts w:ascii="Simplified Arabic" w:cs="Simplified Arabic" w:eastAsia="Simplified Arabic" w:hAnsi="Simplified Arabic"/>
          <w:b/>
          <w:bCs/>
          <w:sz w:val="32"/>
          <w:szCs w:val="32"/>
          <w:rtl/>
        </w:rPr>
        <w:t xml:space="preserve">الفرع الثاني: تعريف الموت السريريّ طبًّا.</w:t>
      </w:r>
    </w:p>
    <w:p>
      <w:pPr>
        <w:bidi/>
        <w:spacing w:after="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السابع: التعريف المركّب "نزع الأجهزة الطبيّة عن الميت سريريًّا".</w:t>
      </w:r>
    </w:p>
    <w:p>
      <w:pPr>
        <w:bidi/>
        <w:spacing w:after="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الثامن: مراتب الحياة عند الفقهاء وتعلّقها بالمسألة.</w:t>
      </w:r>
    </w:p>
    <w:p>
      <w:pPr>
        <w:bidi/>
        <w:spacing w:after="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الثاني: تعريفات ذات صلة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80" w:line="30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80" w:line="30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80" w:line="30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80" w:line="300"/>
        <w:jc w:val="center"/>
      </w:pPr>
      <w:r>
        <w:rPr>
          <w:rFonts w:ascii="Simplified Arabic" w:cs="Simplified Arabic" w:eastAsia="Simplified Arabic" w:hAnsi="Simplified Arabic"/>
          <w:b/>
          <w:bCs/>
          <w:sz w:val="28"/>
          <w:szCs w:val="28"/>
          <w:rtl/>
        </w:rPr>
        <w:t xml:space="preserve">المطلب الخامس: الاحتضار.</w:t>
      </w:r>
    </w:p>
    <w:p>
      <w:pPr>
        <w:bidi/>
        <w:spacing w:after="80" w:line="30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80" w:line="30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80" w:line="30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80" w:line="300"/>
        <w:jc w:val="center"/>
      </w:pPr>
      <w:r>
        <w:rPr>
          <w:rFonts w:ascii="Simplified Arabic" w:cs="Simplified Arabic" w:eastAsia="Simplified Arabic" w:hAnsi="Simplified Arabic"/>
          <w:b/>
          <w:bCs/>
          <w:sz w:val="28"/>
          <w:szCs w:val="28"/>
          <w:rtl/>
        </w:rPr>
        <w:t xml:space="preserve">المطلب التاسع: جذع الدماغ.</w:t>
      </w:r>
    </w:p>
    <w:p>
      <w:pPr>
        <w:bidi/>
        <w:spacing w:after="80" w:line="300"/>
        <w:jc w:val="center"/>
      </w:pPr>
      <w:r>
        <w:rPr>
          <w:rFonts w:ascii="Simplified Arabic" w:cs="Simplified Arabic" w:eastAsia="Simplified Arabic" w:hAnsi="Simplified Arabic"/>
          <w:b/>
          <w:bCs/>
          <w:sz w:val="28"/>
          <w:szCs w:val="28"/>
          <w:rtl/>
        </w:rPr>
        <w:t xml:space="preserve">المطلب العاشر: الغيبوبة.</w:t>
      </w:r>
    </w:p>
    <w:p>
      <w:pPr>
        <w:bidi/>
        <w:spacing w:after="80" w:line="30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80" w:line="300"/>
        <w:jc w:val="center"/>
      </w:pPr>
      <w:r>
        <w:rPr>
          <w:rFonts w:ascii="Simplified Arabic" w:cs="Simplified Arabic" w:eastAsia="Simplified Arabic" w:hAnsi="Simplified Arabic"/>
          <w:b/>
          <w:bCs/>
          <w:sz w:val="28"/>
          <w:szCs w:val="28"/>
          <w:rtl/>
        </w:rPr>
        <w:t xml:space="preserve">المطلب الثاني عشر: العلاج التلطيفيّ.</w:t>
      </w:r>
    </w:p>
    <w:p>
      <w:pPr>
        <w:bidi/>
        <w:spacing w:after="80" w:line="300"/>
        <w:jc w:val="center"/>
      </w:pPr>
      <w:r>
        <w:rPr>
          <w:rFonts w:ascii="Simplified Arabic" w:cs="Simplified Arabic" w:eastAsia="Simplified Arabic" w:hAnsi="Simplified Arabic"/>
          <w:b/>
          <w:bCs/>
          <w:sz w:val="28"/>
          <w:szCs w:val="28"/>
          <w:rtl/>
        </w:rPr>
        <w:t xml:space="preserve">المطلب الثالث عشر: الحياة.</w:t>
      </w:r>
    </w:p>
    <w:p>
      <w:pPr>
        <w:bidi/>
        <w:spacing w:after="80" w:line="300"/>
        <w:jc w:val="center"/>
      </w:pPr>
      <w:r>
        <w:rPr>
          <w:rFonts w:ascii="Simplified Arabic" w:cs="Simplified Arabic" w:eastAsia="Simplified Arabic" w:hAnsi="Simplified Arabic"/>
          <w:b/>
          <w:bCs/>
          <w:sz w:val="28"/>
          <w:szCs w:val="28"/>
          <w:rtl/>
        </w:rPr>
        <w:t xml:space="preserve">المطلب الرابع عشر: الحياة المستقرّة.</w:t>
      </w:r>
    </w:p>
    <w:p>
      <w:pPr>
        <w:bidi/>
        <w:spacing w:after="80" w:line="300"/>
        <w:jc w:val="center"/>
      </w:pPr>
      <w:r>
        <w:rPr>
          <w:rFonts w:ascii="Simplified Arabic" w:cs="Simplified Arabic" w:eastAsia="Simplified Arabic" w:hAnsi="Simplified Arabic"/>
          <w:b/>
          <w:bCs/>
          <w:sz w:val="28"/>
          <w:szCs w:val="28"/>
          <w:rtl/>
        </w:rPr>
        <w:t xml:space="preserve">المطلب الخامس عشر: الروح.</w:t>
      </w:r>
    </w:p>
    <w:p>
      <w:pPr>
        <w:bidi/>
        <w:spacing w:after="80" w:line="300"/>
        <w:jc w:val="center"/>
      </w:pPr>
      <w:r>
        <w:rPr>
          <w:rFonts w:ascii="Simplified Arabic" w:cs="Simplified Arabic" w:eastAsia="Simplified Arabic" w:hAnsi="Simplified Arabic"/>
          <w:b/>
          <w:bCs/>
          <w:sz w:val="28"/>
          <w:szCs w:val="28"/>
          <w:rtl/>
        </w:rPr>
        <w:t xml:space="preserve">المطلب السادس عشر: الوفاة.</w:t>
      </w:r>
    </w:p>
    <w:p>
      <w:pPr>
        <w:bidi/>
        <w:spacing w:after="80" w:line="300"/>
        <w:jc w:val="center"/>
      </w:pPr>
      <w:r>
        <w:rPr>
          <w:rFonts w:ascii="Simplified Arabic" w:cs="Simplified Arabic" w:eastAsia="Simplified Arabic" w:hAnsi="Simplified Arabic"/>
          <w:b/>
          <w:bCs/>
          <w:sz w:val="28"/>
          <w:szCs w:val="28"/>
          <w:rtl/>
        </w:rPr>
        <w:t xml:space="preserve">المطلب السابع عشر: حرمة الميت.</w:t>
      </w:r>
    </w:p>
    <w:p>
      <w:pPr>
        <w:bidi/>
        <w:spacing w:after="80" w:line="300"/>
        <w:jc w:val="center"/>
      </w:pPr>
      <w:r>
        <w:rPr>
          <w:rFonts w:ascii="Simplified Arabic" w:cs="Simplified Arabic" w:eastAsia="Simplified Arabic" w:hAnsi="Simplified Arabic"/>
          <w:b/>
          <w:bCs/>
          <w:sz w:val="28"/>
          <w:szCs w:val="28"/>
          <w:rtl/>
        </w:rPr>
        <w:t xml:space="preserve">المطلب الثامن عشر: المريض الميؤوس من شفائه.</w:t>
      </w:r>
    </w:p>
    <w:p>
      <w:pPr>
        <w:bidi/>
        <w:spacing w:after="80" w:line="300"/>
        <w:jc w:val="center"/>
      </w:pPr>
      <w:r>
        <w:rPr>
          <w:rFonts w:ascii="Simplified Arabic" w:cs="Simplified Arabic" w:eastAsia="Simplified Arabic" w:hAnsi="Simplified Arabic"/>
          <w:b/>
          <w:bCs/>
          <w:sz w:val="28"/>
          <w:szCs w:val="28"/>
          <w:rtl/>
        </w:rPr>
        <w:t xml:space="preserve">المطلب التاسع عشر: الضرر والضرورة الشرعيّة.</w:t>
      </w:r>
    </w:p>
    <w:p>
      <w:pPr>
        <w:bidi/>
        <w:spacing w:after="80" w:line="300"/>
        <w:jc w:val="center"/>
      </w:pPr>
      <w:r>
        <w:rPr>
          <w:rFonts w:ascii="Simplified Arabic" w:cs="Simplified Arabic" w:eastAsia="Simplified Arabic" w:hAnsi="Simplified Arabic"/>
          <w:b/>
          <w:bCs/>
          <w:sz w:val="28"/>
          <w:szCs w:val="28"/>
          <w:rtl/>
        </w:rPr>
        <w:t xml:space="preserve">المطلب العشرون: تخطيط كهربيّة الدماغ (EEG).</w:t>
      </w:r>
    </w:p>
    <w:p>
      <w:pPr>
        <w:bidi/>
        <w:spacing w:after="80" w:line="300"/>
        <w:jc w:val="center"/>
      </w:pPr>
      <w:r>
        <w:rPr>
          <w:rFonts w:ascii="Simplified Arabic" w:cs="Simplified Arabic" w:eastAsia="Simplified Arabic" w:hAnsi="Simplified Arabic"/>
          <w:b/>
          <w:bCs/>
          <w:sz w:val="28"/>
          <w:szCs w:val="28"/>
          <w:rtl/>
        </w:rPr>
        <w:t xml:space="preserve">المطلب الحادي والعشرون: اختبار انقطاع النفَس (Apnea Test).</w:t>
      </w:r>
    </w:p>
    <w:p>
      <w:pPr>
        <w:bidi/>
        <w:spacing w:after="80" w:line="300"/>
        <w:jc w:val="center"/>
      </w:pPr>
      <w:r>
        <w:rPr>
          <w:rFonts w:ascii="Simplified Arabic" w:cs="Simplified Arabic" w:eastAsia="Simplified Arabic" w:hAnsi="Simplified Arabic"/>
          <w:b/>
          <w:bCs/>
          <w:sz w:val="28"/>
          <w:szCs w:val="28"/>
          <w:rtl/>
        </w:rPr>
        <w:t xml:space="preserve">المطلب الثاني والعشرون: التوجيهات الطبيّة المسبقة.</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الموت الدماغيّ.</w:t>
      </w:r>
    </w:p>
    <w:p>
      <w:pPr>
        <w:bidi/>
        <w:spacing w:after="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الإنعاش القلبيّ الرئويّ.</w:t>
      </w:r>
    </w:p>
    <w:p>
      <w:pPr>
        <w:bidi/>
        <w:spacing w:after="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المصادر الطبيّة في هذا المطلب، أرى أنّ نسب نجاح الإنعاش القلبيّ الرئويّ المتواضعة التي تذكرها الأدبيّات الطبيّة معلومة جوهريّة للبحث الفقهيّ؛ فكثير من الناس يتصوّر الإنعاش عملًا منقذًا في كلّ حال، والواقع أنه إجراء احتماليّ تتفاوت جدواه بحسب سرعة التدخّل وحال المريض، وهذا التفاوت هو الذي يفتح باب الموازنة الفقهيّة بين العلاج المرجوّ والتكلّف المرجوح.</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أجهزة الإنعاش الصناعيّ.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الحالة النباتيّة (الغيبوبة المستديمة).</w:t>
      </w:r>
    </w:p>
    <w:p>
      <w:pPr>
        <w:bidi/>
        <w:spacing w:after="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تعريف الحالة النباتيّة، أعتقد أنّ الفرق بينها وبين الموت الدماغيّ هو أخطر مواضع الالتباس في النازلة كلّها: فصاحب الحالة النباتيّة حيّ بجذع دماغٍ عامل، يتنفّس بنفسه وقد يستيقظ، والميت دماغيًّا تعطّل دماغه كلّه بلا رجعة؛ والخلط بينهما في الإعلام وبعض الكتابات يُدخل في المسألة صورًا ليست منها.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الخامس: الاحتضار.</w:t>
      </w:r>
    </w:p>
    <w:p>
      <w:pPr>
        <w:bidi/>
        <w:spacing w:after="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السادس: موت الرحمة (القتل الرحيم).</w:t>
      </w:r>
    </w:p>
    <w:p>
      <w:pPr>
        <w:bidi/>
        <w:spacing w:after="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السابع: العناية المركّزة.</w:t>
      </w:r>
    </w:p>
    <w:p>
      <w:pPr>
        <w:bidi/>
        <w:spacing w:after="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الثامن: زراعة الأعضاء.</w:t>
      </w:r>
    </w:p>
    <w:p>
      <w:pPr>
        <w:bidi/>
        <w:spacing w:after="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مطلب زراعة الأعضاء، أرى أنّ ارتباط تشخيص الموت الدماغيّ تاريخيًّا بالحاجة إلى الأعضاء سلاحٌ ذو حدّين: فهو من جهة دفع الطبّ إلى ضبط معايير صارمة للتشخيص، ومن جهة أخرى أورث عند بعض الناس ريبةً في أنّ التعريف صيغ لغاية نفعيّة، وهذه الريبة نفسها ممّا يجب أن يجيب عنه الضبطُ المؤسّسيّ للتشخيص لا تجاهلُه.</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التاسع: جذع الدماغ.</w:t>
      </w:r>
    </w:p>
    <w:p>
      <w:pPr>
        <w:bidi/>
        <w:spacing w:after="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العاشر: الغيبوبة.</w:t>
      </w:r>
    </w:p>
    <w:p>
      <w:pPr>
        <w:bidi/>
        <w:spacing w:after="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في مطلب الغيبوبة، أعتقد أنّ تدرّج درجات الغيبوبة الذي يعتمده الأطباء يقدّم للفقيه خدمة منهجيّة مهمّة: فهو يحوّل وصف (فاقد الوعي) المجمل إلى مراتب مضبوطة، وبناء الحكم الشرعيّ على مرتبة مضبوطة أسلم من بنائه على وصف عامّ تتفاوت صوره.</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الحادي عشر: التداوي.</w:t>
      </w:r>
    </w:p>
    <w:p>
      <w:pPr>
        <w:bidi/>
        <w:spacing w:after="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عشر: العلاج التلطيفيّ.</w:t>
      </w:r>
    </w:p>
    <w:p>
      <w:pPr>
        <w:bidi/>
        <w:spacing w:after="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عشر: الحياة.</w:t>
      </w:r>
    </w:p>
    <w:p>
      <w:pPr>
        <w:bidi/>
        <w:spacing w:after="0" w:line="480"/>
        <w:jc w:val="both"/>
      </w:pPr>
      <w:r>
        <w:rPr>
          <w:rFonts w:ascii="Simplified Arabic" w:cs="Simplified Arabic" w:eastAsia="Simplified Arabic" w:hAnsi="Simplified Arabic"/>
          <w:b w:val="false"/>
          <w:bCs w:val="false"/>
          <w:sz w:val="28"/>
          <w:szCs w:val="28"/>
          <w:rtl/>
        </w:rPr>
        <w:t xml:space="preserve">الحياة في اللغة: نقيض الموت</w:t>
      </w:r>
      <w:r>
        <w:rPr>
          <w:rStyle w:val="FootnoteReference"/>
        </w:rPr>
        <w:footnoteReference w:id="43"/>
      </w:r>
      <w:r>
        <w:rPr>
          <w:rFonts w:ascii="Simplified Arabic" w:cs="Simplified Arabic" w:eastAsia="Simplified Arabic" w:hAnsi="Simplified Arabic"/>
          <w:b w:val="false"/>
          <w:bCs w:val="false"/>
          <w:sz w:val="28"/>
          <w:szCs w:val="28"/>
          <w:rtl/>
        </w:rPr>
        <w:t xml:space="preserve">. وفي اصطلاح الفقهاء تنقسم حياة المصاب إلى حياة مستقرّة يبقى معها إدراك ونطق وحركة اختياريّة، وحياة غير مستقرّة هي حركة المذبوح التي لا يترتّب عليها أحكام الأحياء</w:t>
      </w:r>
      <w:r>
        <w:rPr>
          <w:rStyle w:val="FootnoteReference"/>
        </w:rPr>
        <w:footnoteReference w:id="44"/>
      </w:r>
      <w:r>
        <w:rPr>
          <w:rFonts w:ascii="Simplified Arabic" w:cs="Simplified Arabic" w:eastAsia="Simplified Arabic" w:hAnsi="Simplified Arabic"/>
          <w:b w:val="false"/>
          <w:bCs w:val="false"/>
          <w:sz w:val="28"/>
          <w:szCs w:val="28"/>
          <w:rtl/>
        </w:rPr>
        <w:t xml:space="preserve">. أما في الاصطلاح الطبيّ الحديث فتقوم الحياة على تكامل الوظائف الحيويّة الثلاث: الدماغ والقلب والتنفّس، والدماغ هو الناظم المدبّر لها</w:t>
      </w:r>
      <w:r>
        <w:rPr>
          <w:rStyle w:val="FootnoteReference"/>
        </w:rPr>
        <w:footnoteReference w:id="4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كتب اللغة والفقه والطبّ، أرى أنّ مدار مسألة البحث كلّها على تحرير مفهوم الحياة: فمن جعل مناطها القلبَ النابض ألحق الميتَ دماغيًّا بالأحياء، ومن جعل مناطها الدماغَ المدرِك ألحقه بالأموات، فالخلاف في الحكم فرعٌ عن الخلاف في هذا التعريف.</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عشر: الحياة المستقرّة.</w:t>
      </w:r>
    </w:p>
    <w:p>
      <w:pPr>
        <w:bidi/>
        <w:spacing w:after="0" w:line="480"/>
        <w:jc w:val="both"/>
      </w:pPr>
      <w:r>
        <w:rPr>
          <w:rFonts w:ascii="Simplified Arabic" w:cs="Simplified Arabic" w:eastAsia="Simplified Arabic" w:hAnsi="Simplified Arabic"/>
          <w:b w:val="false"/>
          <w:bCs w:val="false"/>
          <w:sz w:val="28"/>
          <w:szCs w:val="28"/>
          <w:rtl/>
        </w:rPr>
        <w:t xml:space="preserve">الحياة المستقرّة عند الفقهاء: أن يبقى في المصاب إبصارٌ ونطقٌ وحركةٌ اختياريّة يُظنّ معها بقاؤه، فتترتّب عليه أحكام الأحياء من إرث ووصيّة وقصاص من الجاني عليه؛ بخلاف من انتهى إلى حركة المذبوح فحكمه حكم الميت وإن اضطرب</w:t>
      </w:r>
      <w:r>
        <w:rPr>
          <w:rStyle w:val="FootnoteReference"/>
        </w:rPr>
        <w:footnoteReference w:id="46"/>
      </w:r>
      <w:r>
        <w:rPr>
          <w:rStyle w:val="FootnoteReference"/>
        </w:rPr>
        <w:footnoteReference w:id="47"/>
      </w:r>
      <w:r>
        <w:rPr>
          <w:rFonts w:ascii="Simplified Arabic" w:cs="Simplified Arabic" w:eastAsia="Simplified Arabic" w:hAnsi="Simplified Arabic"/>
          <w:b w:val="false"/>
          <w:bCs w:val="false"/>
          <w:sz w:val="28"/>
          <w:szCs w:val="28"/>
          <w:rtl/>
        </w:rPr>
        <w:t xml:space="preserve">. وهذا التقسيم القديم هو أقرب أدوات الفقه الموروث إلى نازلتنا: إذ السؤال الجوهريّ هو: هل حياة الميت دماغيًّا على الأجهزة حياة مستقرّة أم هي دون حركة المذبوح؟</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الخامس عشر: الروح.</w:t>
      </w:r>
    </w:p>
    <w:p>
      <w:pPr>
        <w:bidi/>
        <w:spacing w:after="0" w:line="480"/>
        <w:jc w:val="both"/>
      </w:pPr>
      <w:r>
        <w:rPr>
          <w:rFonts w:ascii="Simplified Arabic" w:cs="Simplified Arabic" w:eastAsia="Simplified Arabic" w:hAnsi="Simplified Arabic"/>
          <w:b w:val="false"/>
          <w:bCs w:val="false"/>
          <w:sz w:val="28"/>
          <w:szCs w:val="28"/>
          <w:rtl/>
        </w:rPr>
        <w:t xml:space="preserve">الروح في اللغة: النفس والنفَس، ومنه الرَّوح والراحة</w:t>
      </w:r>
      <w:r>
        <w:rPr>
          <w:rStyle w:val="FootnoteReference"/>
        </w:rPr>
        <w:footnoteReference w:id="48"/>
      </w:r>
      <w:r>
        <w:rPr>
          <w:rFonts w:ascii="Simplified Arabic" w:cs="Simplified Arabic" w:eastAsia="Simplified Arabic" w:hAnsi="Simplified Arabic"/>
          <w:b w:val="false"/>
          <w:bCs w:val="false"/>
          <w:sz w:val="28"/>
          <w:szCs w:val="28"/>
          <w:rtl/>
        </w:rPr>
        <w:t xml:space="preserve">. وفي الاصطلاح: اللطيفة العالمة المدرِكة من الإنسان، التي بها الحياة والإدراك</w:t>
      </w:r>
      <w:r>
        <w:rPr>
          <w:rStyle w:val="FootnoteReference"/>
        </w:rPr>
        <w:footnoteReference w:id="49"/>
      </w:r>
      <w:r>
        <w:rPr>
          <w:rFonts w:ascii="Simplified Arabic" w:cs="Simplified Arabic" w:eastAsia="Simplified Arabic" w:hAnsi="Simplified Arabic"/>
          <w:b w:val="false"/>
          <w:bCs w:val="false"/>
          <w:sz w:val="28"/>
          <w:szCs w:val="28"/>
          <w:rtl/>
        </w:rPr>
        <w:t xml:space="preserve">. وقد استأثر الله بعلم حقيقتها، قال تعالى: </w:t>
      </w:r>
      <w:r>
        <w:rPr>
          <w:rFonts w:ascii="Simplified Arabic" w:cs="Simplified Arabic" w:eastAsia="Simplified Arabic" w:hAnsi="Simplified Arabic"/>
          <w:b/>
          <w:bCs/>
          <w:sz w:val="28"/>
          <w:szCs w:val="28"/>
          <w:rtl/>
        </w:rPr>
        <w:t xml:space="preserve">﴿وَيَسْأَلُونَكَ عَنِ الرُّوحِ قُلِ الرُّوحُ مِنْ أَمْرِ رَبِّي﴾</w:t>
      </w:r>
      <w:r>
        <w:rPr>
          <w:rFonts w:ascii="Simplified Arabic" w:cs="Simplified Arabic" w:eastAsia="Simplified Arabic" w:hAnsi="Simplified Arabic"/>
          <w:b w:val="false"/>
          <w:bCs w:val="false"/>
          <w:sz w:val="28"/>
          <w:szCs w:val="28"/>
          <w:rtl/>
        </w:rPr>
        <w:t xml:space="preserve"> (الإسراء: 85)؛ ولذلك عرّف الفقهاء الموتَ بأثر مفارقتها للبدن لا بحقيقتها.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السادس عشر: الوفاة.</w:t>
      </w:r>
    </w:p>
    <w:p>
      <w:pPr>
        <w:bidi/>
        <w:spacing w:after="0" w:line="480"/>
        <w:jc w:val="both"/>
      </w:pPr>
      <w:r>
        <w:rPr>
          <w:rFonts w:ascii="Simplified Arabic" w:cs="Simplified Arabic" w:eastAsia="Simplified Arabic" w:hAnsi="Simplified Arabic"/>
          <w:b w:val="false"/>
          <w:bCs w:val="false"/>
          <w:sz w:val="28"/>
          <w:szCs w:val="28"/>
          <w:rtl/>
        </w:rPr>
        <w:t xml:space="preserve">الوفاة في اللغة: من الوفاء والاستيفاء، لأنّ الميت استوفى أجله ومدّته</w:t>
      </w:r>
      <w:r>
        <w:rPr>
          <w:rStyle w:val="FootnoteReference"/>
        </w:rPr>
        <w:footnoteReference w:id="50"/>
      </w:r>
      <w:r>
        <w:rPr>
          <w:rFonts w:ascii="Simplified Arabic" w:cs="Simplified Arabic" w:eastAsia="Simplified Arabic" w:hAnsi="Simplified Arabic"/>
          <w:b w:val="false"/>
          <w:bCs w:val="false"/>
          <w:sz w:val="28"/>
          <w:szCs w:val="28"/>
          <w:rtl/>
        </w:rPr>
        <w:t xml:space="preserve">. وفي التنزيل: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وهي في الاصطلاح الشرعيّ مرادفة للموت: مفارقة الروح للبدن مفارقةً تامّة، وبها تتعلق أحكام التركة والعدّة والتجهيز.</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السابع عشر: حرمة الميت.</w:t>
      </w:r>
    </w:p>
    <w:p>
      <w:pPr>
        <w:bidi/>
        <w:spacing w:after="0" w:line="480"/>
        <w:jc w:val="both"/>
      </w:pPr>
      <w:r>
        <w:rPr>
          <w:rFonts w:ascii="Simplified Arabic" w:cs="Simplified Arabic" w:eastAsia="Simplified Arabic" w:hAnsi="Simplified Arabic"/>
          <w:b w:val="false"/>
          <w:bCs w:val="false"/>
          <w:sz w:val="28"/>
          <w:szCs w:val="28"/>
          <w:rtl/>
        </w:rPr>
        <w:t xml:space="preserve">الحرمة في اللغة: ما لا يحلّ انتهاكه</w:t>
      </w:r>
      <w:r>
        <w:rPr>
          <w:rStyle w:val="FootnoteReference"/>
        </w:rPr>
        <w:footnoteReference w:id="51"/>
      </w:r>
      <w:r>
        <w:rPr>
          <w:rFonts w:ascii="Simplified Arabic" w:cs="Simplified Arabic" w:eastAsia="Simplified Arabic" w:hAnsi="Simplified Arabic"/>
          <w:b w:val="false"/>
          <w:bCs w:val="false"/>
          <w:sz w:val="28"/>
          <w:szCs w:val="28"/>
          <w:rtl/>
        </w:rPr>
        <w:t xml:space="preserve">. وحرمة الميت شرعًا: صيانة جسده وكرامته عن كلّ اعتداء أو امتهان، وأصلها قوله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52"/>
      </w:r>
      <w:r>
        <w:rPr>
          <w:rFonts w:ascii="Simplified Arabic" w:cs="Simplified Arabic" w:eastAsia="Simplified Arabic" w:hAnsi="Simplified Arabic"/>
          <w:b w:val="false"/>
          <w:bCs w:val="false"/>
          <w:sz w:val="28"/>
          <w:szCs w:val="28"/>
          <w:rtl/>
        </w:rPr>
        <w:t xml:space="preserve">. وهذا المصطلح يظهر في البحث في موضعين متقابلين: فالمعارضون للنزع يحتجّون بالحرمة لإبقاء الأجهزة، والمؤيّدون يحتجّون بها نفسِها لرفعها، لأنّ في تعليق الجثمان على الآلات عبثًا به وتأخيرًا لإكرامه بالدفن.</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الثامن عشر: المريض الميؤوس من شفائه.</w:t>
      </w:r>
    </w:p>
    <w:p>
      <w:pPr>
        <w:bidi/>
        <w:spacing w:after="0" w:line="480"/>
        <w:jc w:val="both"/>
      </w:pPr>
      <w:r>
        <w:rPr>
          <w:rFonts w:ascii="Simplified Arabic" w:cs="Simplified Arabic" w:eastAsia="Simplified Arabic" w:hAnsi="Simplified Arabic"/>
          <w:b w:val="false"/>
          <w:bCs w:val="false"/>
          <w:sz w:val="28"/>
          <w:szCs w:val="28"/>
          <w:rtl/>
        </w:rPr>
        <w:t xml:space="preserve">هو في سياق نازلتنا: المريض الذي تعطّلت جميع وظائف دماغه تعطّلًا نهائيًّا، وحكم الأطباء الاختصاصيّون الخبراء بأنّ هذا التعطّل لا رجعة فيه، وأخذ دماغه في التحلّل، وإن كان قلبه لا يزال نابضًا بفعل الأجهزة؛ وهذا هو الضابط الذي اعتمده مجمع الفقه الإسلاميّ الدوليّ في قراره بشأن أجهزة الإنعاش</w:t>
      </w:r>
      <w:r>
        <w:rPr>
          <w:rStyle w:val="FootnoteReference"/>
        </w:rPr>
        <w:footnoteReference w:id="53"/>
      </w:r>
      <w:r>
        <w:rPr>
          <w:rFonts w:ascii="Simplified Arabic" w:cs="Simplified Arabic" w:eastAsia="Simplified Arabic" w:hAnsi="Simplified Arabic"/>
          <w:b w:val="false"/>
          <w:bCs w:val="false"/>
          <w:sz w:val="28"/>
          <w:szCs w:val="28"/>
          <w:rtl/>
        </w:rPr>
        <w:t xml:space="preserve">. ويخرج بهذا القيد المريضُ المشرِف على الموت بأمراض مزمنة مع سلامة دماغه، فليس من موضوع بحثنا.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التاسع عشر: الضرر والضرورة الشرعيّة.</w:t>
      </w:r>
    </w:p>
    <w:p>
      <w:pPr>
        <w:bidi/>
        <w:spacing w:after="0" w:line="480"/>
        <w:jc w:val="both"/>
      </w:pPr>
      <w:r>
        <w:rPr>
          <w:rFonts w:ascii="Simplified Arabic" w:cs="Simplified Arabic" w:eastAsia="Simplified Arabic" w:hAnsi="Simplified Arabic"/>
          <w:b w:val="false"/>
          <w:bCs w:val="false"/>
          <w:sz w:val="28"/>
          <w:szCs w:val="28"/>
          <w:rtl/>
        </w:rPr>
        <w:t xml:space="preserve">الضرر في اللغة: ضدّ النفع</w:t>
      </w:r>
      <w:r>
        <w:rPr>
          <w:rStyle w:val="FootnoteReference"/>
        </w:rPr>
        <w:footnoteReference w:id="54"/>
      </w:r>
      <w:r>
        <w:rPr>
          <w:rFonts w:ascii="Simplified Arabic" w:cs="Simplified Arabic" w:eastAsia="Simplified Arabic" w:hAnsi="Simplified Arabic"/>
          <w:b w:val="false"/>
          <w:bCs w:val="false"/>
          <w:sz w:val="28"/>
          <w:szCs w:val="28"/>
          <w:rtl/>
        </w:rPr>
        <w:t xml:space="preserve">، وأصله الشرعيّ 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55"/>
      </w:r>
      <w:r>
        <w:rPr>
          <w:rFonts w:ascii="Simplified Arabic" w:cs="Simplified Arabic" w:eastAsia="Simplified Arabic" w:hAnsi="Simplified Arabic"/>
          <w:b w:val="false"/>
          <w:bCs w:val="false"/>
          <w:sz w:val="28"/>
          <w:szCs w:val="28"/>
          <w:rtl/>
        </w:rPr>
        <w:t xml:space="preserve">. والضرورة: بلوغ الإنسان حدًّا إن لم يتناول الممنوع هلك أو قارب، وعليها بُنيت قاعدة "الضرورات تبيح المحظورات" وأخواتها</w:t>
      </w:r>
      <w:r>
        <w:rPr>
          <w:rStyle w:val="FootnoteReference"/>
        </w:rPr>
        <w:footnoteReference w:id="56"/>
      </w:r>
      <w:r>
        <w:rPr>
          <w:rFonts w:ascii="Simplified Arabic" w:cs="Simplified Arabic" w:eastAsia="Simplified Arabic" w:hAnsi="Simplified Arabic"/>
          <w:b w:val="false"/>
          <w:bCs w:val="false"/>
          <w:sz w:val="28"/>
          <w:szCs w:val="28"/>
          <w:rtl/>
        </w:rPr>
        <w:t xml:space="preserve">. وهذان المصطلحان عمودا الاستدلال في الفصل الرابع: إذ يتجاذب المسألةَ ضررُ إبقاء الأجهزة على الجثمان والأهل، وضرورةُ حفظ أرواح مرضى آخرين محتاجين إليها.</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العشرون: تخطيط كهربيّة الدماغ (EEG).</w:t>
      </w:r>
    </w:p>
    <w:p>
      <w:pPr>
        <w:bidi/>
        <w:spacing w:after="0" w:line="480"/>
        <w:jc w:val="both"/>
      </w:pPr>
      <w:r>
        <w:rPr>
          <w:rFonts w:ascii="Simplified Arabic" w:cs="Simplified Arabic" w:eastAsia="Simplified Arabic" w:hAnsi="Simplified Arabic"/>
          <w:b w:val="false"/>
          <w:bCs w:val="false"/>
          <w:sz w:val="28"/>
          <w:szCs w:val="28"/>
          <w:rtl/>
        </w:rPr>
        <w:t xml:space="preserve">فحص طبيّ يسجّل النشاط الكهربائيّ لقشرة الدماغ بأقطاب توضع على فروة الرأس، ويظهر في حال الموت الدماغيّ خطًّا مستويًا يدلّ على الصمت الكهربائيّ الدماغيّ. وهو في المعايير التشخيصيّة المعتمدة فحصٌ مساعد يُلجأ إليه عند تعذّر إتمام الفحص السريريّ، لا شرطٌ مستقلّ في كلّ حالة</w:t>
      </w:r>
      <w:r>
        <w:rPr>
          <w:rStyle w:val="FootnoteReference"/>
        </w:rPr>
        <w:footnoteReference w:id="57"/>
      </w:r>
      <w:r>
        <w:rPr>
          <w:rFonts w:ascii="Simplified Arabic" w:cs="Simplified Arabic" w:eastAsia="Simplified Arabic" w:hAnsi="Simplified Arabic"/>
          <w:b w:val="false"/>
          <w:bCs w:val="false"/>
          <w:sz w:val="28"/>
          <w:szCs w:val="28"/>
          <w:rtl/>
        </w:rPr>
        <w:t xml:space="preserve">. وأهمّيته الفقهيّة أنّه أحد وسائل التثبّت التي اشترطها الفقهاء المجيزون قبل الحكم بالموت الدماغيّ.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الحادي والعشرون: اختبار انقطاع النفَس (Apnea Test).</w:t>
      </w:r>
    </w:p>
    <w:p>
      <w:pPr>
        <w:bidi/>
        <w:spacing w:after="0" w:line="480"/>
        <w:jc w:val="both"/>
      </w:pPr>
      <w:r>
        <w:rPr>
          <w:rFonts w:ascii="Simplified Arabic" w:cs="Simplified Arabic" w:eastAsia="Simplified Arabic" w:hAnsi="Simplified Arabic"/>
          <w:b w:val="false"/>
          <w:bCs w:val="false"/>
          <w:sz w:val="28"/>
          <w:szCs w:val="28"/>
          <w:rtl/>
        </w:rPr>
        <w:t xml:space="preserve">اختبار سريريّ يُفصل فيه المريض مؤقّتًا عن جهاز التنفّس الاصطناعيّ وفق ضوابط دقيقة، مع مراقبة تركيز ثاني أكسيد الكربون في الدم، للتحقّق من غياب أيّ محاولة تنفّس ذاتيّة رغم بلوغ المنبّه التنفّسيّ حدَّه الأقصى؛ وهو ركن أساسيّ في إثبات تعطّل جذع الدماغ في البروتوكولات العالميّة</w:t>
      </w:r>
      <w:r>
        <w:rPr>
          <w:rStyle w:val="FootnoteReference"/>
        </w:rPr>
        <w:footnoteReference w:id="58"/>
      </w:r>
      <w:r>
        <w:rPr>
          <w:rFonts w:ascii="Simplified Arabic" w:cs="Simplified Arabic" w:eastAsia="Simplified Arabic" w:hAnsi="Simplified Arabic"/>
          <w:b w:val="false"/>
          <w:bCs w:val="false"/>
          <w:sz w:val="28"/>
          <w:szCs w:val="28"/>
          <w:rtl/>
        </w:rPr>
        <w:t xml:space="preserve">. وثبوت هذا الاختبار بشروطه هو الذي يميّز الموت الدماغيّ الحقيقيّ عن حالات الغيبوبة العميقة القابلة للرجوع.</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والعشرون: التوجيهات الطبيّة المسبقة.</w:t>
      </w:r>
    </w:p>
    <w:p>
      <w:pPr>
        <w:bidi/>
        <w:spacing w:after="0" w:line="480"/>
        <w:jc w:val="both"/>
      </w:pPr>
      <w:r>
        <w:rPr>
          <w:rFonts w:ascii="Simplified Arabic" w:cs="Simplified Arabic" w:eastAsia="Simplified Arabic" w:hAnsi="Simplified Arabic"/>
          <w:b w:val="false"/>
          <w:bCs w:val="false"/>
          <w:sz w:val="28"/>
          <w:szCs w:val="28"/>
          <w:rtl/>
        </w:rPr>
        <w:t xml:space="preserve">وثيقة قانونيّة يعبّر فيها الإنسان الراشد مقدّمًا عن إرادته في شأن العلاجات المطيلة للحياة إذا فقد أهليّة اتخاذ القرار، ومنها موقفه من أجهزة الإنعاش. وقد نظّمها قانون المريض المحتضر الإسرائيليّ ضمن آليّات مؤسّسيّة دقيقة</w:t>
      </w:r>
      <w:r>
        <w:rPr>
          <w:rStyle w:val="FootnoteReference"/>
        </w:rPr>
        <w:footnoteReference w:id="59"/>
      </w:r>
      <w:r>
        <w:rPr>
          <w:rFonts w:ascii="Simplified Arabic" w:cs="Simplified Arabic" w:eastAsia="Simplified Arabic" w:hAnsi="Simplified Arabic"/>
          <w:b w:val="false"/>
          <w:bCs w:val="false"/>
          <w:sz w:val="28"/>
          <w:szCs w:val="28"/>
          <w:rtl/>
        </w:rPr>
        <w:t xml:space="preserve">، كما اعتمدها القانون الفرنسيّ (قانون ليونيتي) في إطار منع العناد العلاجيّ</w:t>
      </w:r>
      <w:r>
        <w:rPr>
          <w:rStyle w:val="FootnoteReference"/>
        </w:rPr>
        <w:footnoteReference w:id="60"/>
      </w:r>
      <w:r>
        <w:rPr>
          <w:rFonts w:ascii="Simplified Arabic" w:cs="Simplified Arabic" w:eastAsia="Simplified Arabic" w:hAnsi="Simplified Arabic"/>
          <w:b w:val="false"/>
          <w:bCs w:val="false"/>
          <w:sz w:val="28"/>
          <w:szCs w:val="28"/>
          <w:rtl/>
        </w:rPr>
        <w:t xml:space="preserve">. وسيأتي في الفصل الرابع والملحق بيان موقعها من الاعتبار الشرعيّ.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هذه المصطلحات العشرة المضافة، أعتقد أنّ الجمع بين المعجمين الفقهيّ (الحياة المستقرّة، الحرمة، الضرورة) والطبيّ-القانونيّ (التخطيط الدماغيّ، اختبار النفَس، التوجيهات المسبقة) يكشف أنّ لكلّ علمٍ أدواتِ ضبطٍ لموضوعه، وأنّ النازلة لا تُحرَّر إلا بإحكام الجسور بين هذه الأدوات، وهو ما تسعى إليه الفصول الآتية.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80" w:line="30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80" w:line="30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80" w:line="30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الموت وعلاماته قبل ظهور أجهزة الإنعاش.</w:t>
      </w:r>
    </w:p>
    <w:p>
      <w:pPr>
        <w:bidi/>
        <w:spacing w:after="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61"/>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6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63"/>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64"/>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65"/>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66"/>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67"/>
      </w:r>
      <w:r>
        <w:rPr>
          <w:rStyle w:val="FootnoteReference"/>
        </w:rPr>
        <w:footnoteReference w:id="68"/>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69"/>
      </w:r>
      <w:r>
        <w:rPr>
          <w:rStyle w:val="FootnoteReference"/>
        </w:rPr>
        <w:footnoteReference w:id="70"/>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71"/>
      </w:r>
      <w:r>
        <w:rPr>
          <w:rStyle w:val="FootnoteReference"/>
        </w:rPr>
        <w:footnoteReference w:id="72"/>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7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كتب المذاهب في علامات الموت، أرى أنّ الفقهاء المتقدّمين لم يجعلوا العلامات تعبّديّة جامدة، بل علّلوها بحصول اليقين بمفارقة الحياة؛ ومن هنا كان بابهم مفتوحًا من حيث المبدأ لكلّ وسيلة تثبّت جديدة تفيد اليقين نفسه، وهذه ملاحظة تخفّف من غرابة النازلة المعاصرة.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ظهور الإنعاش الصناعيّ والعناية المركّزة في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7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76"/>
      </w:r>
      <w:r>
        <w:rPr>
          <w:rStyle w:val="FootnoteReference"/>
        </w:rPr>
        <w:footnoteReference w:id="77"/>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78"/>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قصّة وباء كوبنهاغن وما تلاها، أعتقد أنّ ولادة العناية المركّزة كانت لحظة انقلاب مفهوميّ لا تقنيّ فحسب: فلأوّل مرّة في التاريخ صار بالإمكان فصلُ وظيفة التنفّس عن أمر الدماغ، وبهذا الفصل تحديدًا نشأ الكائن الجديد الذي حار فيه الفقه والقانون: جسدٌ يتنفّس ودماغٌ قد مات.</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دخول المسألة الفقه الإسلاميّ المعاصر.</w:t>
      </w:r>
    </w:p>
    <w:p>
      <w:pPr>
        <w:bidi/>
        <w:spacing w:after="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80"/>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82"/>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83"/>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مسار دخول النازلة إلى المجامع الفقهيّة، أرى أنّ تتابع المحطّات من سؤال عمّان إلى قرار المجمع يعكس سنّة المجامع في التأنّي: عرضٌ طبّيّ، فمداولة، فتأجيل، فقرار؛ وهذا التدرّج معلومة منهجيّة تفسّر لماذا جاء القرار مركّبًا يجمع بين العلامتين القلبيّة والدماغيّة.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الموت في نصوص الكتاب والسنّة.</w:t>
      </w:r>
    </w:p>
    <w:p>
      <w:pPr>
        <w:bidi/>
        <w:spacing w:after="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85"/>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نصوص الوحي في الموت، أعتقد أنّ القرآن قصد إلى بيان حقيقة الموت ومصير الإنسان لا إلى تحديد علاماته الإكلينيكيّة، وترك تشخيص الواقعة لأهل الخبرة في كلّ عصر؛ وهذا التقسيم بين ما يُتلقّى من الوحي وما يُتلقّى من التجربة هو مفتاح الجمع بين النصّ والطبّ في نازلتنا.</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الثاني: الموت وأحكامه في 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80" w:line="30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80" w:line="30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الموت وتحديده في الشريعة اليهوديّة.</w:t>
      </w:r>
    </w:p>
    <w:p>
      <w:pPr>
        <w:bidi/>
        <w:spacing w:after="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86"/>
      </w:r>
      <w:r>
        <w:rPr>
          <w:rStyle w:val="FootnoteReference"/>
        </w:rPr>
        <w:footnoteReference w:id="8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88"/>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الموقف اليهوديّ، أرى أنّ الجدل داخل المدرسة الواحدة بين اعتماد توقّف التنفّس واعتماد موت جذع الدماغ يشبه إلى حدّ بعيد جدلنا الفقهيّ الداخليّ؛ واللافت أنّ قانون المريض المحتضر الإسرائيليّ صيغ بلجنة شارك فيها رجال دين وأطباء وقانونيّون، وهو نموذج تشريعيّ لتوطين الخلاف الدينيّ داخل نصّ قانونيّ واحد.</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الموت والوسائل الاستثنائيّة في المسيحيّة.</w:t>
      </w:r>
    </w:p>
    <w:p>
      <w:pPr>
        <w:bidi/>
        <w:spacing w:after="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89"/>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90"/>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الموقف المسيحيّ، أعتقد أنّ تفريق اللاهوت الكاثوليكيّ بين الوسائل العاديّة والوسائل الاستثنائيّة في العلاج من أنفع المفاهيم المقارنة لبحثي؛ فهو يقابل عند فقهائنا التفريقَ بين التداوي المشروع والتكلّف المرفوع، ويدلّ على أنّ الشرائع تلتقي في رفض العناد العلاجيّ العبثيّ.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التشريعات الوضعيّة القديمة.</w:t>
      </w:r>
    </w:p>
    <w:p>
      <w:pPr>
        <w:bidi/>
        <w:spacing w:after="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91"/>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92"/>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وفيه ستة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80" w:line="30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80" w:line="30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80" w:line="30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80" w:line="30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80" w:line="30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الأوّل: الآثار الفقهيّة</w:t>
      </w:r>
    </w:p>
    <w:p>
      <w:pPr>
        <w:bidi/>
        <w:spacing w:after="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9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9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98"/>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الفقهيّة المذكورة، أرى أنّ أوسعها أثرًا في حياة الناس أحكامُ العدّة والإرث؛ لأنّ تحديد لحظة الوفاة يقدّم أو يؤخّر بدءَ العدّة ودخولَ وارثٍ في الورثة، فالمسألة ليست ترفًا نظريًّا بل تمسّ ذمم الناس وأنسابهم وأموالهم.</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الثاني: الآثار الطبيّة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10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الطبيّة، أعتقد أنّ أهمّ معلومة فيها أنّ أسرّة العناية المركّزة موارد شحيحة قابلة للاستنزاف، وأنّ كلّ سرير يشغله من ثبت موت دماغه قد يعني حرمان مريضٍ قابلٍ للإنقاذ؛ وبهذه المعلومة يتحوّل السؤال من شأن فرديّ بين طبيب وأسرة إلى سؤال عدالة توزيعيّة عامّة.</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الثالث: الآثار الاجتماعيّة والنفسيّة</w:t>
      </w:r>
    </w:p>
    <w:p>
      <w:pPr>
        <w:bidi/>
        <w:spacing w:after="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103"/>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105"/>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الاجتماعيّة والنفسيّة، أرى أنّ ظاهرة (الحداد المعلّق) التي تعيشها الأسرة بين موتٍ معلنٍ طبّيًّا وقلبٍ نابضٍ أمام أعينها من أدقّ ما ينبغي أن يستحضره المفتي؛ لأنّ الفتوى هنا لا تخاطب عقلًا مجرّدًا، بل قلوبًا واقفةً عند سرير.</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الرابع: الآثار القانونيّة</w:t>
      </w:r>
    </w:p>
    <w:p>
      <w:pPr>
        <w:bidi/>
        <w:spacing w:after="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106"/>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107"/>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109"/>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القانونيّة، أعتقد أنّ أخطرها مسألة توقيت الوفاة في السجلّ الرسميّ؛ لأنّه يتفرّع عنه تاريخ فتح التركة وصحّة التصرّفات، ومع اختلاف الدول في اعتماد الموت الدماغيّ قد يُعدّ الإنسان ميتًا في دولة حيًّا في أخرى، وهي مفارقة تشريعيّة تستدعي التنسيق بين المشرّعين.</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الخامس: الآثار الاقتصاديّة</w:t>
      </w:r>
    </w:p>
    <w:p>
      <w:pPr>
        <w:bidi/>
        <w:spacing w:after="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11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الآثار الاقتصاديّة، أرى أنّ أرقام كلفة اليوم الواحد في العناية المركّزة تعطي مقصد حفظ المال حضورًا ملموسًا في النازلة؛ غير أنّ المعلومة تحتاج ضبطًا: فالكلفة وحدها ليست مسوّغًا للنزع عند أحد من الفقهاء، وإنما تنضمّ قرينةً إلى انعدام جدوى العلاج.</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السادس: الآثار العلميّة والتقنيّة</w:t>
      </w:r>
    </w:p>
    <w:p>
      <w:pPr>
        <w:bidi/>
        <w:spacing w:after="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112"/>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113"/>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مجموع آثار هذا الفصل الستّة، أعتقد أنّ اجتماعها يفسّر وصف الباحثين للمسألة بأنها نازلة مركّبة: فليس في أبواب الفقه بابٌ إلا وله فيها نصيب، من الطهارة والجنائز إلى الجنايات والمعاملات؛ وهذا التركّب هو الذي يوجب فيها الاجتهاد الجماعيّ لا الفتوى الفرديّة.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80" w:line="300"/>
        <w:jc w:val="center"/>
      </w:pPr>
      <w:r>
        <w:rPr>
          <w:rFonts w:ascii="Simplified Arabic" w:cs="Simplified Arabic" w:eastAsia="Simplified Arabic" w:hAnsi="Simplified Arabic"/>
          <w:b/>
          <w:bCs/>
          <w:sz w:val="28"/>
          <w:szCs w:val="28"/>
          <w:rtl/>
        </w:rPr>
        <w:t xml:space="preserve">وفيه أربعة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تصوير المسألة.</w:t>
      </w:r>
    </w:p>
    <w:p>
      <w:pPr>
        <w:bidi/>
        <w:spacing w:after="60" w:before="120" w:line="360"/>
        <w:jc w:val="right"/>
      </w:pPr>
      <w:r>
        <w:rPr>
          <w:rFonts w:ascii="Simplified Arabic" w:cs="Simplified Arabic" w:eastAsia="Simplified Arabic" w:hAnsi="Simplified Arabic"/>
          <w:b/>
          <w:bCs/>
          <w:sz w:val="32"/>
          <w:szCs w:val="32"/>
          <w:rtl/>
        </w:rPr>
        <w:t xml:space="preserve">الفرع الأوّل: صورة المسألة طبًّا.</w:t>
      </w:r>
    </w:p>
    <w:p>
      <w:pPr>
        <w:bidi/>
        <w:spacing w:after="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صورة المسألة طبًّا، أرى أنّ حجر الزاوية في التصوير هو معلومة اللارجعة؛ فكلّ أدلّة الفريقين تتوقّف على السؤال: هل التعطّل نهائيّ حقًّا؟ ولهذا كان تحقيق المناط الطبّيّ مقدَّمًا في الرتبة على الاستدلال الشرعيّ نفسه.</w:t>
      </w:r>
    </w:p>
    <w:p>
      <w:pPr>
        <w:bidi/>
        <w:spacing w:after="60" w:before="120" w:line="360"/>
        <w:jc w:val="right"/>
      </w:pPr>
      <w:r>
        <w:rPr>
          <w:rFonts w:ascii="Simplified Arabic" w:cs="Simplified Arabic" w:eastAsia="Simplified Arabic" w:hAnsi="Simplified Arabic"/>
          <w:b/>
          <w:bCs/>
          <w:sz w:val="32"/>
          <w:szCs w:val="32"/>
          <w:rtl/>
        </w:rPr>
        <w:t xml:space="preserve">الفرع الثاني: صورة المسألة فقهًا.</w:t>
      </w:r>
    </w:p>
    <w:p>
      <w:pPr>
        <w:bidi/>
        <w:spacing w:after="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11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الثالث: صور تطبيقيّة ثلاث تتميّز بها المسألة.</w:t>
      </w:r>
    </w:p>
    <w:p>
      <w:pPr>
        <w:bidi/>
        <w:spacing w:after="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مقاصد الشريعة الإسلاميّة في المسألة.</w:t>
      </w:r>
    </w:p>
    <w:p>
      <w:pPr>
        <w:bidi/>
        <w:spacing w:after="60" w:before="120" w:line="360"/>
        <w:jc w:val="right"/>
      </w:pPr>
      <w:r>
        <w:rPr>
          <w:rFonts w:ascii="Simplified Arabic" w:cs="Simplified Arabic" w:eastAsia="Simplified Arabic" w:hAnsi="Simplified Arabic"/>
          <w:b/>
          <w:bCs/>
          <w:sz w:val="32"/>
          <w:szCs w:val="32"/>
          <w:rtl/>
        </w:rPr>
        <w:t xml:space="preserve">الفرع الأوّل: مقصد حفظ الدين.</w:t>
      </w:r>
    </w:p>
    <w:p>
      <w:pPr>
        <w:bidi/>
        <w:spacing w:after="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مقصد حفظ النفس.</w:t>
      </w:r>
    </w:p>
    <w:p>
      <w:pPr>
        <w:bidi/>
        <w:spacing w:after="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1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الثالث: مقصد حفظ المال.</w:t>
      </w:r>
    </w:p>
    <w:p>
      <w:pPr>
        <w:bidi/>
        <w:spacing w:after="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19"/>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60" w:before="120" w:line="360"/>
        <w:jc w:val="right"/>
      </w:pPr>
      <w:r>
        <w:rPr>
          <w:rFonts w:ascii="Simplified Arabic" w:cs="Simplified Arabic" w:eastAsia="Simplified Arabic" w:hAnsi="Simplified Arabic"/>
          <w:b/>
          <w:bCs/>
          <w:sz w:val="32"/>
          <w:szCs w:val="32"/>
          <w:rtl/>
        </w:rPr>
        <w:t xml:space="preserve">الفرع الرابع: مقصد حفظ الكرامة الإنسانيّة.</w:t>
      </w:r>
    </w:p>
    <w:p>
      <w:pPr>
        <w:bidi/>
        <w:spacing w:after="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2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ربط المسألة بمقصد حفظ النفس، أعتقد أنّ المقصد يعمل هنا في اتجاهين متقابلين في آن واحد: صيانة نفس هذا المصاب عن التعجّل، وصيانة أنفس مرضى آخرين تُحجز عنهم الأجهزة؛ وقلَّ أن تجد نازلة يتجاذب فيها المقصد الواحد طرفي الحكم بهذا الوضوح.</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فلسفة مقاصد الشريعة الإسلاميّة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21"/>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2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فلسفة المقاصد في المسألة، أرى أنّ ميزان الكلّيّات الخمس لا يعمل في النوازل عملَ قائمة جامدة، بل عملَ منظومة تتفاعل: فحفظ النفس يتقاطع مع حفظ المال في كلفة العلاج، ومع حفظ الدين في أحكام الجنازة؛ وإدراك هذا التفاعل يعصم من اختزال النازلة في مقصد واحد.</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ربط المسألة بالواقع.</w:t>
      </w:r>
    </w:p>
    <w:p>
      <w:pPr>
        <w:bidi/>
        <w:spacing w:after="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24"/>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صور الواقع المعروضة، أعتقد أنّ أنفع ما في هذا المطلب بيانُ أنّ النازلة ليست افتراضًا مدرسيًّا: فالوقائع المنشورة من المستشفيات، وقضايا المحاكم، وأسئلة الناس لدور الإفتاء، كلّها شواهد على أنّ آلاف الأسر تقف سنويًّا أمام هذا السؤال بعينه.</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80" w:line="30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80" w:line="30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80" w:line="30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80" w:line="30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بيان محلّ الاتفاق.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2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2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مواضع الاتفاق الأربعة، أرى أنّ أوّل فوائد تحريرها إسقاطُ صورتين شائعتين لا وجود لهما في النزاع: فلا أحد من الفقهاء يجيز قتل المريض بفعل إيجابيّ، ولا أحد يوجب إبقاء الأجهزة على من مات موتًا مستقرًّا؛ فالنزاع الحقيقيّ أضيق كثيرًا ممّا يظنّه العامّة.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بيان محلّ النزاع.</w:t>
      </w:r>
    </w:p>
    <w:p>
      <w:pPr>
        <w:bidi/>
        <w:spacing w:after="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تحرير محلّ النزاع، أعتقد أنّ حصر الخلاف في نقطة واحدة (هل الموت الدماغيّ موت شرعًا؟) هو أثمن خطوة منهجيّة في البحث كلّه؛ لأنّ الفروع الأخرى - النزع، والتوقيت، والمسؤوليّة - تنحلّ كلّها تبعًا لحلّ هذه النقطة.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أسباب الاختلاف.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أسباب الاختلاف، أرى أنّ أعمقها أثرًا اختلافُ الفقهاء في مصدر تعريف الموت: أهو حقيقة شرعيّة تؤخذ من النصوص، أم حقيقة تجريبيّة يُرجع فيها لأهل الخبرة؟ وهذا خلاف أصوليّ في مرجعيّة التعريف قبل أن يكون خلافًا في الطبّ.</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التكييف الفقهيّ.</w:t>
      </w:r>
    </w:p>
    <w:p>
      <w:pPr>
        <w:bidi/>
        <w:spacing w:after="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التكييفات المعروضة، أعتقد أنّ تردّد النازلة بين أبواب فقهيّة عدّة - الجنايات والجنائز والتداوي والسياسة الشرعيّة - ليس عيبًا في التكييف، بل هو طبيعة النوازل المركّبة؛ والفقيه المحقّق يأخذ من كلّ باب حظّه بدل أن يقسر المسألة كلّها في باب واحد.</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الخامس: الأدلّة العامّة والقواعد الفقهيّة المتعلقة بالمسألة.</w:t>
      </w:r>
    </w:p>
    <w:p>
      <w:pPr>
        <w:bidi/>
        <w:spacing w:after="60" w:before="120" w:line="360"/>
        <w:jc w:val="right"/>
      </w:pPr>
      <w:r>
        <w:rPr>
          <w:rFonts w:ascii="Simplified Arabic" w:cs="Simplified Arabic" w:eastAsia="Simplified Arabic" w:hAnsi="Simplified Arabic"/>
          <w:b/>
          <w:bCs/>
          <w:sz w:val="32"/>
          <w:szCs w:val="32"/>
          <w:rtl/>
        </w:rPr>
        <w:t xml:space="preserve">الفرع الأوّل: الآيات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الأحاديث المتعلقة بالمسألة ووجه الاستدلال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29"/>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30"/>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31"/>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60" w:before="120" w:line="360"/>
        <w:jc w:val="right"/>
      </w:pPr>
      <w:r>
        <w:rPr>
          <w:rFonts w:ascii="Simplified Arabic" w:cs="Simplified Arabic" w:eastAsia="Simplified Arabic" w:hAnsi="Simplified Arabic"/>
          <w:b/>
          <w:bCs/>
          <w:sz w:val="32"/>
          <w:szCs w:val="32"/>
          <w:rtl/>
        </w:rPr>
        <w:t xml:space="preserve">الفرع الثالث: القواعد الفقهيّة المتعلقة بالمسألة وتطبيقها.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3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60" w:before="120" w:line="360"/>
        <w:jc w:val="right"/>
      </w:pPr>
      <w:r>
        <w:rPr>
          <w:rFonts w:ascii="Simplified Arabic" w:cs="Simplified Arabic" w:eastAsia="Simplified Arabic" w:hAnsi="Simplified Arabic"/>
          <w:b/>
          <w:bCs/>
          <w:sz w:val="32"/>
          <w:szCs w:val="32"/>
          <w:rtl/>
        </w:rPr>
        <w:t xml:space="preserve">الفرع الرابع: أدلّة أصوليّة تكميليّة: الاستصحاب وسدّ الذرائع والعرف.</w:t>
      </w:r>
    </w:p>
    <w:p>
      <w:pPr>
        <w:bidi/>
        <w:spacing w:after="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34"/>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3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الخامس: تحرير الفرق بين عدم تركيب الأجهزة ابتداءً ورفعها بعد التركيب.</w:t>
      </w:r>
    </w:p>
    <w:p>
      <w:pPr>
        <w:bidi/>
        <w:spacing w:after="0" w:line="480"/>
        <w:jc w:val="both"/>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36"/>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الأدلّة العامّة والقواعد، أرى أنّ القواعد الفقهيّة تعمل في هذه النازلة عملَ الميزان لا عملَ الدليل المستقلّ: فقاعدة اليقين لا يزول بالشكّ لا تحسم شيئًا حتى يتحرّر: أين اليقين هنا؟ أهو يقين الحياة السابقة أم يقين التلف الدماغيّ الثابت بالفحص؟ فالمدار على تحقيق المناط.</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80" w:line="30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38"/>
      </w:r>
      <w:r>
        <w:rPr>
          <w:rStyle w:val="FootnoteReference"/>
        </w:rPr>
        <w:footnoteReference w:id="139"/>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40"/>
      </w:r>
      <w:r>
        <w:rPr>
          <w:rFonts w:ascii="Simplified Arabic" w:cs="Simplified Arabic" w:eastAsia="Simplified Arabic" w:hAnsi="Simplified Arabic"/>
          <w:b w:val="false"/>
          <w:bCs w:val="false"/>
          <w:sz w:val="28"/>
          <w:szCs w:val="28"/>
          <w:rtl/>
        </w:rPr>
        <w:t xml:space="preserve">.</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بيان أقوال الفقهاء المؤيّدين (لجواز النزع) وأدلّتهم ومناقشتها.</w:t>
      </w:r>
    </w:p>
    <w:p>
      <w:pPr>
        <w:bidi/>
        <w:spacing w:after="60" w:before="120" w:line="360"/>
        <w:jc w:val="right"/>
      </w:pPr>
      <w:r>
        <w:rPr>
          <w:rFonts w:ascii="Simplified Arabic" w:cs="Simplified Arabic" w:eastAsia="Simplified Arabic" w:hAnsi="Simplified Arabic"/>
          <w:b/>
          <w:bCs/>
          <w:sz w:val="32"/>
          <w:szCs w:val="32"/>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41"/>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43"/>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44"/>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60" w:before="120" w:line="360"/>
        <w:jc w:val="right"/>
      </w:pPr>
      <w:r>
        <w:rPr>
          <w:rFonts w:ascii="Simplified Arabic" w:cs="Simplified Arabic" w:eastAsia="Simplified Arabic" w:hAnsi="Simplified Arabic"/>
          <w:b/>
          <w:bCs/>
          <w:sz w:val="32"/>
          <w:szCs w:val="32"/>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المجيزين، أعتقد أنّ أقواها ما جمع بين النقل والواقع: الاستدلال بمناط الحياة المستقرّة الموروث من الفقه القديم مضمومًا إلى المعطى الطبّيّ الحديث في اللارجعة؛ وأمّا الاستدلال بالضرر والمصلحة وحده فقوّته تابعة لثبوت الموت لا مستقلّة عنه.</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بيان أقوال الفقهاء المعارضين وأدلّتهم ومناقشتها.</w:t>
      </w:r>
    </w:p>
    <w:p>
      <w:pPr>
        <w:bidi/>
        <w:spacing w:after="60" w:before="120" w:line="360"/>
        <w:jc w:val="right"/>
      </w:pPr>
      <w:r>
        <w:rPr>
          <w:rFonts w:ascii="Simplified Arabic" w:cs="Simplified Arabic" w:eastAsia="Simplified Arabic" w:hAnsi="Simplified Arabic"/>
          <w:b/>
          <w:bCs/>
          <w:sz w:val="32"/>
          <w:szCs w:val="32"/>
          <w:rtl/>
        </w:rPr>
        <w:t xml:space="preserve">الفرع الأوّل: أقوالهم.</w:t>
      </w:r>
    </w:p>
    <w:p>
      <w:pPr>
        <w:bidi/>
        <w:spacing w:after="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48"/>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أدلّتهم.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60" w:before="120" w:line="360"/>
        <w:jc w:val="right"/>
      </w:pPr>
      <w:r>
        <w:rPr>
          <w:rFonts w:ascii="Simplified Arabic" w:cs="Simplified Arabic" w:eastAsia="Simplified Arabic" w:hAnsi="Simplified Arabic"/>
          <w:b/>
          <w:bCs/>
          <w:sz w:val="32"/>
          <w:szCs w:val="32"/>
          <w:rtl/>
        </w:rPr>
        <w:t xml:space="preserve">الفرع الثالث: مناقشة أدلّتهم.</w:t>
      </w:r>
    </w:p>
    <w:p>
      <w:pPr>
        <w:bidi/>
        <w:spacing w:after="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51"/>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52"/>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53"/>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أدلّة المانعين، أرى أنّ مركزها جميعًا الاحتياطُ للنفس المعصومة عند الشكّ، وهو أصل شرعيّ متين في نفسه؛ وموضع الفحص إنما هو مقدّمته الواقعيّة: هل يبقى بعد استكمال الفحوص الدقيقة المتكرّرة شكٌّ معتبر تُبنى عليه أحكام الاحتياط؟</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الردّ على الأدلّة.</w:t>
      </w:r>
    </w:p>
    <w:p>
      <w:pPr>
        <w:bidi/>
        <w:spacing w:after="60" w:before="120" w:line="360"/>
        <w:jc w:val="right"/>
      </w:pPr>
      <w:r>
        <w:rPr>
          <w:rFonts w:ascii="Simplified Arabic" w:cs="Simplified Arabic" w:eastAsia="Simplified Arabic" w:hAnsi="Simplified Arabic"/>
          <w:b/>
          <w:bCs/>
          <w:sz w:val="32"/>
          <w:szCs w:val="32"/>
          <w:rtl/>
        </w:rPr>
        <w:t xml:space="preserve">الفرع الأوّل: الردّ على أدلّة المؤيّدين.</w:t>
      </w:r>
    </w:p>
    <w:p>
      <w:pPr>
        <w:bidi/>
        <w:spacing w:after="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على أدلّة المعارضين.</w:t>
      </w:r>
    </w:p>
    <w:p>
      <w:pPr>
        <w:bidi/>
        <w:spacing w:after="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5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الثالث: شبهات شائعة حول المسألة والجواب عنها.</w:t>
      </w:r>
    </w:p>
    <w:p>
      <w:pPr>
        <w:bidi/>
        <w:spacing w:after="0" w:line="480"/>
        <w:jc w:val="both"/>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56"/>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57"/>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58"/>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المناقشات المتبادلة، أعتقد أنّ الفريقين أقرب ممّا يوحي به ظاهر الخلاف: فالمجيزون يشترطون من التثبّت الطبّيّ ما يكاد يلبّي مطلب المانعين في اليقين، والمانعون لا يوجبون من العلاج ما يكون تكلّفًا محضًا؛ فبينهما مساحة عمليّة مشتركة أوسع من مساحة النزاع النظريّ.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القول الراجح في المسألة.</w:t>
      </w:r>
    </w:p>
    <w:p>
      <w:pPr>
        <w:bidi/>
        <w:spacing w:after="60" w:before="120" w:line="360"/>
        <w:jc w:val="right"/>
      </w:pPr>
      <w:r>
        <w:rPr>
          <w:rFonts w:ascii="Simplified Arabic" w:cs="Simplified Arabic" w:eastAsia="Simplified Arabic" w:hAnsi="Simplified Arabic"/>
          <w:b/>
          <w:bCs/>
          <w:sz w:val="32"/>
          <w:szCs w:val="32"/>
          <w:rtl/>
        </w:rPr>
        <w:t xml:space="preserve">الفرع الأوّل: 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60" w:before="120" w:line="360"/>
        <w:jc w:val="right"/>
      </w:pPr>
      <w:r>
        <w:rPr>
          <w:rFonts w:ascii="Simplified Arabic" w:cs="Simplified Arabic" w:eastAsia="Simplified Arabic" w:hAnsi="Simplified Arabic"/>
          <w:b/>
          <w:bCs/>
          <w:sz w:val="32"/>
          <w:szCs w:val="32"/>
          <w:rtl/>
        </w:rPr>
        <w:t xml:space="preserve">الفرع الثاني: مبرّرات الترجيح.</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5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الثالث: الضوابط الشرعيّة والطبيّة للعمل بالقول الراجح.</w:t>
      </w:r>
    </w:p>
    <w:p>
      <w:pPr>
        <w:bidi/>
        <w:spacing w:after="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6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60" w:before="120" w:line="360"/>
        <w:jc w:val="right"/>
      </w:pPr>
      <w:r>
        <w:rPr>
          <w:rFonts w:ascii="Simplified Arabic" w:cs="Simplified Arabic" w:eastAsia="Simplified Arabic" w:hAnsi="Simplified Arabic"/>
          <w:b/>
          <w:bCs/>
          <w:sz w:val="32"/>
          <w:szCs w:val="32"/>
          <w:rtl/>
        </w:rPr>
        <w:t xml:space="preserve">الفرع الرابع: ثمرات الترجيح العمليّة.</w:t>
      </w:r>
    </w:p>
    <w:p>
      <w:pPr>
        <w:bidi/>
        <w:spacing w:after="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مبرّرات الترجيح، أرى أنّ أهمّ ما يميّز القول الراجح صفتُه الإجرائيّة: فهو لا يكتفي بتقرير الحكم نظريًّا، بل يقيّده بضوابط تشخيصٍ وتوثيقٍ وشورى أسريّة؛ وبهذه الضوابط يصير الحكم قابلًا للتطبيق المؤسّسيّ في المستشفيات لا فتوى معلّقة في الكتب.</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الرابع: موقف القانون والطبّ والاجتماع والعلم في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80" w:line="30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الموقف والأقوال القانونيّة (قوانين سبع دول).</w:t>
      </w:r>
    </w:p>
    <w:p>
      <w:pPr>
        <w:bidi/>
        <w:spacing w:after="60" w:before="120" w:line="360"/>
        <w:jc w:val="right"/>
      </w:pPr>
      <w:r>
        <w:rPr>
          <w:rFonts w:ascii="Simplified Arabic" w:cs="Simplified Arabic" w:eastAsia="Simplified Arabic" w:hAnsi="Simplified Arabic"/>
          <w:b/>
          <w:bCs/>
          <w:sz w:val="32"/>
          <w:szCs w:val="32"/>
          <w:rtl/>
        </w:rPr>
        <w:t xml:space="preserve">الفرع الأوّل: فلسطين.</w:t>
      </w:r>
    </w:p>
    <w:p>
      <w:pPr>
        <w:bidi/>
        <w:spacing w:after="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6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6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الأردن.</w:t>
      </w:r>
    </w:p>
    <w:p>
      <w:pPr>
        <w:bidi/>
        <w:spacing w:after="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6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الثالث: مصر.</w:t>
      </w:r>
    </w:p>
    <w:p>
      <w:pPr>
        <w:bidi/>
        <w:spacing w:after="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6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6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الرابع: الإمارات.</w:t>
      </w:r>
    </w:p>
    <w:p>
      <w:pPr>
        <w:bidi/>
        <w:spacing w:after="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الخامس: إسرائيل.</w:t>
      </w:r>
    </w:p>
    <w:p>
      <w:pPr>
        <w:bidi/>
        <w:spacing w:after="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السادس: الولايات المتحدة.</w:t>
      </w:r>
    </w:p>
    <w:p>
      <w:pPr>
        <w:bidi/>
        <w:spacing w:after="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السابع: فرنسا.</w:t>
      </w:r>
    </w:p>
    <w:p>
      <w:pPr>
        <w:bidi/>
        <w:spacing w:after="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73"/>
      </w:r>
      <w:r>
        <w:rPr>
          <w:rStyle w:val="FootnoteReference"/>
        </w:rPr>
        <w:footnoteReference w:id="17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الموقف والأقوال الطبيّة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77"/>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78"/>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80"/>
      </w:r>
      <w:r>
        <w:rPr>
          <w:rStyle w:val="FootnoteReference"/>
        </w:rPr>
        <w:footnoteReference w:id="181"/>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الموقف والأقوال الاجتماعيّة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82"/>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84"/>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الموقف والأقوال العلميّة والتقنيّة في المسألة.</w:t>
      </w:r>
    </w:p>
    <w:p>
      <w:pPr>
        <w:bidi/>
        <w:spacing w:after="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85"/>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8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من مواقف القوانين المعروضة في هذا المبحث، أعتقد أنّ أوضح خلاصة مقارنة هي أنّ القوانين العربيّة والأجنبيّة على اختلاف مشاربها تتّجه اتجاهًا واحدًا: اعتماد الموت الدماغيّ بشروط لجانٍ متخصّصة وضمانات توثيق؛ وهو اتجاه يلتقي موضوعيًّا مع مضمون القول الراجح فقهًا.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80" w:line="30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الأوّل: الفتاوى والقرارات المؤيّدة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80" w:line="30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80" w:line="30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80" w:line="30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قرار مجمع الفقه الإسلاميّ الدوليّ (عمّان 1986م).</w:t>
      </w:r>
    </w:p>
    <w:p>
      <w:pPr>
        <w:bidi/>
        <w:spacing w:after="60" w:before="120" w:line="360"/>
        <w:jc w:val="right"/>
      </w:pPr>
      <w:r>
        <w:rPr>
          <w:rFonts w:ascii="Simplified Arabic" w:cs="Simplified Arabic" w:eastAsia="Simplified Arabic" w:hAnsi="Simplified Arabic"/>
          <w:b/>
          <w:bCs/>
          <w:sz w:val="32"/>
          <w:szCs w:val="32"/>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8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88"/>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وبعد فحص القرار على معايير: تعلّقه بعين المسألة، وصحّة الاستشهاد، ووجود التعليل عند ذكر الحكم - وجدتُ أنّ جواب المجمع ممتاز؛ فالقرار متكلّم في عين مسألتي لا في غيرها، وقد بنى الحكم على ضابط طبّيّ محرَّر (تعطّل جميع وظائف الدماغ تعطّلًا لا رجعة فيه بتقرير الأطباء الاختصاصيّين الخبراء)، وصاغ العلامتين القلبيّة والدماغيّة صياغة جامعة؛ وإن لم يسق آياتٍ وأحاديث بنصوصها فلأنّ مورد القرار تحقيقُ مناطٍ طبّيّ لا تأسيسُ أصل شرعيّ جديد.</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توصية ندوة المنظمة الإسلاميّة للعلوم الطبيّة (الكويت 1985م).</w:t>
      </w:r>
    </w:p>
    <w:p>
      <w:pPr>
        <w:bidi/>
        <w:spacing w:after="60" w:before="120" w:line="360"/>
        <w:jc w:val="right"/>
      </w:pPr>
      <w:r>
        <w:rPr>
          <w:rFonts w:ascii="Simplified Arabic" w:cs="Simplified Arabic" w:eastAsia="Simplified Arabic" w:hAnsi="Simplified Arabic"/>
          <w:b/>
          <w:bCs/>
          <w:sz w:val="32"/>
          <w:szCs w:val="32"/>
          <w:rtl/>
        </w:rPr>
        <w:t xml:space="preserve">الفرع الأوّل: مضمون التوصية.</w:t>
      </w:r>
    </w:p>
    <w:p>
      <w:pPr>
        <w:bidi/>
        <w:spacing w:after="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8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90"/>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9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هذه التوصية جيّدة؛ فهي في صميم العنوان، وقوّتها في مصدرها الجامع بين الفقهاء والأطباء وفي تقريرها أنّ أجهزة الإنعاش لا تُنشئ حياةً وإنما تحاكيها؛ غير أنها عامّة الصياغة لم تفصّل ضوابط التشخيص تفصيلَ القرارات اللاحقة، فكمالها في ضمّها إلى قرار المجمع الدوليّ.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فتوى دار الإفتاء المصريّة.</w:t>
      </w:r>
    </w:p>
    <w:p>
      <w:pPr>
        <w:bidi/>
        <w:spacing w:after="60" w:before="120" w:line="360"/>
        <w:jc w:val="right"/>
      </w:pPr>
      <w:r>
        <w:rPr>
          <w:rFonts w:ascii="Simplified Arabic" w:cs="Simplified Arabic" w:eastAsia="Simplified Arabic" w:hAnsi="Simplified Arabic"/>
          <w:b/>
          <w:bCs/>
          <w:sz w:val="32"/>
          <w:szCs w:val="32"/>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92"/>
      </w:r>
      <w:r>
        <w:rPr>
          <w:rStyle w:val="FootnoteReference"/>
        </w:rPr>
        <w:footnoteReference w:id="19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94"/>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جواب دار الإفتاء المصريّة واضح جيّد؛ فقد طابق السؤال المطروح، وعلّل بتعريف الموت بمفارقة الروح للبدن وبمعيار التوقّف النهائيّ لوظائف الدماغ، ووصل الحكم بواقع الأجهزة الحديثة؛ ولو ساق وجه الاستدلال من النصوص التي أشار إليها إشارةً لكان أتمّ.</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الرابع: قرار مجلس الإفتاء والبحوث والدراسات الإسلاميّة الأردنيّ رقم (117).</w:t>
      </w:r>
    </w:p>
    <w:p>
      <w:pPr>
        <w:bidi/>
        <w:spacing w:after="60" w:before="120" w:line="360"/>
        <w:jc w:val="right"/>
      </w:pPr>
      <w:r>
        <w:rPr>
          <w:rFonts w:ascii="Simplified Arabic" w:cs="Simplified Arabic" w:eastAsia="Simplified Arabic" w:hAnsi="Simplified Arabic"/>
          <w:b/>
          <w:bCs/>
          <w:sz w:val="32"/>
          <w:szCs w:val="32"/>
          <w:rtl/>
        </w:rPr>
        <w:t xml:space="preserve">الفرع الأوّل: نصّ القرار.</w:t>
      </w:r>
    </w:p>
    <w:p>
      <w:pPr>
        <w:bidi/>
        <w:spacing w:after="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9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96"/>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قرار مجلس الإفتاء الأردنيّ ممتاز الصياغة؛ فهو نصّ في محلّ النزاع، جمع بين الإذن برفع الأجهزة عمّن ثبت موته دماغيًّا وبين منع تعجيل الموت بفعل إيجابيّ، وقيّد ذلك بتثبّت اللجنة الطبّيّة المختصّة؛ فحرّر الفرق الدقيق بين الكفّ عن التكلّف والاعتداء على الحياة، وهو عين التفريق الذي انتهى إليه بحثي.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الخامس: فتوى مركز الفتوى بإسلام ويب في حكم رفع الأجهزة عن الميت دماغيًّا.</w:t>
      </w:r>
    </w:p>
    <w:p>
      <w:pPr>
        <w:bidi/>
        <w:spacing w:after="60" w:before="120" w:line="360"/>
        <w:jc w:val="right"/>
      </w:pPr>
      <w:r>
        <w:rPr>
          <w:rFonts w:ascii="Simplified Arabic" w:cs="Simplified Arabic" w:eastAsia="Simplified Arabic" w:hAnsi="Simplified Arabic"/>
          <w:b/>
          <w:bCs/>
          <w:sz w:val="32"/>
          <w:szCs w:val="32"/>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9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هذه الفتوى جيّدة؛ فقد استندت إلى قرارات المجامع وأحالت على أهل الاختصاص الطبّيّ، وسلمت من الاستشهاد بنصوص لا تعلّق لها بالمسألة؛ لكنها فتوى ناقلة مؤكِّدة أكثر منها مؤسِّسة، وقيمتها في بيان استقرار العمل الإفتائيّ على مضمون القرارات المجمعيّة.</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المبحث الثاني: الفتاوى والقرارات المعارضة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80" w:line="30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80" w:line="30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80" w:before="120" w:line="360"/>
        <w:jc w:val="right"/>
      </w:pPr>
      <w:r>
        <w:rPr>
          <w:rFonts w:ascii="Simplified Arabic" w:cs="Simplified Arabic" w:eastAsia="Simplified Arabic" w:hAnsi="Simplified Arabic"/>
          <w:b/>
          <w:bCs/>
          <w:color w:val="000000"/>
          <w:sz w:val="32"/>
          <w:szCs w:val="32"/>
          <w:rtl/>
        </w:rPr>
        <w:t xml:space="preserve">المطلب الأوّل: قرار المجمع الفقهيّ برابطة العالم الإسلاميّ (مكة 1987م).</w:t>
      </w:r>
    </w:p>
    <w:p>
      <w:pPr>
        <w:bidi/>
        <w:spacing w:after="60" w:before="120" w:line="360"/>
        <w:jc w:val="right"/>
      </w:pPr>
      <w:r>
        <w:rPr>
          <w:rFonts w:ascii="Simplified Arabic" w:cs="Simplified Arabic" w:eastAsia="Simplified Arabic" w:hAnsi="Simplified Arabic"/>
          <w:b/>
          <w:bCs/>
          <w:sz w:val="32"/>
          <w:szCs w:val="32"/>
          <w:rtl/>
        </w:rPr>
        <w:t xml:space="preserve">الفرع الأوّل: مضمون القرار.</w:t>
      </w:r>
    </w:p>
    <w:p>
      <w:pPr>
        <w:bidi/>
        <w:spacing w:after="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9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99"/>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وبعد فحص القرار وجدتُ أنّ جواب المجمع الفقهيّ لرابطة العالم الإسلاميّ واضح قويّ التحرير؛ فهو متكلّم في عين المسألة، بنى التوقّف عن الحكم بالموت على أصل معتبر هو اليقين في الحياة، ولم يغفل الجانب العمليّ إذ سوّغ رفع الأجهزة إذا تعطّل الدماغ بشهادة الخبراء؛ فالفرق بينه وبين قرار عمّان أضيق ممّا يُشاع: هو خلاف في توقيت الحكم بالموت لا في مشروعيّة الرفع.</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الثاني: فتوى اللجنة الدائمة للبحوث العلميّة والإفتاء (السعوديّة).</w:t>
      </w:r>
    </w:p>
    <w:p>
      <w:pPr>
        <w:bidi/>
        <w:spacing w:after="60" w:before="120" w:line="360"/>
        <w:jc w:val="right"/>
      </w:pPr>
      <w:r>
        <w:rPr>
          <w:rFonts w:ascii="Simplified Arabic" w:cs="Simplified Arabic" w:eastAsia="Simplified Arabic" w:hAnsi="Simplified Arabic"/>
          <w:b/>
          <w:bCs/>
          <w:sz w:val="32"/>
          <w:szCs w:val="32"/>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20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201"/>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فتوى اللجنة الدائمة جيّدة من جهة اطّرادها على أصل الاحتياط للنفس، وهي في محلّ العنوان، واستدلالها بعموم نصوص العصمة في محلّه من حيث الجملة؛ ومورد الفحص فيها أنّ العمومات تُحقَّق مناطاتها في الوقائع: فمن ثبت موت دماغه بالفحص القاطع فمحلّ جريان العصمة فيه هو نفسُه محلّ النزاع، فلا تنهض العمومات وحدها حسمًا له.</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المطلب الثالث: فتوى الشيخ محمد بن صالح ابن عثيمين رحمه الله.</w:t>
      </w:r>
    </w:p>
    <w:p>
      <w:pPr>
        <w:bidi/>
        <w:spacing w:after="60" w:before="120" w:line="360"/>
        <w:jc w:val="right"/>
      </w:pPr>
      <w:r>
        <w:rPr>
          <w:rFonts w:ascii="Simplified Arabic" w:cs="Simplified Arabic" w:eastAsia="Simplified Arabic" w:hAnsi="Simplified Arabic"/>
          <w:b/>
          <w:bCs/>
          <w:sz w:val="32"/>
          <w:szCs w:val="32"/>
          <w:rtl/>
        </w:rPr>
        <w:t xml:space="preserve">الفرع الأوّل: مضمون الفتوى.</w:t>
      </w:r>
    </w:p>
    <w:p>
      <w:pPr>
        <w:bidi/>
        <w:spacing w:after="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20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32"/>
          <w:szCs w:val="32"/>
          <w:rtl/>
        </w:rPr>
        <w:t xml:space="preserve">الفرع الثاني: الردّ والتعقيب.</w:t>
      </w:r>
    </w:p>
    <w:p>
      <w:pPr>
        <w:bidi/>
        <w:spacing w:after="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203"/>
      </w:r>
      <w:r>
        <w:rPr>
          <w:rFonts w:ascii="Simplified Arabic" w:cs="Simplified Arabic" w:eastAsia="Simplified Arabic" w:hAnsi="Simplified Arabic"/>
          <w:b w:val="false"/>
          <w:bCs w:val="false"/>
          <w:sz w:val="28"/>
          <w:szCs w:val="28"/>
          <w:rtl/>
        </w:rPr>
        <w:t xml:space="preserve">.</w:t>
      </w:r>
    </w:p>
    <w:p>
      <w:pPr>
        <w:bidi/>
        <w:spacing w:after="0" w:line="480"/>
        <w:jc w:val="both"/>
      </w:pPr>
      <w:r>
        <w:rPr>
          <w:rFonts w:ascii="Simplified Arabic" w:cs="Simplified Arabic" w:eastAsia="Simplified Arabic" w:hAnsi="Simplified Arabic"/>
          <w:b/>
          <w:bCs/>
          <w:sz w:val="28"/>
          <w:szCs w:val="28"/>
          <w:rtl/>
        </w:rPr>
        <w:t xml:space="preserve">تعقيب ختاميّ على الفتوى: </w:t>
      </w:r>
      <w:r>
        <w:rPr>
          <w:rFonts w:ascii="Simplified Arabic" w:cs="Simplified Arabic" w:eastAsia="Simplified Arabic" w:hAnsi="Simplified Arabic"/>
          <w:b w:val="false"/>
          <w:bCs w:val="false"/>
          <w:sz w:val="28"/>
          <w:szCs w:val="28"/>
          <w:rtl/>
        </w:rPr>
        <w:t xml:space="preserve">وجدتُ أنّ جواب الشيخ ابن عثيمين ممتاز من جهة الصناعة الفقهيّة؛ فهو متكلّم في عين المسألة، معلِّل بمآلات الأحكام (العدّة والإرث والتصرّفات) لا بمجرّد الاحتياط المجمل، مفرِّق بين صور المريض تفريقًا دقيقًا؛ وبناءً على أنه لم يقتصر على العمومات بل حرّر المناط وعلّله، فإنّ فتواه من أقوى ما احتجّ به هذا الفريق.</w:t>
      </w:r>
    </w:p>
    <w:p>
      <w:pPr>
        <w:bidi/>
        <w:spacing w:after="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0" w:line="480"/>
        <w:jc w:val="both"/>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0" w:line="480"/>
        <w:jc w:val="both"/>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0" w:line="480"/>
        <w:jc w:val="both"/>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bidi/>
        <w:spacing w:after="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من خلال ما قمت بالاطلاع عليه عند صياغة هذا الملحق، أرى أنّ تحويل خلاصة البحث إلى وثيقة تفهيمٍ عمليّة هو الجسر المفقود بين كتب الفقه وغرف العناية المركّزة؛ فالأسرة لا تحتاج في ساعة الصدمة إلى بحث فقهيّ مطوّل، بل إلى ورقة رحيمة واضحة تختصر لها المسموح والممنوع وخطوات القرار.</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الفهارس</w:t>
      </w:r>
    </w:p>
    <w:p>
      <w:pPr>
        <w:bidi/>
        <w:spacing w:after="80" w:line="300"/>
        <w:jc w:val="center"/>
      </w:pPr>
      <w:r>
        <w:rPr>
          <w:rFonts w:ascii="Simplified Arabic" w:cs="Simplified Arabic" w:eastAsia="Simplified Arabic" w:hAnsi="Simplified Arabic"/>
          <w:b/>
          <w:bCs/>
          <w:sz w:val="28"/>
          <w:szCs w:val="28"/>
          <w:rtl/>
        </w:rPr>
        <w:t xml:space="preserve">فهرس الآيات القرآنيّة.</w:t>
      </w:r>
    </w:p>
    <w:p>
      <w:pPr>
        <w:bidi/>
        <w:spacing w:after="80" w:line="300"/>
        <w:jc w:val="center"/>
      </w:pPr>
      <w:r>
        <w:rPr>
          <w:rFonts w:ascii="Simplified Arabic" w:cs="Simplified Arabic" w:eastAsia="Simplified Arabic" w:hAnsi="Simplified Arabic"/>
          <w:b/>
          <w:bCs/>
          <w:sz w:val="28"/>
          <w:szCs w:val="28"/>
          <w:rtl/>
        </w:rPr>
        <w:t xml:space="preserve">فهرس الأحاديث النبويّة.</w:t>
      </w:r>
    </w:p>
    <w:p>
      <w:pPr>
        <w:bidi/>
        <w:spacing w:after="80" w:line="300"/>
        <w:jc w:val="center"/>
      </w:pPr>
      <w:r>
        <w:rPr>
          <w:rFonts w:ascii="Simplified Arabic" w:cs="Simplified Arabic" w:eastAsia="Simplified Arabic" w:hAnsi="Simplified Arabic"/>
          <w:b/>
          <w:bCs/>
          <w:sz w:val="28"/>
          <w:szCs w:val="28"/>
          <w:rtl/>
        </w:rPr>
        <w:t xml:space="preserve">فهرس الأعلام.</w:t>
      </w:r>
    </w:p>
    <w:p>
      <w:pPr>
        <w:bidi/>
        <w:spacing w:after="80" w:line="300"/>
        <w:jc w:val="center"/>
      </w:pPr>
      <w:r>
        <w:rPr>
          <w:rFonts w:ascii="Simplified Arabic" w:cs="Simplified Arabic" w:eastAsia="Simplified Arabic" w:hAnsi="Simplified Arabic"/>
          <w:b/>
          <w:bCs/>
          <w:sz w:val="28"/>
          <w:szCs w:val="28"/>
          <w:rtl/>
        </w:rPr>
        <w:t xml:space="preserve">فهرس المصادر والمراجع.</w:t>
      </w:r>
    </w:p>
    <w:p>
      <w:pPr>
        <w:bidi/>
        <w:spacing w:after="80" w:line="30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فهرس الآيات القرآنيّة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فهرس الأحاديث النبويّة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فهرس الأعلام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 (الصفحة: 121).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 (الصفحة: 71).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 (الصفحة: 26).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 (الصفحة: 77).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بن عمر بن عبد العزيز عابدين الدمشقيّ (1198-1252هـ)، خاتمة فقهاء الحنفيّة، صاحب "ردّ المحتار على الدرّ المختار"، من شيوخه محمد شاكر العقّاد، ومن تلاميذه ابنه علاء الدين عابدين (الصفحة: 60).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موفّق الدين عبد الله بن أحمد المقدسيّ (541-620هـ)، فقيه الحنابلة في عصره، صاحب "المغني" و"الكافي" (الصفحة: 46).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بن عليّ الأنصاريّ الإفريقيّ (630-711هـ)، اللغويّ الموسوعيّ، صاحب "لسان العرب" أوسع معاجم العربيّة (الصفحة: 41).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(202-275هـ)، الإمام المحدّث، صاحب "السنن" أحد الكتب الستّة، من شيوخه الإمام أحمد بن حنبل (الصفحة: 36).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إسماعيل الجعفيّ (194-256هـ)، إمام المحدّثين، صاحب "الجامع الصحيح"، من شيوخه إسحاق بن راهويه، ومن تلاميذه مسلم بن الحجّاج والترمذيّ (الصفحة: 58).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(1000-1051هـ)، شيخ الحنابلة في مصر، صاحب "كشّاف القناع عن متن الإقناع" (الصفحة: 67).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السيّد الشريف (740-816هـ)، العلّامة المتكلّم، صاحب "التعريفات" و"شرح المواقف"، أخذ عن قطب الدين الرازيّ (الصفحة: 40).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بن عرفة (ت1230هـ)، فقيه المالكيّة، صاحب الحاشية المشهورة على الشرح الكبير للدردير (الصفحة: 67).</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شمس الدين محمد بن أحمد الخطيب (ت977هـ)، الفقيه الشافعيّ المفسّر، صاحب "مغني المحتاج" و"السراج المنير"، من شيوخه شهاب الدين الرمليّ (الصفحة: 46).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محمد بن يعقوب (729-817هـ)، اللغويّ الشهير، صاحب "القاموس المحيط" (الصفحة: 43).</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إمام دار الهجرة (93-179هـ)، صاحب "الموطأ" وإليه تنسب المالكيّة، من شيوخه نافع مولى ابن عمر وربيعة الرأي، ومن تلاميذه الشافعيّ (الصفحة: 62).</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فهرس المصادر والمراجع</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ثانيًا: المعاجم اللغويّة والاصطلاحيّة: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ثالثًا: كتب الحديث الشريف:</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رابعًا: كتب الفقه والأصول والقواعد والمقاصد:</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خامسًا: المراجع الفقهيّة والقانونيّة المعاصرة: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سادسًا: القرارات والفتاوى والقوانين:</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80" w:before="120" w:line="360"/>
        <w:jc w:val="right"/>
      </w:pPr>
      <w:r>
        <w:rPr>
          <w:rFonts w:ascii="Simplified Arabic" w:cs="Simplified Arabic" w:eastAsia="Simplified Arabic" w:hAnsi="Simplified Arabic"/>
          <w:b/>
          <w:bCs/>
          <w:color w:val="000000"/>
          <w:sz w:val="32"/>
          <w:szCs w:val="32"/>
          <w:rtl/>
        </w:rPr>
        <w:t xml:space="preserve">سابعًا: المراجع الأجنبيّة:</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120" w:before="160" w:line="360"/>
        <w:jc w:val="center"/>
      </w:pPr>
      <w:r>
        <w:rPr>
          <w:rFonts w:ascii="Simplified Arabic" w:cs="Simplified Arabic" w:eastAsia="Simplified Arabic" w:hAnsi="Simplified Arabic"/>
          <w:b/>
          <w:bCs/>
          <w:color w:val="000000"/>
          <w:sz w:val="32"/>
          <w:szCs w:val="32"/>
          <w:rtl/>
        </w:rPr>
        <w:t xml:space="preserve">فهرس المحتويات</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فهرس موضوعات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أهميّة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أسباب اختيار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أهداف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إشكاليّة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الأسئلة الفرعيّة: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منهجيّة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حدود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أولًا: الدراسات باللغة العربيّة (17 دراسة):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ثانيًا: الدراسات باللغات الأجنبيّة (10 دراسات):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26</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34</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36</w:t>
            </w:r>
          </w:p>
        </w:tc>
      </w:tr>
    </w:tbl>
    <w:p>
      <w:pPr>
        <w:spacing w:before="200" w:after="0"/>
      </w:pPr>
    </w:p>
    <w:p>
      <w:pPr>
        <w:bidi/>
        <w:spacing w:before="240" w:after="160"/>
        <w:jc w:val="center"/>
      </w:pPr>
      <w:r>
        <w:rPr>
          <w:rFonts w:ascii="Simplified Arabic" w:hAnsi="Simplified Arabic" w:cs="Simplified Arabic"/>
          <w:b/>
          <w:bCs/>
          <w:sz w:val="30"/>
          <w:szCs w:val="30"/>
          <w:rtl/>
        </w:rPr>
        <w:t>الفصل الأوّل</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الأوّل: تعريفات أساسيّة وتعريفات ذات صلة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تعريفات أساسيّة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39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الأحكام.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الفقهيّة.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النزع.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الأجهزة الطبيّة.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الميت.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التعريف المركّب "نزع الأجهزة الطبيّة عن الميت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مراتب الحياة عند الفقهاء وتعلّقها بالمسألة.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46</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تعريفات ذات صلة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49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الدماغيّ.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الإنعاش القلبيّ الرئويّ.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أجهزة الإنعاش الصناعيّ.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الحالة النباتيّة (الغيبوبة المستديمة).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الاحتضار.</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موت الرحمة (القتل الرحيم).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العناية المركّزة.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زراعة الأعضاء.</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التاسع: جذع الدماغ.</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العاشر: الغيبوبة.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الحادي عشر: التداوي.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عشر: العلاج التلطيفيّ.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عشر: الحياة.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59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عشر: الحياة المستقرّة.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عشر: الروح.</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السادس عشر: الوفاة.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السابع عشر: حرمة الميت.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الثامن عشر: المريض الميؤوس من شفائه.</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التاسع عشر: الضرر والضرورة الشرعيّة.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العشرون: تخطيط كهربيّة الدماغ (EEG).</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الحادي والعشرون: اختبار انقطاع النفَس (Apnea Test).</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والعشرون: التوجيهات الطبيّة المسبقة.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63</w:t>
            </w:r>
          </w:p>
        </w:tc>
      </w:tr>
    </w:tbl>
    <w:p>
      <w:pPr>
        <w:spacing w:before="200" w:after="0"/>
      </w:pPr>
    </w:p>
    <w:p>
      <w:pPr>
        <w:bidi/>
        <w:spacing w:before="240" w:after="160"/>
        <w:jc w:val="center"/>
      </w:pPr>
      <w:r>
        <w:rPr>
          <w:rFonts w:ascii="Simplified Arabic" w:hAnsi="Simplified Arabic" w:cs="Simplified Arabic"/>
          <w:b/>
          <w:bCs/>
          <w:sz w:val="30"/>
          <w:szCs w:val="30"/>
          <w:rtl/>
        </w:rPr>
        <w:t>الفصل الثاني (التمهيديّ)</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الثاني (التمهيديّ): نشأة المسألة وتاريخها وربطها بالشرائع السماويّة والتشريعات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65</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تاريخ ظهور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وعلاماته قبل ظهور أجهزة الإنعاش.</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ظهور الإنعاش الصناعيّ والعناية المركّزة في القرن العشرين.</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69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دخول المسألة الفقه الإسلاميّ المعاصر.</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الموت في نصوص الكتاب والسنّة.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الموت وأحكامه في الشرائع السماويّة والتشريعات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الموت وتحديده في الشريعة اليهوديّة.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الموت والوسائل الاستثنائيّة في المسيحيّة.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التشريعات الوضعيّة القديمة.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78</w:t>
            </w:r>
          </w:p>
        </w:tc>
      </w:tr>
    </w:tbl>
    <w:p>
      <w:pPr>
        <w:spacing w:before="200" w:after="0"/>
      </w:pPr>
    </w:p>
    <w:p>
      <w:pPr>
        <w:bidi/>
        <w:spacing w:before="240" w:after="160"/>
        <w:jc w:val="center"/>
      </w:pPr>
      <w:r>
        <w:rPr>
          <w:rFonts w:ascii="Simplified Arabic" w:hAnsi="Simplified Arabic" w:cs="Simplified Arabic"/>
          <w:b/>
          <w:bCs/>
          <w:sz w:val="30"/>
          <w:szCs w:val="30"/>
          <w:rtl/>
        </w:rPr>
        <w:t>الفصل الثالث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الثالث: الآثار المتعلقة بنزع الأجهزة الطبيّة عن الميت سريريًّا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الآثار الفقهيّة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83</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الآثار الطبيّة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88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الثالث: الآثار الاجتماعيّة والنفسيّة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90</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الرابع: الآثار القانونيّة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الخامس: الآثار الاقتصاديّة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94</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السادس: الآثار العلميّة والتقنيّة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97</w:t>
            </w:r>
          </w:p>
        </w:tc>
      </w:tr>
    </w:tbl>
    <w:p>
      <w:pPr>
        <w:spacing w:before="200" w:after="0"/>
      </w:pPr>
    </w:p>
    <w:p>
      <w:pPr>
        <w:bidi/>
        <w:spacing w:before="240" w:after="160"/>
        <w:jc w:val="center"/>
      </w:pPr>
      <w:r>
        <w:rPr>
          <w:rFonts w:ascii="Simplified Arabic" w:hAnsi="Simplified Arabic" w:cs="Simplified Arabic"/>
          <w:b/>
          <w:bCs/>
          <w:sz w:val="30"/>
          <w:szCs w:val="30"/>
          <w:rtl/>
        </w:rPr>
        <w:t>الفصل الرابع</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الرابع: التأصيل الفقهيّ للمسألة، تحرير المسألة، أقوال الفقهاء، وموقف القانون والطبّ</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تأصيل المسألة فقهيًّا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99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تصوير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مقاصد الشريعة الإسلاميّة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فلسفة مقاصد الشريعة الإسلاميّة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ربط المسألة بالواقع.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105</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تحرير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بيان محلّ الاتفاق.</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بيان محلّ النزاع.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109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أسباب الاختلاف.</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التكييف الفقهيّ.</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الأدلّة العامّة والقواعد الفقهيّة المتعلقة بالمسألة.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112</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الثالث: أقوال الفقهاء في المسألة والقول الراجح</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بيان أقوال الفقهاء المؤيّدين (لجواز النزع) وأدلّتهم ومناقشتها.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119</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بيان أقوال الفقهاء المعارضين وأدلّتهم ومناقشتها.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الردّ على الأدلّة.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القول الراجح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127</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الرابع: موقف القانون والطبّ والاجتماع والعلم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الموقف والأقوال القانونيّة (قوانين سبع دول).</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الموقف والأقوال الطبيّة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137</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الموقف والأقوال الاجتماعيّة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الموقف والأقوال العلميّة والتقنيّة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139</w:t>
            </w:r>
          </w:p>
        </w:tc>
      </w:tr>
    </w:tbl>
    <w:p>
      <w:pPr>
        <w:spacing w:before="200" w:after="0"/>
      </w:pPr>
    </w:p>
    <w:p>
      <w:pPr>
        <w:bidi/>
        <w:spacing w:before="240" w:after="160"/>
        <w:jc w:val="center"/>
      </w:pPr>
      <w:r>
        <w:rPr>
          <w:rFonts w:ascii="Simplified Arabic" w:hAnsi="Simplified Arabic" w:cs="Simplified Arabic"/>
          <w:b/>
          <w:bCs/>
          <w:sz w:val="30"/>
          <w:szCs w:val="30"/>
          <w:rtl/>
        </w:rPr>
        <w:t>الفصل الخامس</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الفصل الخامس: الفتاوى المؤيّدة والمعارضة في المسألة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الأوّل: الفتاوى والقرارات المؤيّدة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قرار مجمع الفقه الإسلاميّ الدوليّ (عمّان 1986م).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توصية ندوة المنظمة الإسلاميّة للعلوم الطبيّة (الكويت 1985م).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فتوى دار الإفتاء المصريّة.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الرابع: قرار مجلس الإفتاء والبحوث والدراسات الإسلاميّة الأردنيّ رقم (117).</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148</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الخامس: فتوى مركز الفتوى بإسلام ويب في حكم رفع الأجهزة عن الميت دماغيًّا.</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149</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المبحث الثاني: الفتاوى والقرارات المعارضة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151</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الأوّل: قرار المجمع الفقهيّ برابطة العالم الإسلاميّ (مكة 1987م).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152</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الثاني: فتوى اللجنة الدائمة للبحوث العلميّة والإفتاء (السعوديّة).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153</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المطلب الثالث: فتوى الشيخ محمد بن صالح ابن عثيمين رحمه الله.</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الخاتمة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158</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النتائج</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160</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التوصيات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163</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ملحق: نموذج مقترح لوثيقة تفهيم الأسرة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165</w:t>
            </w:r>
          </w:p>
        </w:tc>
      </w:tr>
      <w:tr>
        <w:tc>
          <w:tcPr>
            <w:tcW w:w="7700" w:type="dxa"/>
            <w:vAlign w:val="center"/>
          </w:tcPr>
          <w:p>
            <w:pPr>
              <w:bidi/>
              <w:spacing w:before="40" w:after="40" w:line="276" w:lineRule="auto"/>
              <w:jc w:val="right"/>
            </w:pPr>
            <w:r>
              <w:rPr>
                <w:rFonts w:ascii="Simplified Arabic" w:hAnsi="Simplified Arabic" w:cs="Simplified Arabic"/>
                <w:b/>
                <w:bCs/>
                <w:sz w:val="26"/>
                <w:szCs w:val="26"/>
                <w:rtl/>
              </w:rPr>
              <w:t xml:space="preserve">الفهارس</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167</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الآيات القرآنيّة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168</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الأحاديث النبويّة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170</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الأعلام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المصادر والمراجع</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أولًا: القرآن الكريم.</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ثانيًا: المعاجم اللغويّة والاصطلاحيّة: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ثالثًا: كتب الحديث الشريف:</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174</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رابعًا: كتب الفقه والأصول والقواعد والمقاصد:</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175</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خامسًا: المراجع الفقهيّة والقانونيّة المعاصرة: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176</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سادسًا: القرارات والفتاوى والقوانين:</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180</w:t>
            </w:r>
          </w:p>
        </w:tc>
      </w:tr>
      <w:tr>
        <w:tc>
          <w:tcPr>
            <w:tcW w:w="7700" w:type="dxa"/>
            <w:vAlign w:val="center"/>
          </w:tcPr>
          <w:p>
            <w:pPr>
              <w:bidi/>
              <w:ind w:right="340"/>
              <w:spacing w:before="40" w:after="40" w:line="276" w:lineRule="auto"/>
              <w:jc w:val="right"/>
            </w:pPr>
            <w:r>
              <w:rPr>
                <w:rFonts w:ascii="Simplified Arabic" w:hAnsi="Simplified Arabic" w:cs="Simplified Arabic"/>
                <w:sz w:val="26"/>
                <w:szCs w:val="26"/>
                <w:rtl/>
              </w:rPr>
              <w:t xml:space="preserve">سابعًا: المراجع الأجنبيّة:</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181</w:t>
            </w:r>
          </w:p>
        </w:tc>
      </w:tr>
      <w:tr>
        <w:tc>
          <w:tcPr>
            <w:tcW w:w="7700" w:type="dxa"/>
            <w:vAlign w:val="center"/>
          </w:tcPr>
          <w:p>
            <w:pPr>
              <w:bidi/>
              <w:spacing w:before="40" w:after="40" w:line="276" w:lineRule="auto"/>
              <w:jc w:val="right"/>
            </w:pPr>
            <w:r>
              <w:rPr>
                <w:rFonts w:ascii="Simplified Arabic" w:hAnsi="Simplified Arabic" w:cs="Simplified Arabic"/>
                <w:sz w:val="26"/>
                <w:szCs w:val="26"/>
                <w:rtl/>
              </w:rPr>
              <w:t xml:space="preserve">فهرس المحتويات</w:t>
            </w:r>
          </w:p>
        </w:tc>
        <w:tc>
          <w:tcPr>
            <w:tcW w:w="1300" w:type="dxa"/>
            <w:vAlign w:val="center"/>
          </w:tcPr>
          <w:p>
            <w:pPr>
              <w:bidi/>
              <w:spacing w:before="40" w:after="40" w:line="276" w:lineRule="auto"/>
              <w:jc w:val="center"/>
            </w:pPr>
            <w:r>
              <w:rPr>
                <w:rFonts w:ascii="Simplified Arabic" w:hAnsi="Simplified Arabic" w:cs="Simplified Arabic"/>
                <w:sz w:val="26"/>
                <w:szCs w:val="26"/>
                <w:rtl/>
              </w:rPr>
              <w:t xml:space="preserve">183</w:t>
            </w:r>
          </w:p>
        </w:tc>
      </w:tr>
    </w:tbl>
    <w:p>
      <w:pPr>
        <w:spacing w:before="200" w:after="0"/>
      </w:pPr>
    </w:p>
    <w:p>
      <w:pPr>
        <w:bidi/>
        <w:spacing w:before="600" w:after="240"/>
        <w:jc w:val="center"/>
      </w:pPr>
      <w:r>
        <w:rPr>
          <w:rFonts w:ascii="Simplified Arabic" w:hAnsi="Simplified Arabic" w:cs="Simplified Arabic"/>
          <w:b/>
          <w:bCs/>
          <w:sz w:val="48"/>
          <w:szCs w:val="48"/>
          <w:rtl/>
        </w:rPr>
        <w:t>تَمَّ والْحَمْدُ لله</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2">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فارس، أحمد. معجم مقاييس اللغة (تحقيق عبد السلام هارون). بيروت: دار الفكر، مادة (حكم).</w:t>
      </w:r>
    </w:p>
  </w:footnote>
  <w:footnote w:id="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(فقه).</w:t>
      </w:r>
    </w:p>
  </w:footnote>
  <w:footnote w:id="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6">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(نزع).</w:t>
      </w:r>
    </w:p>
  </w:footnote>
  <w:footnote w:id="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الفيومي، أحمد بن محمد. المصباح المنير في غريب الشرح الكبير. بيروت: المكتبة العلمية.</w:t>
      </w:r>
    </w:p>
  </w:footnote>
  <w:footnote w:id="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(موت).</w:t>
      </w:r>
    </w:p>
  </w:footnote>
  <w:footnote w:id="1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الفيروزآبادي، مجد الدين. القاموس المحيط. بيروت: مؤسسة الرسالة، مادة (موت).</w:t>
      </w:r>
    </w:p>
  </w:footnote>
  <w:footnote w:id="1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13">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15">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(سرر).</w:t>
      </w:r>
    </w:p>
  </w:footnote>
  <w:footnote w:id="16">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17">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19">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2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2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2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5">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26">
    <w:p>
      <w:pPr>
        <w:bidi/>
        <w:spacing w:line="240"/>
        <w:jc w:val="both"/>
      </w:pPr>
      <w:r>
        <w:rPr>
          <w:rStyle w:val="FootnoteReference"/>
        </w:rPr>
        <w:footnoteRef/>
      </w:r>
      <w:r>
        <w:rPr>
          <w:rFonts w:ascii="Simplified Arabic" w:cs="Simplified Arabic" w:eastAsia="Simplified Arabic" w:hAnsi="Simplified Arabic"/>
          <w:sz w:val="24"/>
          <w:szCs w:val="24"/>
          <w:rtl/>
        </w:rPr>
        <w:t xml:space="preserve"> Schroeder, T. (2023). Clinical Death: Concept and Medical Resuscitation Techniques. Journal of Clinical Medicine Studies, published March 31, 2023.</w:t>
      </w:r>
    </w:p>
  </w:footnote>
  <w:footnote w:id="2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3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3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35">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3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38">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4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(حيا).</w:t>
      </w:r>
    </w:p>
  </w:footnote>
  <w:footnote w:id="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شمس الدين محمد بن أحمد الخطيب (1994). مغني المحتاج إلى معرفة معاني ألفاظ المنهاج. ط1، بيروت: دار الكتب العلمية، كتاب الجراح.</w:t>
      </w:r>
    </w:p>
  </w:footnote>
  <w:footnote w:id="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موقف الفقه الإسلامي من موت الدماغ والأجهزة المنعشة. مجلة مجمع الفقه الإسلامي، جدة، العدد الثالث.</w:t>
      </w:r>
    </w:p>
  </w:footnote>
  <w:footnote w:id="4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شمس الدين محمد بن أحمد الخطيب (1994). مغني المحتاج إلى معرفة معاني ألفاظ المنهاج. ط1، بيروت: دار الكتب العلمية، كتاب الجراح.</w:t>
      </w:r>
    </w:p>
  </w:footnote>
  <w:footnote w:id="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محمد أمين بن عمر (1992). ردّ المحتار على الدرّ المختار. ط2، بيروت: دار الفكر، كتاب الجنايات.</w:t>
      </w:r>
    </w:p>
  </w:footnote>
  <w:footnote w:id="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(روح).</w:t>
      </w:r>
    </w:p>
  </w:footnote>
  <w:footnote w:id="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الجرجاني، علي بن محمد. التعريفات. بيروت: دار الكتب العلمية.</w:t>
      </w:r>
    </w:p>
  </w:footnote>
  <w:footnote w:id="5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(وفي).</w:t>
      </w:r>
    </w:p>
  </w:footnote>
  <w:footnote w:id="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(حرم).</w:t>
      </w:r>
    </w:p>
  </w:footnote>
  <w:footnote w:id="52">
    <w:p>
      <w:pPr>
        <w:bidi/>
        <w:spacing w:line="240"/>
        <w:jc w:val="both"/>
      </w:pPr>
      <w:r>
        <w:rPr>
          <w:rStyle w:val="FootnoteReference"/>
        </w:rPr>
        <w:footnoteRef/>
      </w:r>
      <w:r>
        <w:rPr>
          <w:rFonts w:ascii="Simplified Arabic" w:cs="Simplified Arabic" w:eastAsia="Simplified Arabic" w:hAnsi="Simplified Arabic"/>
          <w:sz w:val="24"/>
          <w:szCs w:val="24"/>
          <w:rtl/>
        </w:rPr>
        <w:t xml:space="preserve"> أبو داود، سليمان بن الأشعث. سنن أبي داود، كتاب الجنائز، باب في الحفّار يجد العظم، رقم الحديث 3207.</w:t>
      </w:r>
    </w:p>
  </w:footnote>
  <w:footnote w:id="53">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(1986). القرار رقم (5) بشأن أجهزة الإنعاش، الدورة الثالثة، عمّان.</w:t>
      </w:r>
    </w:p>
  </w:footnote>
  <w:footnote w:id="54">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منظور، محمد بن مكرم. لسان العرب. بيروت: دار صادر، مادة (ضرر).</w:t>
      </w:r>
    </w:p>
  </w:footnote>
  <w:footnote w:id="55">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أبو عبد الله مالك بن أنس (1985). موطأ مالك (تحقيق محمد فؤاد عبد الباقي). ط1، 3ج، القاهرة: دار الأصيل، رقم الحديث 1896، ج3، ص193.</w:t>
      </w:r>
    </w:p>
  </w:footnote>
  <w:footnote w:id="56">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57">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58">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59">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6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الزحيلي، وهبة. الفقه الإسلامي وأدلته. ط4، دمشق: دار الفكر، ج2، أحكام الجنائز.</w:t>
      </w:r>
    </w:p>
  </w:footnote>
  <w:footnote w:id="6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63">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عابدين، محمد أمين (1421هـ). ردّ المحتار على الدرّ المختار (حاشية ابن عابدين). بيروت: دار الفكر، كتاب الجنائز.</w:t>
      </w:r>
    </w:p>
  </w:footnote>
  <w:footnote w:id="6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الدسوقي، محمد بن أحمد. حاشية الدسوقي على الشرح الكبير. بيروت: دار الفكر، كتاب الجنائز.</w:t>
      </w:r>
    </w:p>
  </w:footnote>
  <w:footnote w:id="6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6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البهوتي، منصور بن يونس (1402هـ). كشّاف القناع عن متن الإقناع. بيروت: دار الفكر، كتاب الجنائز.</w:t>
      </w:r>
    </w:p>
  </w:footnote>
  <w:footnote w:id="6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السرخسي، محمد بن أحمد. المبسوط. بيروت: دار المعرفة، كتاب الجنائز.</w:t>
      </w:r>
    </w:p>
  </w:footnote>
  <w:footnote w:id="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الكاساني، علاء الدين أبو بكر (1982). بدائع الصنائع في ترتيب الشرائع. بيروت: دار الكتاب العربي، كتاب الجنائز.</w:t>
      </w:r>
    </w:p>
  </w:footnote>
  <w:footnote w:id="6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القرافي، أحمد بن إدريس (1994). الذخيرة. بيروت: دار الغرب، كتاب الجنائز.</w:t>
      </w:r>
    </w:p>
  </w:footnote>
  <w:footnote w:id="7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الحطّاب، محمد بن محمد (1398هـ). مواهب الجليل في شرح مختصر خليل. بيروت: دار الفكر، كتاب الجنائز.</w:t>
      </w:r>
    </w:p>
  </w:footnote>
  <w:footnote w:id="7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النووي، يحيى بن شرف (1997). المجموع شرح المهذّب. بيروت: دار الفكر، كتاب الجنائز.</w:t>
      </w:r>
    </w:p>
  </w:footnote>
  <w:footnote w:id="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الرملي، محمد بن أحمد (1404هـ). نهاية المحتاج إلى شرح المنهاج. بيروت: دار الفكر للطباعة، كتاب الجنائز.</w:t>
      </w:r>
    </w:p>
  </w:footnote>
  <w:footnote w:id="7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المرداوي، علاء الدين علي بن سليمان. الإنصاف في معرفة الراجح من الخلاف. بيروت: دار إحياء التراث العربي، كتاب الجنائز.</w:t>
      </w:r>
    </w:p>
  </w:footnote>
  <w:footnote w:id="74">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5">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77">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78">
    <w:p>
      <w:pPr>
        <w:bidi/>
        <w:spacing w:line="240"/>
        <w:jc w:val="both"/>
      </w:pPr>
      <w:r>
        <w:rPr>
          <w:rStyle w:val="FootnoteReference"/>
        </w:rPr>
        <w:footnoteRef/>
      </w:r>
      <w:r>
        <w:rPr>
          <w:rFonts w:ascii="Simplified Arabic" w:cs="Simplified Arabic" w:eastAsia="Simplified Arabic" w:hAnsi="Simplified Arabic"/>
          <w:sz w:val="24"/>
          <w:szCs w:val="24"/>
          <w:rtl/>
        </w:rPr>
        <w:t xml:space="preserve"> Nair-Collins, M. (2015). Clinical and Ethical Perspectives on Brain Death. Medicolegal and Bioethics, 5, 69-80.</w:t>
      </w:r>
    </w:p>
  </w:footnote>
  <w:footnote w:id="7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8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8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8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83">
    <w:p>
      <w:pPr>
        <w:bidi/>
        <w:spacing w:line="240"/>
        <w:jc w:val="both"/>
      </w:pPr>
      <w:r>
        <w:rPr>
          <w:rStyle w:val="FootnoteReference"/>
        </w:rPr>
        <w:footnoteRef/>
      </w:r>
      <w:r>
        <w:rPr>
          <w:rFonts w:ascii="Simplified Arabic" w:cs="Simplified Arabic" w:eastAsia="Simplified Arabic" w:hAnsi="Simplified Arabic"/>
          <w:sz w:val="24"/>
          <w:szCs w:val="24"/>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8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8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الجنائز، رقم الحديث 1315.</w:t>
      </w:r>
    </w:p>
  </w:footnote>
  <w:footnote w:id="86">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87">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88">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89">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90">
    <w:p>
      <w:pPr>
        <w:bidi/>
        <w:spacing w:line="240"/>
        <w:jc w:val="both"/>
      </w:pPr>
      <w:r>
        <w:rPr>
          <w:rStyle w:val="FootnoteReference"/>
        </w:rPr>
        <w:footnoteRef/>
      </w:r>
      <w:r>
        <w:rPr>
          <w:rFonts w:ascii="Simplified Arabic" w:cs="Simplified Arabic" w:eastAsia="Simplified Arabic" w:hAnsi="Simplified Arabic"/>
          <w:sz w:val="24"/>
          <w:szCs w:val="24"/>
          <w:rtl/>
        </w:rPr>
        <w:t xml:space="preserve"> قياسة، ندى (2010). الموت الدماغي بين الطب والدين. مجلة جامعة دمشق للعلوم الاقتصادية والقانونية، مج26، ع1، ص479-500.</w:t>
      </w:r>
    </w:p>
  </w:footnote>
  <w:footnote w:id="91">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92">
    <w:p>
      <w:pPr>
        <w:bidi/>
        <w:spacing w:line="240"/>
        <w:jc w:val="both"/>
      </w:pPr>
      <w:r>
        <w:rPr>
          <w:rStyle w:val="FootnoteReference"/>
        </w:rPr>
        <w:footnoteRef/>
      </w:r>
      <w:r>
        <w:rPr>
          <w:rFonts w:ascii="Simplified Arabic" w:cs="Simplified Arabic" w:eastAsia="Simplified Arabic" w:hAnsi="Simplified Arabic"/>
          <w:sz w:val="24"/>
          <w:szCs w:val="24"/>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93">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9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9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9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97">
    <w:p>
      <w:pPr>
        <w:bidi/>
        <w:spacing w:line="240"/>
        <w:jc w:val="both"/>
      </w:pPr>
      <w:r>
        <w:rPr>
          <w:rStyle w:val="FootnoteReference"/>
        </w:rPr>
        <w:footnoteRef/>
      </w:r>
      <w:r>
        <w:rPr>
          <w:rFonts w:ascii="Simplified Arabic" w:cs="Simplified Arabic" w:eastAsia="Simplified Arabic" w:hAnsi="Simplified Arabic"/>
          <w:sz w:val="24"/>
          <w:szCs w:val="24"/>
          <w:rtl/>
        </w:rPr>
        <w:t xml:space="preserve"> لدغش، رحيمة (2019). الموت السريري والموت الدماغي وأثرهما في الأحكام الشرعية. مجلة العلوم القانونية والسياسية، مج10، ع1.</w:t>
      </w:r>
    </w:p>
  </w:footnote>
  <w:footnote w:id="9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100">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02">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03">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04">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05">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0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0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10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10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11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11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2">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13">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1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5">
    <w:p>
      <w:pPr>
        <w:bidi/>
        <w:spacing w:line="240"/>
        <w:jc w:val="both"/>
      </w:pPr>
      <w:r>
        <w:rPr>
          <w:rStyle w:val="FootnoteReference"/>
        </w:rPr>
        <w:footnoteRef/>
      </w:r>
      <w:r>
        <w:rPr>
          <w:rFonts w:ascii="Simplified Arabic" w:cs="Simplified Arabic" w:eastAsia="Simplified Arabic" w:hAnsi="Simplified Arabic"/>
          <w:sz w:val="24"/>
          <w:szCs w:val="24"/>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11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w:t>
      </w:r>
    </w:p>
  </w:footnote>
  <w:footnote w:id="11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عاشور، محمد الطاهر. مقاصد الشريعة الإسلامية. تونس: الدار التونسية للنشر.</w:t>
      </w:r>
    </w:p>
  </w:footnote>
  <w:footnote w:id="11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الشاطبي، إبراهيم بن موسى. الموافقات في أصول الشريعة. بيروت: دار المعرفة.</w:t>
      </w:r>
    </w:p>
  </w:footnote>
  <w:footnote w:id="120">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عاشور، محمد الطاهر. مقاصد الشريعة الإسلامية. تونس: الدار التونسية للنشر.</w:t>
      </w:r>
    </w:p>
  </w:footnote>
  <w:footnote w:id="12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الريسوني، أحمد (2010). مدخل إلى مقاصد الشريعة. ط1، المنصورة: دار الكلمة.</w:t>
      </w:r>
    </w:p>
  </w:footnote>
  <w:footnote w:id="122">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3">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2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2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6">
    <w:p>
      <w:pPr>
        <w:bidi/>
        <w:spacing w:line="240"/>
        <w:jc w:val="both"/>
      </w:pPr>
      <w:r>
        <w:rPr>
          <w:rStyle w:val="FootnoteReference"/>
        </w:rPr>
        <w:footnoteRef/>
      </w:r>
      <w:r>
        <w:rPr>
          <w:rFonts w:ascii="Simplified Arabic" w:cs="Simplified Arabic" w:eastAsia="Simplified Arabic" w:hAnsi="Simplified Arabic"/>
          <w:sz w:val="24"/>
          <w:szCs w:val="24"/>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27">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28">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29">
    <w:p>
      <w:pPr>
        <w:bidi/>
        <w:spacing w:line="240"/>
        <w:jc w:val="both"/>
      </w:pPr>
      <w:r>
        <w:rPr>
          <w:rStyle w:val="FootnoteReference"/>
        </w:rPr>
        <w:footnoteRef/>
      </w:r>
      <w:r>
        <w:rPr>
          <w:rFonts w:ascii="Simplified Arabic" w:cs="Simplified Arabic" w:eastAsia="Simplified Arabic" w:hAnsi="Simplified Arabic"/>
          <w:sz w:val="24"/>
          <w:szCs w:val="24"/>
          <w:rtl/>
        </w:rPr>
        <w:t xml:space="preserve"> مالك، أبو عبد الله مالك بن أنس (1985). موطأ مالك (تحقيق محمد فؤاد عبد الباقي). ط1، 3ج، القاهرة: دار الأصيل، رقم الحديث 1896، ج3، ص193.</w:t>
      </w:r>
    </w:p>
  </w:footnote>
  <w:footnote w:id="13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البخاري، أبي عبد الله محمد بن اسماعيل (2002). صحيح البخاري. ط1، دمشق بيروت: دار ابن كثير، كتاب الطب، رقم الحديث 5678.</w:t>
      </w:r>
    </w:p>
  </w:footnote>
  <w:footnote w:id="131">
    <w:p>
      <w:pPr>
        <w:bidi/>
        <w:spacing w:line="240"/>
        <w:jc w:val="both"/>
      </w:pPr>
      <w:r>
        <w:rPr>
          <w:rStyle w:val="FootnoteReference"/>
        </w:rPr>
        <w:footnoteRef/>
      </w:r>
      <w:r>
        <w:rPr>
          <w:rFonts w:ascii="Simplified Arabic" w:cs="Simplified Arabic" w:eastAsia="Simplified Arabic" w:hAnsi="Simplified Arabic"/>
          <w:sz w:val="24"/>
          <w:szCs w:val="24"/>
          <w:rtl/>
        </w:rPr>
        <w:t xml:space="preserve"> مسلم بن الحجاج القشيري النيسابوري (2006). صحيح مسلم (تحقيق نظر الفاريابي). ط1، المنصورة: مكتبة الإيمان، رقم الحديث 1631.</w:t>
      </w:r>
    </w:p>
  </w:footnote>
  <w:footnote w:id="132">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3">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4">
    <w:p>
      <w:pPr>
        <w:bidi/>
        <w:spacing w:line="240"/>
        <w:jc w:val="both"/>
      </w:pPr>
      <w:r>
        <w:rPr>
          <w:rStyle w:val="FootnoteReference"/>
        </w:rPr>
        <w:footnoteRef/>
      </w:r>
      <w:r>
        <w:rPr>
          <w:rFonts w:ascii="Simplified Arabic" w:cs="Simplified Arabic" w:eastAsia="Simplified Arabic" w:hAnsi="Simplified Arabic"/>
          <w:sz w:val="24"/>
          <w:szCs w:val="24"/>
          <w:rtl/>
        </w:rPr>
        <w:t xml:space="preserve"> زيدان، عبد الكريم (2001). الوجيز في شرح القواعد الفقهية في الشريعة الإسلامية. ط1، بيروت: مؤسسة الرسالة.</w:t>
      </w:r>
    </w:p>
  </w:footnote>
  <w:footnote w:id="13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3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3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3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قدامة، عبد الله بن أحمد (1405هـ). المغني. بيروت: دار الفكر، كتاب الجراح.</w:t>
      </w:r>
    </w:p>
  </w:footnote>
  <w:footnote w:id="13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الشربيني، محمد الخطيب. مغني المحتاج إلى معرفة معاني ألفاظ المنهاج. بيروت: دار الفكر، كتاب الجنائز.</w:t>
      </w:r>
    </w:p>
  </w:footnote>
  <w:footnote w:id="140">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41">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4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4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البار، محمد علي (1987). التعريف الطبي للموت. مجلة مجمع الفقه الإسلامي، جدة: منظمة المؤتمر الإسلامي، العدد الثالث.</w:t>
      </w:r>
    </w:p>
  </w:footnote>
  <w:footnote w:id="144">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4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46">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47">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48">
    <w:p>
      <w:pPr>
        <w:bidi/>
        <w:spacing w:line="240"/>
        <w:jc w:val="both"/>
      </w:pPr>
      <w:r>
        <w:rPr>
          <w:rStyle w:val="FootnoteReference"/>
        </w:rPr>
        <w:footnoteRef/>
      </w:r>
      <w:r>
        <w:rPr>
          <w:rFonts w:ascii="Simplified Arabic" w:cs="Simplified Arabic" w:eastAsia="Simplified Arabic" w:hAnsi="Simplified Arabic"/>
          <w:sz w:val="24"/>
          <w:szCs w:val="24"/>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4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50">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2">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53">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4">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5">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57">
    <w:p>
      <w:pPr>
        <w:bidi/>
        <w:spacing w:line="240"/>
        <w:jc w:val="both"/>
      </w:pPr>
      <w:r>
        <w:rPr>
          <w:rStyle w:val="FootnoteReference"/>
        </w:rPr>
        <w:footnoteRef/>
      </w:r>
      <w:r>
        <w:rPr>
          <w:rFonts w:ascii="Simplified Arabic" w:cs="Simplified Arabic" w:eastAsia="Simplified Arabic" w:hAnsi="Simplified Arabic"/>
          <w:sz w:val="24"/>
          <w:szCs w:val="24"/>
          <w:rtl/>
        </w:rPr>
        <w:t xml:space="preserve"> Journal of Law, Medicine &amp; Ethics (2025). Addressing the Problem of Brain Death Misdiagnosis. JLME, 53(2), 244-253.</w:t>
      </w:r>
    </w:p>
  </w:footnote>
  <w:footnote w:id="158">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59">
    <w:p>
      <w:pPr>
        <w:bidi/>
        <w:spacing w:line="240"/>
        <w:jc w:val="both"/>
      </w:pPr>
      <w:r>
        <w:rPr>
          <w:rStyle w:val="FootnoteReference"/>
        </w:rPr>
        <w:footnoteRef/>
      </w:r>
      <w:r>
        <w:rPr>
          <w:rFonts w:ascii="Simplified Arabic" w:cs="Simplified Arabic" w:eastAsia="Simplified Arabic" w:hAnsi="Simplified Arabic"/>
          <w:sz w:val="24"/>
          <w:szCs w:val="24"/>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6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6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62">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الصحة العامة الفلسطيني رقم (20) لسنة 2004م.</w:t>
      </w:r>
    </w:p>
  </w:footnote>
  <w:footnote w:id="163">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الصحة العامة الفلسطيني رقم (20) لسنة 2004م.</w:t>
      </w:r>
    </w:p>
  </w:footnote>
  <w:footnote w:id="164">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الانتفاع بأعضاء جسم الإنسان الأردني رقم (23) لسنة 1977م وتعديلاته؛ وينظر: الزرعوني، راشد محمود (2024). المرجع السابق ذكره.</w:t>
      </w:r>
    </w:p>
  </w:footnote>
  <w:footnote w:id="165">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66">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6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6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69">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70">
    <w:p>
      <w:pPr>
        <w:bidi/>
        <w:spacing w:line="240"/>
        <w:jc w:val="both"/>
      </w:pPr>
      <w:r>
        <w:rPr>
          <w:rStyle w:val="FootnoteReference"/>
        </w:rPr>
        <w:footnoteRef/>
      </w:r>
      <w:r>
        <w:rPr>
          <w:rFonts w:ascii="Simplified Arabic" w:cs="Simplified Arabic" w:eastAsia="Simplified Arabic" w:hAnsi="Simplified Arabic"/>
          <w:sz w:val="24"/>
          <w:szCs w:val="24"/>
          <w:rtl/>
        </w:rPr>
        <w:t xml:space="preserve"> قانون الموت الدماغي-التنفسي الإسرائيلي لسنة 2008 (חוק מוות מוחי-נשימתי, התשס"ח-2008)، الكنيست، سجل القوانين الإسرائيلي.</w:t>
      </w:r>
    </w:p>
  </w:footnote>
  <w:footnote w:id="171">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7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173">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174">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75">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القانون الفرنسي المتعلق بحقوق المرضى ونهاية الحياة (قانون ليونيتي) لسنة 2005م.</w:t>
      </w:r>
    </w:p>
  </w:footnote>
  <w:footnote w:id="17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77">
    <w:p>
      <w:pPr>
        <w:bidi/>
        <w:spacing w:line="240"/>
        <w:jc w:val="both"/>
      </w:pPr>
      <w:r>
        <w:rPr>
          <w:rStyle w:val="FootnoteReference"/>
        </w:rPr>
        <w:footnoteRef/>
      </w:r>
      <w:r>
        <w:rPr>
          <w:rFonts w:ascii="Simplified Arabic" w:cs="Simplified Arabic" w:eastAsia="Simplified Arabic" w:hAnsi="Simplified Arabic"/>
          <w:sz w:val="24"/>
          <w:szCs w:val="24"/>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78">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79">
    <w:p>
      <w:pPr>
        <w:bidi/>
        <w:spacing w:line="240"/>
        <w:jc w:val="both"/>
      </w:pPr>
      <w:r>
        <w:rPr>
          <w:rStyle w:val="FootnoteReference"/>
        </w:rPr>
        <w:footnoteRef/>
      </w:r>
      <w:r>
        <w:rPr>
          <w:rFonts w:ascii="Simplified Arabic" w:cs="Simplified Arabic" w:eastAsia="Simplified Arabic" w:hAnsi="Simplified Arabic"/>
          <w:sz w:val="24"/>
          <w:szCs w:val="24"/>
          <w:rtl/>
        </w:rPr>
        <w:t xml:space="preserve"> Retrospective Analysis of the Apnea Test and Ancillary Test in Determining Brain Death (2020). Vol. 32, No. 3, pp. 405-411.</w:t>
      </w:r>
    </w:p>
  </w:footnote>
  <w:footnote w:id="180">
    <w:p>
      <w:pPr>
        <w:bidi/>
        <w:spacing w:line="240"/>
        <w:jc w:val="both"/>
      </w:pPr>
      <w:r>
        <w:rPr>
          <w:rStyle w:val="FootnoteReference"/>
        </w:rPr>
        <w:footnoteRef/>
      </w:r>
      <w:r>
        <w:rPr>
          <w:rFonts w:ascii="Simplified Arabic" w:cs="Simplified Arabic" w:eastAsia="Simplified Arabic" w:hAnsi="Simplified Arabic"/>
          <w:sz w:val="24"/>
          <w:szCs w:val="24"/>
          <w:rtl/>
        </w:rPr>
        <w:t xml:space="preserve"> Greer, D. M., Shemie, S. D., Lewis, A., et al. (2020). Determination of Brain Death/Death by Neurologic Criteria: The World Brain Death Project. JAMA, 324(11), 1078-1097.</w:t>
      </w:r>
    </w:p>
  </w:footnote>
  <w:footnote w:id="181">
    <w:p>
      <w:pPr>
        <w:bidi/>
        <w:spacing w:line="240"/>
        <w:jc w:val="both"/>
      </w:pPr>
      <w:r>
        <w:rPr>
          <w:rStyle w:val="FootnoteReference"/>
        </w:rPr>
        <w:footnoteRef/>
      </w:r>
      <w:r>
        <w:rPr>
          <w:rFonts w:ascii="Simplified Arabic" w:cs="Simplified Arabic" w:eastAsia="Simplified Arabic" w:hAnsi="Simplified Arabic"/>
          <w:sz w:val="24"/>
          <w:szCs w:val="24"/>
          <w:rtl/>
        </w:rPr>
        <w:t xml:space="preserve"> Greer, D. M., Kirschen, M. P., Lewis, A., et al. (2023). Pediatric and Adult Brain Death/Death by Neurologic Criteria Consensus Guideline. Neurology, 101(24), 1112-1132.</w:t>
      </w:r>
    </w:p>
  </w:footnote>
  <w:footnote w:id="182">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8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84">
    <w:p>
      <w:pPr>
        <w:bidi/>
        <w:spacing w:line="240"/>
        <w:jc w:val="both"/>
      </w:pPr>
      <w:r>
        <w:rPr>
          <w:rStyle w:val="FootnoteReference"/>
        </w:rPr>
        <w:footnoteRef/>
      </w:r>
      <w:r>
        <w:rPr>
          <w:rFonts w:ascii="Simplified Arabic" w:cs="Simplified Arabic" w:eastAsia="Simplified Arabic" w:hAnsi="Simplified Arabic"/>
          <w:sz w:val="24"/>
          <w:szCs w:val="24"/>
          <w:rtl/>
        </w:rPr>
        <w:t xml:space="preserve"> Gostin, L. O. (2014). Legal and Ethical Responsibilities Following Brain Death: The McMath and Munoz Cases. JAMA, published online January 24, 2014.</w:t>
      </w:r>
    </w:p>
  </w:footnote>
  <w:footnote w:id="185">
    <w:p>
      <w:pPr>
        <w:bidi/>
        <w:spacing w:line="240"/>
        <w:jc w:val="both"/>
      </w:pPr>
      <w:r>
        <w:rPr>
          <w:rStyle w:val="FootnoteReference"/>
        </w:rPr>
        <w:footnoteRef/>
      </w:r>
      <w:r>
        <w:rPr>
          <w:rFonts w:ascii="Simplified Arabic" w:cs="Simplified Arabic" w:eastAsia="Simplified Arabic" w:hAnsi="Simplified Arabic"/>
          <w:sz w:val="24"/>
          <w:szCs w:val="24"/>
          <w:rtl/>
        </w:rPr>
        <w:t xml:space="preserve"> Ancillary Tests for Brain Death (2025). Frontiers in Neurology, vol. 15 (2024), published January 7, 2025.</w:t>
      </w:r>
    </w:p>
  </w:footnote>
  <w:footnote w:id="186">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الزكي، عبد الله (2020). نقل أعضاء الميت موتًا سريريًّا في الفقه الإسلامي. مجلة المنهل، جامعة الوادي، الجزائر، مج6، ع2.</w:t>
      </w:r>
    </w:p>
  </w:footnote>
  <w:footnote w:id="187">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88">
    <w:p>
      <w:pPr>
        <w:bidi/>
        <w:spacing w:line="240"/>
        <w:jc w:val="both"/>
      </w:pPr>
      <w:r>
        <w:rPr>
          <w:rStyle w:val="FootnoteReference"/>
        </w:rPr>
        <w:footnoteRef/>
      </w:r>
      <w:r>
        <w:rPr>
          <w:rFonts w:ascii="Simplified Arabic" w:cs="Simplified Arabic" w:eastAsia="Simplified Arabic" w:hAnsi="Simplified Arabic"/>
          <w:sz w:val="24"/>
          <w:szCs w:val="24"/>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89">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0">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1">
    <w:p>
      <w:pPr>
        <w:bidi/>
        <w:spacing w:line="240"/>
        <w:jc w:val="both"/>
      </w:pPr>
      <w:r>
        <w:rPr>
          <w:rStyle w:val="FootnoteReference"/>
        </w:rPr>
        <w:footnoteRef/>
      </w:r>
      <w:r>
        <w:rPr>
          <w:rFonts w:ascii="Simplified Arabic" w:cs="Simplified Arabic" w:eastAsia="Simplified Arabic" w:hAnsi="Simplified Arabic"/>
          <w:sz w:val="24"/>
          <w:szCs w:val="24"/>
          <w:rtl/>
        </w:rPr>
        <w:t xml:space="preserve"> بن صفية، سليمان (2022). أحكام الموت الدماغي للإنسان والتصرف في أعضائه. مجلة الشهاب، الجزائر، مج8، ع2، ص411-434.</w:t>
      </w:r>
    </w:p>
  </w:footnote>
  <w:footnote w:id="192">
    <w:p>
      <w:pPr>
        <w:bidi/>
        <w:spacing w:line="240"/>
        <w:jc w:val="right"/>
      </w:pPr>
      <w:r>
        <w:rPr>
          <w:rStyle w:val="FootnoteReference"/>
        </w:rPr>
        <w:footnoteRef/>
      </w:r>
      <w:r>
        <w:rPr>
          <w:rFonts w:ascii="Simplified Arabic" w:cs="Simplified Arabic" w:eastAsia="Simplified Arabic" w:hAnsi="Simplified Arabic"/>
          <w:sz w:val="24"/>
          <w:szCs w:val="24"/>
          <w:rtl/>
        </w:rPr>
        <w:t xml:space="preserve"> دار الإفتاء المصرية. الفتوى رقم (11622): حكم رفع الأجهزة الطبية عن المريض الميؤوس من شفائه. القاهرة. https://dar-alifta.org/ar/fatwa/details/11622</w:t>
      </w:r>
    </w:p>
  </w:footnote>
  <w:footnote w:id="19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الدق، صلاح نجيب (2022). الأحكام المتعلّقة برفع أجهزة الإنعاش عن المريض. مجلة جمعية أنصار السنة المحمدية، مصر، مج14، ع88، ص14-16.</w:t>
      </w:r>
    </w:p>
  </w:footnote>
  <w:footnote w:id="194">
    <w:p>
      <w:pPr>
        <w:bidi/>
        <w:spacing w:line="240"/>
        <w:jc w:val="right"/>
      </w:pPr>
      <w:r>
        <w:rPr>
          <w:rStyle w:val="FootnoteReference"/>
        </w:rPr>
        <w:footnoteRef/>
      </w:r>
      <w:r>
        <w:rPr>
          <w:rFonts w:ascii="Simplified Arabic" w:cs="Simplified Arabic" w:eastAsia="Simplified Arabic" w:hAnsi="Simplified Arabic"/>
          <w:sz w:val="24"/>
          <w:szCs w:val="24"/>
          <w:rtl/>
        </w:rPr>
        <w:t xml:space="preserve"> دار الإفتاء المصرية. الفتوى رقم (11622): حكم رفع الأجهزة الطبية عن المريض الميؤوس من شفائه. القاهرة. https://dar-alifta.org/ar/fatwa/details/11622</w:t>
      </w:r>
    </w:p>
  </w:footnote>
  <w:footnote w:id="195">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96">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97">
    <w:p>
      <w:pPr>
        <w:bidi/>
        <w:spacing w:line="240"/>
        <w:jc w:val="right"/>
      </w:pPr>
      <w:r>
        <w:rPr>
          <w:rStyle w:val="FootnoteReference"/>
        </w:rPr>
        <w:footnoteRef/>
      </w:r>
      <w:r>
        <w:rPr>
          <w:rFonts w:ascii="Simplified Arabic" w:cs="Simplified Arabic" w:eastAsia="Simplified Arabic" w:hAnsi="Simplified Arabic"/>
          <w:sz w:val="24"/>
          <w:szCs w:val="24"/>
          <w:rtl/>
        </w:rPr>
        <w:t xml:space="preserve"> مركز الفتوى بإسلام ويب. فتوى رقم (9005): حكم رفع الأجهزة عن الميت دماغيًا. https://www.islamweb.net/ar/fatwa/9005</w:t>
      </w:r>
    </w:p>
  </w:footnote>
  <w:footnote w:id="198">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99">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200">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201">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202">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203">
    <w:p>
      <w:pPr>
        <w:bidi/>
        <w:spacing w:line="240"/>
        <w:jc w:val="both"/>
      </w:pPr>
      <w:r>
        <w:rPr>
          <w:rStyle w:val="FootnoteReference"/>
        </w:rPr>
        <w:footnoteRef/>
      </w:r>
      <w:r>
        <w:rPr>
          <w:rFonts w:ascii="Simplified Arabic" w:cs="Simplified Arabic" w:eastAsia="Simplified Arabic" w:hAnsi="Simplified Arabic"/>
          <w:sz w:val="24"/>
          <w:szCs w:val="24"/>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4"/>
      <w:szCs w:val="24"/>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7lob6wxkp8r6gjcpmfdh" Type="http://schemas.openxmlformats.org/officeDocument/2006/relationships/hyperlink" Target="https://journals.ekb.eg/article_368941_0.html" TargetMode="External"/><Relationship Id="rIdzdwc9xq6es0qefnwbshx7" Type="http://schemas.openxmlformats.org/officeDocument/2006/relationships/hyperlink" Target="https://mjle.journals.ekb.eg/article_368941_50690f4113b5efc26ad3acb040dabad4.pdf" TargetMode="External"/><Relationship Id="rIdygdfjvgwlgvioa42ucurz" Type="http://schemas.openxmlformats.org/officeDocument/2006/relationships/hyperlink" Target="https://search.mandumah.com/Record/1633970" TargetMode="External"/><Relationship Id="rIdoetlg52ucpbvjybg1ga_t" Type="http://schemas.openxmlformats.org/officeDocument/2006/relationships/hyperlink" Target="https://doi.org/10.65414/najsp.v2i4.281" TargetMode="External"/><Relationship Id="rId_5v52qw-cw0l0pfc21wak" Type="http://schemas.openxmlformats.org/officeDocument/2006/relationships/hyperlink" Target="https://doi.org/10.61353/ma.0000141" TargetMode="External"/><Relationship Id="rId1pk66gpk0v223ao36zpvx" Type="http://schemas.openxmlformats.org/officeDocument/2006/relationships/hyperlink" Target="https://www.researchgate.net/publication/393318043" TargetMode="External"/><Relationship Id="rId3w7nqfvr5wh5im6govecv" Type="http://schemas.openxmlformats.org/officeDocument/2006/relationships/hyperlink" Target="https://bcchj.uobabylon.edu.iq/index.php/bcchj/ar/article/view/1016" TargetMode="External"/><Relationship Id="rIdu7cadszjzko25_8ibsvpl" Type="http://schemas.openxmlformats.org/officeDocument/2006/relationships/hyperlink" Target="https://asjp.cerist.dz/en/article/198662" TargetMode="External"/><Relationship Id="rIdqrr4aox4oxm4al135otyq" Type="http://schemas.openxmlformats.org/officeDocument/2006/relationships/hyperlink" Target="https://search.mandumah.com/Record/1232048" TargetMode="External"/><Relationship Id="rIdxsxtyhlq4gqsghs_qwfsf" Type="http://schemas.openxmlformats.org/officeDocument/2006/relationships/hyperlink" Target="https://journals.alqasimia.ac.ae/index.php/ssis/article/view/66" TargetMode="External"/><Relationship Id="rIdrgkx5gkjfrjmr89jfydyi" Type="http://schemas.openxmlformats.org/officeDocument/2006/relationships/hyperlink" Target="https://www.ajrsp.com/vol/issue31/" TargetMode="External"/><Relationship Id="rId0nwrhjhyolugayu-hslud" Type="http://schemas.openxmlformats.org/officeDocument/2006/relationships/hyperlink" Target="https://dspace.univ-eloued.dz/handle/123456789/15831" TargetMode="External"/><Relationship Id="rIdx-gggk32h-dv4-ybjxjdp" Type="http://schemas.openxmlformats.org/officeDocument/2006/relationships/hyperlink" Target="https://asjp.cerist.dz/en/article/91461" TargetMode="External"/><Relationship Id="rIdoccucnjuecm4bravvahpg" Type="http://schemas.openxmlformats.org/officeDocument/2006/relationships/hyperlink" Target="https://asjp.cerist.dz/en/article/26599" TargetMode="External"/><Relationship Id="rId6qayoobe8csvjpvdx6_to" Type="http://schemas.openxmlformats.org/officeDocument/2006/relationships/hyperlink" Target="https://www.damascusuniversity.edu.sy/mag/law/images/stories/479-500.pdf" TargetMode="External"/><Relationship Id="rIdkg99qe-hjnznmxtappc4u" Type="http://schemas.openxmlformats.org/officeDocument/2006/relationships/hyperlink" Target="https://search.mandumah.com/Record/167975" TargetMode="External"/><Relationship Id="rIdqwsulu4a84-8vw-62f9e1" Type="http://schemas.openxmlformats.org/officeDocument/2006/relationships/hyperlink" Target="https://iifa-aifi.org/ar/journal" TargetMode="External"/><Relationship Id="rIdxl9bc2mmqffl9kzn4yfh4" Type="http://schemas.openxmlformats.org/officeDocument/2006/relationships/hyperlink" Target="https://www.cambridge.org/core/services/aop-cambridge-core/content/view/F891733330C5E4ADCB8C5BB0235E271F" TargetMode="External"/><Relationship Id="rIdthh7_8x_rp4u8ujyhuo5n" Type="http://schemas.openxmlformats.org/officeDocument/2006/relationships/hyperlink" Target="https://doi.org/10.3389/fneur.2024.1491263" TargetMode="External"/><Relationship Id="rId-g4qjck1uqkemuxkpthwr" Type="http://schemas.openxmlformats.org/officeDocument/2006/relationships/hyperlink" Target="https://www.walshmedicalmedia.com/open-access/clinical-death-a-reversible-state-of-cardiac-arrest-119791.html" TargetMode="External"/><Relationship Id="rIdghcmxbvac1jnoaq_3dexc" Type="http://schemas.openxmlformats.org/officeDocument/2006/relationships/hyperlink" Target="https://doi.org/10.1212/WNL.0000000000207740" TargetMode="External"/><Relationship Id="rIdbttjcnmuleqsmrkocjzq5" Type="http://schemas.openxmlformats.org/officeDocument/2006/relationships/hyperlink" Target="https://doi.org/10.1001/jama.2020.11586" TargetMode="External"/><Relationship Id="rIdoj3bbas5_putx_8g9ojlo" Type="http://schemas.openxmlformats.org/officeDocument/2006/relationships/hyperlink" Target="https://doi.org/10.1038/nrneurol.2017.172" TargetMode="External"/><Relationship Id="rIdi1bqtcohreeffzhacfvxb" Type="http://schemas.openxmlformats.org/officeDocument/2006/relationships/hyperlink" Target="https://pmc.ncbi.nlm.nih.gov/articles/PMC7595719/" TargetMode="External"/><Relationship Id="rIdqhwkygtjvei8dyxr_jck0" Type="http://schemas.openxmlformats.org/officeDocument/2006/relationships/hyperlink" Target="https://doi.org/10.1212/WNL.0000000000006750" TargetMode="External"/><Relationship Id="rIdlaqj_sriizi-y4wa2r2mo" Type="http://schemas.openxmlformats.org/officeDocument/2006/relationships/hyperlink" Target="https://doi.org/10.2147/MB.S70369" TargetMode="External"/><Relationship Id="rId82akctgsgzfy-vino3ged"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2026-08-30T19:16:16.222Z</dcterms:created>
  <dcterms:modified xsi:type="dcterms:W3CDTF">2026-08-30T19:16:16.223Z</dcterms:modified>
</cp:coreProperties>
</file>

<file path=docProps/custom.xml><?xml version="1.0" encoding="utf-8"?>
<Properties xmlns="http://schemas.openxmlformats.org/officeDocument/2006/custom-properties" xmlns:vt="http://schemas.openxmlformats.org/officeDocument/2006/docPropsVTypes"/>
</file>