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מגישה: [שם מלא + ת"ז]</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היא נותנת בדיוק את המסר שהייתי רוצה לחדד בפני קבוצה שאני מובילה: שמנהיג אחראי לא רק על מה שעשה, אלא גם על מי שנשמט מתשומת ליבו.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מביאה לקבוצה שאני מובילה. הקלות שבה אנחנו פוטרים את עצמנו, "אני לא עשיתי כלום", היא בדיוק מה שהמשנה באה לפרק. מנהיג טוב נמדד לא במה שעשה לאלה שנמצאים איתו בחדר, אלא במי שיצא מהחדר בלי שליווה אותו. פרשת עגלה ערופה, בקריאה של חז"ל, היא גם דוגמה יפה לתנועה שהקורס עסק בה, מהמקרא אל המשנה ואל התלמוד: ההלכה המקראית נשארת, אבל המשמעות המוסרית שנקראת לתוכה הולכת ומעמיקה.</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לא משום שהיא הראשונה בזמן, אלא משום שהיא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ב. משמעותה והשינוי שחוללה. הלברטל, במבוא למשנה, מראה שהמשנה איננה רק ספר חוקים אלא סוג חדש של טקסט, שמעמיד את החכמים כנושאי הסמכות של התורה. זו התנועה שהקורס כינה "מנביא לחכם": מרכז הכובד של הדת עובר מן הנבואה ומן המקדש אל בית המדרש ואל ציבור החכמים. המשנה מכוננת את התורה שבעל פה כמערכת אוטונומית, ובכך היא 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רק אוסף דינים אלא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מצד אחד סמכות ופסיקה, מצד שני ריבוי קולות ומחלוקת חיה בתוך הטקסט המחייב עצמו. דווקא הפתיחות הזאת היא שהפכה את המשנה לבסיס של דיון שנמשך אלפי שנים, ולמעשה ייסדה את הדרך שבה היהדות חושבת: לא בהכרעה שמוחקת את הצד שכנגד, אלא בשימור המחלוקת בתוך הקאנון עצמו.</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ריב"ז מעמיד פני מת, תלמידיו מוציאים את ארונו מן העיר שהבריונים אוסרים לצאת ממנה, ובמחנה הרומי הוא פונה אל אספסיאנוס: "שלום עליך המלך". אספסיאנוס משיב שהוא חייב מיתה, שהרי קרא לו מלך והוא אינו מלך. באותו רגע מגיע שליח מרומא ומבשר שאספסיאנוס נתמנה לקיסר, והברכה מתאמתת.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פורסטנברג, במאמרו "ממקדש לאדם", מציב את הסיפור הזה בלב תהליך רחב: אחרי החורבן עובר מוקד הקדושה מן המקדש אל האדם ואל בית המדרש. בקשתו של ריב"ז מגלמת בדיוק את המעבר הזה. הוא אינו מבקש להציל את המקדש אלא את יבנה וחכמיה, כלומר בוחר בהמשכיות התורה על פני המרכז הפיזי. מרקס, בדיונו על ריב"ז והקמת יבנה, מראה כיצד הבחירה הזאת הפכה למוסד ממשי, לבית ועד שממנו צומחת מחדש ההנהגה שאיבדה את מרכזה בירושלים.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אלא חלק ממנו: האגדה אינה מוסרת שבח פשוט אלא מתלבטת בשאלה מה מותר ואפשר להציל כשהכול קורס.</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 זו התנועה "ממקדש לאדם" בתמצית.</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ב. מגמות ומאפיינים של תקופת חז"ל. ראשית, המדרש מציב את לימוד התורה כערך העליון,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שנית, המדרש מעמיד במרכז את יחסי הרב והתלמיד ואת הלימוד שבעל פה: ריב"ז מלמד את אליעזר יום יום, מהיסוד, והידע עובר מפה לאוזן ולא מספר. שלישית, יש כאן אידיאל של מסירות קיצונית לתורה, ותפיסה שהלימוד עצמו מקדש את האדם, עד שפניו מאירות כפני משה. זהו ביטוי מובהק למעבר "מנביא לחכם": מקום הנבואה נתפס עתה על ידי החכם שדורש בבית המדרש.</w:t>
      </w:r>
    </w:p>
    <w:p>
      <w:pPr>
        <w:bidi w:val="1"/>
        <w:spacing w:line="360" w:lineRule="auto" w:after="160"/>
        <w:jc w:val="both"/>
      </w:pPr>
      <w:r>
        <w:rPr>
          <w:rFonts w:ascii="David" w:hAnsi="David" w:cs="David"/>
          <w:b w:val="0"/>
          <w:sz w:val="24"/>
          <w:szCs w:val="24"/>
          <w:rtl w:val="1"/>
        </w:rPr>
        <w:t>כדאי לשים לב גם לפרט הקטן שחותם את הסיפור. כשהורקנוס האב שומע ששבחו של ריב"ז נאמר על בנו, תגובתו אינה גאווה של אב אלא רצון להיות שותף בעצמו בזכות: "אשרי אני שיצא זה מחלציי". גם כאן מבצבצת מגמה של התקופה, שבה מעמדו של אדם נמדד לא בשדותיו אלא בקרבתו לתורה ולחכמים.</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שקבע שחייב אדם ללמד את בתו תורה. מי שנאבק בעצמו על הכניסה אל עולם התורה מציב דווקא גבול חד בפני מי שמבקש להיכנס אליו מכיוון אחר. בויארין, במאמרו על נשים לומדות, מראה כיצד עמדות כאלה אינן גחמה אישית אלא קשורות בתפיסה רבנית רחבה של גוף, מגדר וגבולות הלימוד, שבה עולם בית המדרש נבנה כמרחב גברי.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אבות דרבי נתן, נוסח א. </w:t>
      </w:r>
      <w:r>
        <w:rPr>
          <w:rFonts w:ascii="David" w:hAnsi="David" w:cs="David"/>
          <w:i/>
          <w:sz w:val="24"/>
          <w:szCs w:val="24"/>
          <w:rtl w:val="1"/>
        </w:rPr>
      </w:r>
      <w:r>
        <w:rPr>
          <w:rFonts w:ascii="David" w:hAnsi="David" w:cs="David"/>
          <w:b w:val="0"/>
          <w:sz w:val="24"/>
          <w:szCs w:val="24"/>
          <w:rtl w:val="1"/>
        </w:rPr>
        <w:t>(דף מקורות הקורס: איך נעשים חכם.ה).</w:t>
      </w:r>
    </w:p>
    <w:p>
      <w:pPr>
        <w:bidi w:val="1"/>
        <w:spacing w:line="360" w:lineRule="auto" w:after="120"/>
        <w:ind w:left="432" w:hanging="432"/>
        <w:jc w:val="right"/>
      </w:pPr>
      <w:r>
        <w:rPr>
          <w:rFonts w:ascii="David" w:hAnsi="David" w:cs="David"/>
          <w:b w:val="0"/>
          <w:sz w:val="24"/>
          <w:szCs w:val="24"/>
          <w:rtl w:val="1"/>
        </w:rPr>
        <w:t xml:space="preserve">בויארין, ד'. </w:t>
      </w:r>
      <w:r>
        <w:rPr>
          <w:rFonts w:ascii="David" w:hAnsi="David" w:cs="David"/>
          <w:i/>
          <w:sz w:val="24"/>
          <w:szCs w:val="24"/>
          <w:rtl w:val="1"/>
        </w:rPr>
        <w:t>נשים לומדות: הבשר שברוח</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הלברטל, מ'. </w:t>
      </w:r>
      <w:r>
        <w:rPr>
          <w:rFonts w:ascii="David" w:hAnsi="David" w:cs="David"/>
          <w:i/>
          <w:sz w:val="24"/>
          <w:szCs w:val="24"/>
          <w:rtl w:val="1"/>
        </w:rPr>
        <w:t>מבוא למשנה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מרקס, ד'. </w:t>
      </w:r>
      <w:r>
        <w:rPr>
          <w:rFonts w:ascii="David" w:hAnsi="David" w:cs="David"/>
          <w:i/>
          <w:sz w:val="24"/>
          <w:szCs w:val="24"/>
          <w:rtl w:val="1"/>
        </w:rPr>
        <w:t>רבן יוחנן בן זכאי והקמת יבנה</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t xml:space="preserve">פורסטנברג, י'. </w:t>
      </w:r>
      <w:r>
        <w:rPr>
          <w:rFonts w:ascii="David" w:hAnsi="David" w:cs="David"/>
          <w:i/>
          <w:sz w:val="24"/>
          <w:szCs w:val="24"/>
          <w:rtl w:val="1"/>
        </w:rPr>
        <w:t>ממקדש לאדם</w:t>
      </w:r>
      <w:r>
        <w:rPr>
          <w:rFonts w:ascii="David" w:hAnsi="David" w:cs="David"/>
          <w:b w:val="0"/>
          <w:sz w:val="24"/>
          <w:szCs w:val="24"/>
          <w:rtl w:val="1"/>
        </w:rPr>
        <w:t>. (מתוך חומרי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עדויות (על פי דפי המקורות של הקורס).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