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bidi/>
        <w:spacing w:line="480"/>
        <w:jc w:val="center"/>
      </w:pPr>
      <w:r>
        <w:rPr>
          <w:rFonts w:ascii="David" w:cs="David" w:eastAsia="David" w:hAnsi="David"/>
          <w:b/>
          <w:bCs/>
          <w:sz w:val="36"/>
          <w:szCs w:val="36"/>
          <w:rtl/>
        </w:rPr>
        <w:t xml:space="preserve">רווחה נפשית ותפיסת הלגיטימיות של סגל הכליאה בקרב אסירים שפוטים בישראל</w:t>
      </w:r>
    </w:p>
    <w:p>
      <w:r>
        <w:t xml:space="preserve"/>
      </w:r>
    </w:p>
    <w:p>
      <w:r>
        <w:t xml:space="preserve"/>
      </w:r>
    </w:p>
    <w:p>
      <w:pPr>
        <w:bidi/>
        <w:spacing w:after="0" w:line="480"/>
        <w:jc w:val="center"/>
      </w:pPr>
      <w:r>
        <w:rPr>
          <w:rFonts w:ascii="David" w:cs="David" w:eastAsia="David" w:hAnsi="David"/>
          <w:sz w:val="24"/>
          <w:szCs w:val="24"/>
          <w:rtl/>
        </w:rPr>
        <w:t xml:space="preserve">עבודה מוגשת במסגרת סמינריון תנאי כליאה של אסירים פליליים בישראל ובעולם</w:t>
      </w:r>
    </w:p>
    <w:p>
      <w:pPr>
        <w:bidi/>
        <w:spacing w:after="0" w:line="480"/>
        <w:jc w:val="center"/>
      </w:pPr>
      <w:r>
        <w:rPr>
          <w:rFonts w:ascii="David" w:cs="David" w:eastAsia="David" w:hAnsi="David"/>
          <w:sz w:val="24"/>
          <w:szCs w:val="24"/>
          <w:rtl/>
        </w:rPr>
        <w:t xml:space="preserve">בהנחיית ד"ר יוחנן ועקנין</w:t>
      </w:r>
    </w:p>
    <w:p>
      <w:r>
        <w:t xml:space="preserve"/>
      </w:r>
    </w:p>
    <w:p>
      <w:pPr>
        <w:bidi/>
        <w:spacing w:after="0" w:line="480"/>
        <w:jc w:val="center"/>
      </w:pPr>
      <w:r>
        <w:rPr>
          <w:rFonts w:ascii="David" w:cs="David" w:eastAsia="David" w:hAnsi="David"/>
          <w:sz w:val="24"/>
          <w:szCs w:val="24"/>
          <w:rtl/>
        </w:rPr>
        <w:t xml:space="preserve">מאת</w:t>
      </w:r>
    </w:p>
    <w:p>
      <w:pPr>
        <w:bidi/>
        <w:spacing w:after="0" w:line="480"/>
        <w:jc w:val="center"/>
      </w:pPr>
      <w:r>
        <w:rPr>
          <w:rFonts w:ascii="David" w:cs="David" w:eastAsia="David" w:hAnsi="David"/>
          <w:sz w:val="24"/>
          <w:szCs w:val="24"/>
          <w:highlight w:val="yellow"/>
          <w:rtl/>
        </w:rPr>
        <w:t xml:space="preserve">שם, מספר זהות</w:t>
      </w:r>
    </w:p>
    <w:p>
      <w:pPr>
        <w:bidi/>
        <w:spacing w:after="0" w:line="480"/>
        <w:jc w:val="center"/>
      </w:pPr>
      <w:r>
        <w:rPr>
          <w:rFonts w:ascii="David" w:cs="David" w:eastAsia="David" w:hAnsi="David"/>
          <w:sz w:val="24"/>
          <w:szCs w:val="24"/>
          <w:highlight w:val="yellow"/>
          <w:rtl/>
        </w:rPr>
        <w:t xml:space="preserve">שם, מספר זהות</w:t>
      </w:r>
    </w:p>
    <w:p>
      <w:r>
        <w:t xml:space="preserve"/>
      </w:r>
    </w:p>
    <w:p>
      <w:r>
        <w:t xml:space="preserve"/>
      </w:r>
    </w:p>
    <w:p>
      <w:pPr>
        <w:bidi/>
        <w:spacing w:after="0" w:line="480"/>
        <w:jc w:val="center"/>
      </w:pPr>
      <w:r>
        <w:rPr>
          <w:rFonts w:ascii="David" w:cs="David" w:eastAsia="David" w:hAnsi="David"/>
          <w:sz w:val="24"/>
          <w:szCs w:val="24"/>
          <w:rtl/>
        </w:rPr>
        <w:t xml:space="preserve">החוג לקרימינולוגיה</w:t>
      </w:r>
    </w:p>
    <w:p>
      <w:pPr>
        <w:bidi/>
        <w:spacing w:after="0" w:line="480"/>
        <w:jc w:val="center"/>
      </w:pPr>
      <w:r>
        <w:rPr>
          <w:rFonts w:ascii="David" w:cs="David" w:eastAsia="David" w:hAnsi="David"/>
          <w:sz w:val="24"/>
          <w:szCs w:val="24"/>
          <w:rtl/>
        </w:rPr>
        <w:t xml:space="preserve">המכללה האקדמית אשקלון</w:t>
      </w:r>
    </w:p>
    <w:p>
      <w:r>
        <w:t xml:space="preserve"/>
      </w:r>
    </w:p>
    <w:p>
      <w:r>
        <w:t xml:space="preserve"/>
      </w:r>
    </w:p>
    <w:p>
      <w:r>
        <w:t xml:space="preserve"/>
      </w:r>
    </w:p>
    <w:p>
      <w:r>
        <w:t xml:space="preserve"/>
      </w:r>
    </w:p>
    <w:p>
      <w:pPr>
        <w:bidi/>
        <w:spacing w:after="0" w:line="480"/>
        <w:jc w:val="center"/>
      </w:pPr>
      <w:r>
        <w:rPr>
          <w:rFonts w:ascii="David" w:cs="David" w:eastAsia="David" w:hAnsi="David"/>
          <w:sz w:val="24"/>
          <w:szCs w:val="24"/>
          <w:rtl/>
        </w:rPr>
        <w:t xml:space="preserve">אשקלון, </w:t>
      </w:r>
      <w:r>
        <w:rPr>
          <w:rFonts w:ascii="David" w:cs="David" w:eastAsia="David" w:hAnsi="David"/>
          <w:sz w:val="24"/>
          <w:szCs w:val="24"/>
          <w:highlight w:val="yellow"/>
          <w:rtl/>
        </w:rPr>
        <w:t xml:space="preserve">אלול תשפ"ו, ספטמבר 2026</w:t>
      </w:r>
    </w:p>
    <w:p>
      <w:pPr>
        <w:pageBreakBefore/>
        <w:bidi/>
        <w:spacing w:after="240"/>
        <w:jc w:val="right"/>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480"/>
        <w:jc w:val="right"/>
      </w:pPr>
      <w:r>
        <w:rPr>
          <w:rFonts w:ascii="David" w:cs="David" w:eastAsia="David" w:hAnsi="David"/>
          <w:b/>
          <w:bCs/>
          <w:sz w:val="32"/>
          <w:szCs w:val="32"/>
          <w:rtl/>
        </w:rPr>
        <w:t xml:space="preserve">תקציר בעברית</w:t>
      </w:r>
    </w:p>
    <w:p>
      <w:pPr>
        <w:bidi/>
        <w:spacing w:after="0" w:line="480"/>
        <w:ind w:firstLine="567"/>
        <w:jc w:val="both"/>
      </w:pPr>
      <w:r>
        <w:rPr>
          <w:rFonts w:ascii="David" w:cs="David" w:eastAsia="David" w:hAnsi="David"/>
          <w:sz w:val="24"/>
          <w:szCs w:val="24"/>
          <w:rtl/>
        </w:rPr>
        <w:t xml:space="preserve">המחקר הנוכחי בחן את הקשר בין רווחה נפשית לבין תפיסת הלגיטימיות של סגל הכליאה בקרב אסירים שפוטים בישראל. המסגרת התאורטית נשענת על גישת הצדק הפרוצדורלי, שלפיה ציות לסמכות נובע בעיקר מתפיסתה כהוגנת ולא מפחד מענישה, ועל ספרות ההסתגלות למאסר. הנתונים הם נתונים סינתטיים המבוססים על סקר תנאי המחיה של שירות בתי הסוהר, והניתוח צומצם לאוכלוסיית השפוטים בלבד (N = </w:t>
      </w:r>
      <w:r>
        <w:rPr>
          <w:rFonts w:ascii="David" w:cs="David" w:eastAsia="David" w:hAnsi="David"/>
          <w:sz w:val="24"/>
          <w:szCs w:val="24"/>
          <w:highlight w:val="yellow"/>
          <w:rtl/>
        </w:rPr>
        <w:t xml:space="preserve">___</w:t>
      </w:r>
      <w:r>
        <w:rPr>
          <w:rFonts w:ascii="David" w:cs="David" w:eastAsia="David" w:hAnsi="David"/>
          <w:sz w:val="24"/>
          <w:szCs w:val="24"/>
          <w:rtl/>
        </w:rPr>
        <w:t xml:space="preserve">). הלגיטימיות שימשה משתנה תלוי והרווחה הנפשית משתנה בלתי תלוי. הניתוחים כללו סטטיסטיקה תיאורית, מתאמי פירסון ורגרסיה ליניארית. הממצאים הראו </w:t>
      </w:r>
      <w:r>
        <w:rPr>
          <w:rFonts w:ascii="David" w:cs="David" w:eastAsia="David" w:hAnsi="David"/>
          <w:sz w:val="24"/>
          <w:szCs w:val="24"/>
          <w:highlight w:val="yellow"/>
          <w:rtl/>
        </w:rPr>
        <w:t xml:space="preserve">קשר חיובי מובהק בין רווחה נפשית לבין לגיטימיות (r = ___, </w:t>
      </w:r>
      <w:r>
        <w:rPr>
          <w:rFonts w:ascii="Times New Roman" w:cs="Times New Roman" w:eastAsia="Times New Roman" w:hAnsi="Times New Roman"/>
          <w:sz w:val="24"/>
          <w:szCs w:val="24"/>
          <w:highlight w:val="yellow"/>
        </w:rPr>
        <w:t xml:space="preserve">p &lt; .05</w:t>
      </w:r>
      <w:r>
        <w:rPr>
          <w:rFonts w:ascii="David" w:cs="David" w:eastAsia="David" w:hAnsi="David"/>
          <w:sz w:val="24"/>
          <w:szCs w:val="24"/>
          <w:highlight w:val="yellow"/>
          <w:rtl/>
        </w:rPr>
        <w:t xml:space="preserve">)</w:t>
      </w:r>
      <w:r>
        <w:rPr>
          <w:rFonts w:ascii="David" w:cs="David" w:eastAsia="David" w:hAnsi="David"/>
          <w:sz w:val="24"/>
          <w:szCs w:val="24"/>
          <w:rtl/>
        </w:rPr>
        <w:t xml:space="preserve">, והרווחה הנפשית הסבירה </w:t>
      </w:r>
      <w:r>
        <w:rPr>
          <w:rFonts w:ascii="David" w:cs="David" w:eastAsia="David" w:hAnsi="David"/>
          <w:sz w:val="24"/>
          <w:szCs w:val="24"/>
          <w:highlight w:val="yellow"/>
          <w:rtl/>
        </w:rPr>
        <w:t xml:space="preserve">___</w:t>
      </w:r>
      <w:r>
        <w:rPr>
          <w:rFonts w:ascii="David" w:cs="David" w:eastAsia="David" w:hAnsi="David"/>
          <w:sz w:val="24"/>
          <w:szCs w:val="24"/>
          <w:rtl/>
        </w:rPr>
        <w:t xml:space="preserve"> אחוזים מהשונות בלגיטימיות. הממצאים עולים בקנה אחד עם מחקרים קודמים באנגליה, בהולנד ובסלובניה, ומצביעים על כך שהשקעה ברווחתם הנפשית של שפוטים היא גם השקעה בסדר ובציות באגף.</w:t>
      </w:r>
    </w:p>
    <w:p>
      <w:r>
        <w:t xml:space="preserve"/>
      </w:r>
    </w:p>
    <w:p>
      <w:pPr>
        <w:bidi/>
        <w:spacing w:after="0" w:line="480"/>
        <w:jc w:val="both"/>
      </w:pPr>
      <w:r>
        <w:rPr>
          <w:rFonts w:ascii="David" w:cs="David" w:eastAsia="David" w:hAnsi="David"/>
          <w:sz w:val="24"/>
          <w:szCs w:val="24"/>
          <w:rtl/>
        </w:rPr>
        <w:t xml:space="preserve">מילות מפתח: לגיטימיות, רווחה נפשית, צדק פרוצדורלי, אסירים שפוטים, שירות בתי הסוהר</w:t>
      </w:r>
    </w:p>
    <w:p>
      <w:pPr>
        <w:pStyle w:val="Heading1"/>
        <w:pageBreakBefore/>
        <w:bidi/>
        <w:spacing w:after="240" w:before="0" w:line="480"/>
        <w:jc w:val="right"/>
      </w:pPr>
      <w:r>
        <w:rPr>
          <w:rFonts w:ascii="David" w:cs="David" w:eastAsia="David" w:hAnsi="David"/>
          <w:b/>
          <w:bCs/>
          <w:sz w:val="32"/>
          <w:szCs w:val="32"/>
          <w:rtl/>
        </w:rPr>
        <w:t xml:space="preserve">תקציר באנגלית</w:t>
      </w:r>
    </w:p>
    <w:p>
      <w:pPr>
        <w:spacing w:after="0" w:line="480"/>
        <w:jc w:val="left"/>
      </w:pPr>
      <w:r>
        <w:rPr>
          <w:rFonts w:ascii="Times New Roman" w:cs="Times New Roman" w:eastAsia="Times New Roman" w:hAnsi="Times New Roman"/>
          <w:sz w:val="24"/>
          <w:szCs w:val="24"/>
        </w:rPr>
        <w:t xml:space="preserve">This study examined the relationship between mental well-being and the perceived legitimacy of prison staff among sentenced prisoners in Israel. It draws on procedural justice theory, which holds that compliance with authority stems mainly from perceiving that authority as fair rather than from fear of punishment, and on the literature on adaptation to imprisonment. Legitimacy served as the dependent variable and well-being as the independent variable. The data are synthetic and modeled on the Israel Prison Service living conditions survey; the analysis was restricted to sentenced prisoners (N = </w:t>
      </w:r>
      <w:r>
        <w:rPr>
          <w:rFonts w:ascii="Times New Roman" w:cs="Times New Roman" w:eastAsia="Times New Roman" w:hAnsi="Times New Roman"/>
          <w:sz w:val="24"/>
          <w:szCs w:val="24"/>
          <w:highlight w:val="yellow"/>
        </w:rPr>
        <w:t xml:space="preserve">___</w:t>
      </w:r>
      <w:r>
        <w:rPr>
          <w:rFonts w:ascii="Times New Roman" w:cs="Times New Roman" w:eastAsia="Times New Roman" w:hAnsi="Times New Roman"/>
          <w:sz w:val="24"/>
          <w:szCs w:val="24"/>
        </w:rPr>
        <w:t xml:space="preserve">). Analyses included descriptive statistics, Pearson correlations and linear regression. Results showed </w:t>
      </w:r>
      <w:r>
        <w:rPr>
          <w:rFonts w:ascii="Times New Roman" w:cs="Times New Roman" w:eastAsia="Times New Roman" w:hAnsi="Times New Roman"/>
          <w:sz w:val="24"/>
          <w:szCs w:val="24"/>
          <w:highlight w:val="yellow"/>
        </w:rPr>
        <w:t xml:space="preserve">a significant positive association between well-being and legitimacy (r = ___, p &lt; .05)</w:t>
      </w:r>
      <w:r>
        <w:rPr>
          <w:rFonts w:ascii="Times New Roman" w:cs="Times New Roman" w:eastAsia="Times New Roman" w:hAnsi="Times New Roman"/>
          <w:sz w:val="24"/>
          <w:szCs w:val="24"/>
        </w:rPr>
        <w:t xml:space="preserve">, with well-being explaining </w:t>
      </w:r>
      <w:r>
        <w:rPr>
          <w:rFonts w:ascii="Times New Roman" w:cs="Times New Roman" w:eastAsia="Times New Roman" w:hAnsi="Times New Roman"/>
          <w:sz w:val="24"/>
          <w:szCs w:val="24"/>
          <w:highlight w:val="yellow"/>
        </w:rPr>
        <w:t xml:space="preserve">___</w:t>
      </w:r>
      <w:r>
        <w:rPr>
          <w:rFonts w:ascii="Times New Roman" w:cs="Times New Roman" w:eastAsia="Times New Roman" w:hAnsi="Times New Roman"/>
          <w:sz w:val="24"/>
          <w:szCs w:val="24"/>
        </w:rPr>
        <w:t xml:space="preserve"> percent of the variance in legitimacy. The findings are consistent with prior studies in England and Wales, the Netherlands and Slovenia, and suggest that investing in prisoners' well-being also serves order and compliance on the wing.</w:t>
      </w:r>
    </w:p>
    <w:p>
      <w:r>
        <w:t xml:space="preserve"/>
      </w:r>
    </w:p>
    <w:p>
      <w:pPr>
        <w:spacing w:after="0" w:line="480"/>
        <w:jc w:val="left"/>
      </w:pPr>
      <w:r>
        <w:rPr>
          <w:rFonts w:ascii="Times New Roman" w:cs="Times New Roman" w:eastAsia="Times New Roman" w:hAnsi="Times New Roman"/>
          <w:sz w:val="24"/>
          <w:szCs w:val="24"/>
        </w:rPr>
        <w:t xml:space="preserve">Keywords: legitimacy, mental well-being, procedural justice, sentenced prisoners, Israel Prison Service</w:t>
      </w:r>
    </w:p>
    <w:p>
      <w:pPr>
        <w:pStyle w:val="Heading1"/>
        <w:pageBreakBefore/>
        <w:bidi/>
        <w:spacing w:after="240" w:before="0" w:line="480"/>
        <w:jc w:val="right"/>
      </w:pPr>
      <w:r>
        <w:rPr>
          <w:rFonts w:ascii="David" w:cs="David" w:eastAsia="David" w:hAnsi="David"/>
          <w:b/>
          <w:bCs/>
          <w:sz w:val="32"/>
          <w:szCs w:val="32"/>
          <w:rtl/>
        </w:rPr>
        <w:t xml:space="preserve">מבוא</w:t>
      </w:r>
    </w:p>
    <w:p>
      <w:pPr>
        <w:bidi/>
        <w:spacing w:after="0" w:line="480"/>
        <w:ind w:firstLine="567"/>
        <w:jc w:val="both"/>
      </w:pPr>
      <w:r>
        <w:rPr>
          <w:rFonts w:ascii="David" w:cs="David" w:eastAsia="David" w:hAnsi="David"/>
          <w:sz w:val="24"/>
          <w:szCs w:val="24"/>
          <w:rtl/>
        </w:rPr>
        <w:t xml:space="preserve">בית הסוהר הוא מוסד שבו הסמכות של הסגל כמעט מוחלטת, ובכל זאת הסדר היומיומי באגף תלוי בשיתוף פעולה של האסירים עצמם. ספרקס, בוטומס והיי (</w:t>
      </w:r>
      <w:r>
        <w:rPr>
          <w:rFonts w:ascii="Times New Roman" w:cs="Times New Roman" w:eastAsia="Times New Roman" w:hAnsi="Times New Roman"/>
          <w:sz w:val="24"/>
          <w:szCs w:val="24"/>
        </w:rPr>
        <w:t xml:space="preserve">Sparks et al., 1996</w:t>
      </w:r>
      <w:r>
        <w:rPr>
          <w:rFonts w:ascii="David" w:cs="David" w:eastAsia="David" w:hAnsi="David"/>
          <w:sz w:val="24"/>
          <w:szCs w:val="24"/>
          <w:rtl/>
        </w:rPr>
        <w:t xml:space="preserve">) הראו שסדר בבתי סוהר אינו מתקיים בכוח בלבד. הוא נשען על תחושה של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בהקשר של הכליאה, לגיטימיות היא האופן שבו האסיר שופט את הסוהרים ואת אנשי הסגל האחרים: האם הם הוגנים, האם הם מכבדים, האם אפשר לסמוך עליהם.</w:t>
      </w:r>
    </w:p>
    <w:p>
      <w:pPr>
        <w:bidi/>
        <w:spacing w:after="0" w:line="480"/>
        <w:ind w:firstLine="567"/>
        <w:jc w:val="both"/>
      </w:pPr>
      <w:r>
        <w:rPr>
          <w:rFonts w:ascii="David" w:cs="David" w:eastAsia="David" w:hAnsi="David"/>
          <w:sz w:val="24"/>
          <w:szCs w:val="24"/>
          <w:rtl/>
        </w:rPr>
        <w:t xml:space="preserve">בישראל, המחקר הראשון בהיקף רחב שבחן שאלות אלו נערך בשירות בתי הסוהר על מדגם של 2,363 אסירים ו-1,427 עצורים פליליים בגירים. המחקר בחן את הקשרים בין תנאי המחיה, הלגיטימיות ושביעות הרצון מפעילויות חינוך, טיפול ושיקום, ומצא שהלגיטימיות ממלאת תפקיד מתווך בין תנאי המחיה לבין שביעות הרצון מפעילויות השיקום (ועקנין, 2024). המחקר הנוכחי לוקח מתוך אותו מערך נתונים חוט אחד ובוחן אותו לעומק: הקשר בין רווחתו הנפשית של האסיר לבין האופן שבו הוא תופס את לגיטימיות הסגל. הבחירה להתמקד באסירים שפוטים בלבד אינה מקרית. עצור נמצא במצב זמני ולא ודאי, ואילו לשפוט יש אופק ידוע, שהות ממושכת יותר באגף וחשיפה ארוכה יותר לאותו סגל. תהליכי ההסתגלות למאסר, שהם חלק ממוקד המחקר, רלוונטיים לו יותר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w:t>
      </w:r>
    </w:p>
    <w:p>
      <w:pPr>
        <w:pStyle w:val="Heading2"/>
        <w:bidi/>
        <w:spacing w:after="120" w:before="240" w:line="480"/>
        <w:jc w:val="right"/>
      </w:pPr>
      <w:r>
        <w:rPr>
          <w:rFonts w:ascii="David" w:cs="David" w:eastAsia="David" w:hAnsi="David"/>
          <w:b/>
          <w:bCs/>
          <w:sz w:val="28"/>
          <w:szCs w:val="28"/>
          <w:rtl/>
        </w:rPr>
        <w:t xml:space="preserve">מטרת המחקר ומבנה העבודה</w:t>
      </w:r>
    </w:p>
    <w:p>
      <w:pPr>
        <w:bidi/>
        <w:spacing w:after="0" w:line="480"/>
        <w:ind w:firstLine="567"/>
        <w:jc w:val="both"/>
      </w:pPr>
      <w:r>
        <w:rPr>
          <w:rFonts w:ascii="David" w:cs="David" w:eastAsia="David" w:hAnsi="David"/>
          <w:sz w:val="24"/>
          <w:szCs w:val="24"/>
          <w:rtl/>
        </w:rPr>
        <w:t xml:space="preserve">מטרת המחקר היא לבחון באיזו מידה קיים קשר בין רווחה נפשית לבין תפיסת הלגיטימיות של סגל הכליאה בקרב אסירים שפוטים. הלגיטימיות היא המשתנה התלוי, והרווחה הנפשית היא המשתנה הבלתי תלוי. לצדם נבחנים משתני רקע ובהם לאום, מספר המאסרים ומשך השהייה באגף. העבודה פותחת בסקירת ספרות בשני חלקים, הסתגלות למאסר ורווחה נפשית מצד אחד ולגיטימיות של סגל הכליאה מצד שני, ומסתיימת בשאלת המחקר ובהשערותיו. לאחר מכן מוצגים פרק השיטה, פרק הממצאים והדיון, ובסופם מגבלות המחקר, סיכום, גילוי נאות ורשימת המקורות. הפלטים הסטטיסטיים והסינטקס מובאים בנספחים.</w:t>
      </w:r>
    </w:p>
    <w:p>
      <w:pPr>
        <w:pStyle w:val="Heading1"/>
        <w:pageBreakBefore/>
        <w:bidi/>
        <w:spacing w:after="240" w:before="0" w:line="480"/>
        <w:jc w:val="right"/>
      </w:pPr>
      <w:r>
        <w:rPr>
          <w:rFonts w:ascii="David" w:cs="David" w:eastAsia="David" w:hAnsi="David"/>
          <w:b/>
          <w:bCs/>
          <w:sz w:val="32"/>
          <w:szCs w:val="32"/>
          <w:rtl/>
        </w:rPr>
        <w:t xml:space="preserve">סקירת ספרות</w:t>
      </w:r>
    </w:p>
    <w:p>
      <w:pPr>
        <w:pStyle w:val="Heading2"/>
        <w:bidi/>
        <w:spacing w:after="120" w:before="240" w:line="480"/>
        <w:jc w:val="right"/>
      </w:pPr>
      <w:r>
        <w:rPr>
          <w:rFonts w:ascii="David" w:cs="David" w:eastAsia="David" w:hAnsi="David"/>
          <w:b/>
          <w:bCs/>
          <w:sz w:val="28"/>
          <w:szCs w:val="28"/>
          <w:rtl/>
        </w:rPr>
        <w:t xml:space="preserve">הסתגלות למאסר ורווחה נפשית</w:t>
      </w:r>
    </w:p>
    <w:p>
      <w:pPr>
        <w:bidi/>
        <w:spacing w:after="0" w:line="480"/>
        <w:ind w:firstLine="567"/>
        <w:jc w:val="both"/>
      </w:pPr>
      <w:r>
        <w:rPr>
          <w:rFonts w:ascii="David" w:cs="David" w:eastAsia="David" w:hAnsi="David"/>
          <w:sz w:val="24"/>
          <w:szCs w:val="24"/>
          <w:rtl/>
        </w:rPr>
        <w:t xml:space="preserve">נקודת המוצא לכל דיון בהסתגלות למאסר היא עבודתו של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שתיאר את "כאבי המאסר": אובדן החירות, אובדן טובין ושירותים, אובדן קשרים אינטימיים, אובדן האוטונומיה ואובדן תחושת הביטחון. סייקס ראה בכאבים אלו לא רק אי-נוחות אלא איום על תפיסת העצמי של האסיר, וטען שחיי האגף, על הסולידריות והעוינות שבהם, הם תגובה קולקטיבית לאיום זה. חמשת הכאבים הללו הם הבסיס שממנו צומחת השאלה כיצד אסיר מסתגל למקום שנועד לשלול ממנו כמעט הכול.</w:t>
      </w:r>
    </w:p>
    <w:p>
      <w:pPr>
        <w:bidi/>
        <w:spacing w:after="0" w:line="480"/>
        <w:ind w:firstLine="567"/>
        <w:jc w:val="both"/>
      </w:pPr>
      <w:r>
        <w:rPr>
          <w:rFonts w:ascii="David" w:cs="David" w:eastAsia="David" w:hAnsi="David"/>
          <w:sz w:val="24"/>
          <w:szCs w:val="24"/>
          <w:rtl/>
        </w:rPr>
        <w:t xml:space="preserve">הספרות המאוחרת יותר עברה מתיאור כללי של המאסר לבחינה של ההבדלים בין בתי סוהר ובין אסירים. ליבלינג ומרונה (</w:t>
      </w:r>
      <w:r>
        <w:rPr>
          <w:rFonts w:ascii="Times New Roman" w:cs="Times New Roman" w:eastAsia="Times New Roman" w:hAnsi="Times New Roman"/>
          <w:sz w:val="24"/>
          <w:szCs w:val="24"/>
        </w:rPr>
        <w:t xml:space="preserve">Liebling &amp; Maruna, 2005</w:t>
      </w:r>
      <w:r>
        <w:rPr>
          <w:rFonts w:ascii="David" w:cs="David" w:eastAsia="David" w:hAnsi="David"/>
          <w:sz w:val="24"/>
          <w:szCs w:val="24"/>
          <w:rtl/>
        </w:rPr>
        <w:t xml:space="preserve">) הראו שהשפעות המאסר אינן אחידות: תקופת הקליטה היא הפגיעה ביותר, המצוקה הנפשית גבוהה במיוחד בשבועות הראשונים, והסיכון להתאבדות מרוכז בהם.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הוסיפה מסגרת מושגית שקראה לה "הביצוע המוסרי" של בית הסוהר: כבוד, אנושיות, יחסים עם הסגל, הוגנות וביטחון. במחקרה נמצא שמימדים אלו נבדלים בין מוסדות, ושהם מתואמים עם רמת המצוקה של האסירים. בתי סוהר שונים זה מזה, וההבדל חשוב.</w:t>
      </w:r>
    </w:p>
    <w:p>
      <w:pPr>
        <w:bidi/>
        <w:spacing w:after="0" w:line="480"/>
        <w:ind w:firstLine="567"/>
        <w:jc w:val="both"/>
      </w:pPr>
      <w:r>
        <w:rPr>
          <w:rFonts w:ascii="David" w:cs="David" w:eastAsia="David" w:hAnsi="David"/>
          <w:sz w:val="24"/>
          <w:szCs w:val="24"/>
          <w:rtl/>
        </w:rPr>
        <w:t xml:space="preserve">החיבור המחקרי הישיר ביותר בין יחס הסגל לבין הרווחה הנפשית נמצא בפרויקט האורך ההולנדי. בייארסברגן ואחרים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ראיינו 824 אסירים גברים שלושה שבועות ושלושה חודשים לאחר קליטתם, ומצאו שתפיסה של יחס הוגן ומכבד מצד הסוהרים בזמן הראשון ניבאה פחות בעיות נפשיות בזמן השני. כיוון ההשפעה במחקר זה הוא מיחס הסגל אל הרווחה. המחקר הנוכחי בוחן גם את הכיוון ההפוך: הרווחה הנפשית כמנבאת של תפיסת הסגל. ההיגיון פשוט. אסיר במצוקה נוטה לפרש אינטראקציה דו-משמעית עם סוהר כעוינת, ורווחה נמוכה מצמצמת את הנכונות לתת אמון. מאחר שהמערך הנוכחי הוא מתאמי, הוא אינו יכול להכריע בין שני הכיוונים, אלא לבחון אם הקשר קיים ומה עוצמתו.</w:t>
      </w:r>
    </w:p>
    <w:p>
      <w:pPr>
        <w:pStyle w:val="Heading2"/>
        <w:bidi/>
        <w:spacing w:after="120" w:before="240" w:line="480"/>
        <w:jc w:val="right"/>
      </w:pPr>
      <w:r>
        <w:rPr>
          <w:rFonts w:ascii="David" w:cs="David" w:eastAsia="David" w:hAnsi="David"/>
          <w:b/>
          <w:bCs/>
          <w:sz w:val="28"/>
          <w:szCs w:val="28"/>
          <w:rtl/>
        </w:rPr>
        <w:t xml:space="preserve">לגיטימיות של סגל הכליאה</w:t>
      </w:r>
    </w:p>
    <w:p>
      <w:pPr>
        <w:bidi/>
        <w:spacing w:after="0" w:line="480"/>
        <w:ind w:firstLine="567"/>
        <w:jc w:val="both"/>
      </w:pPr>
      <w:r>
        <w:rPr>
          <w:rFonts w:ascii="David" w:cs="David" w:eastAsia="David" w:hAnsi="David"/>
          <w:sz w:val="24"/>
          <w:szCs w:val="24"/>
          <w:rtl/>
        </w:rPr>
        <w:t xml:space="preserve">המודל המבוסס-תהליך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הוא הבסיס התאורטי של רוב מחקרי הלגיטימיות בכליאה. טיילר הראה, בתחילה ביחס למשטרה ולבתי המשפט, שאנשים מצייתים לחוק בעיקר משום שהם תופסים את הרשות כלגיטימית, ושהלגיטימיות נבנית דרך צדק פרוצדורלי: מתן קול, ניטרליות בקבלת החלטות, יחס מכבד ותחושה שהרשות פועלת בתום לב. ספרקס ואחרים (</w:t>
      </w:r>
      <w:r>
        <w:rPr>
          <w:rFonts w:ascii="Times New Roman" w:cs="Times New Roman" w:eastAsia="Times New Roman" w:hAnsi="Times New Roman"/>
          <w:sz w:val="24"/>
          <w:szCs w:val="24"/>
        </w:rPr>
        <w:t xml:space="preserve">Sparks et al., 1996</w:t>
      </w:r>
      <w:r>
        <w:rPr>
          <w:rFonts w:ascii="David" w:cs="David" w:eastAsia="David" w:hAnsi="David"/>
          <w:sz w:val="24"/>
          <w:szCs w:val="24"/>
          <w:rtl/>
        </w:rPr>
        <w:t xml:space="preserve">) העבירו את המודל אל בית הסוהר וטענו שדווקא במקום שבו פערי הכוח קיצוניים, האופן שבו הסמכות מופעלת קובע אם היא תזכה לציות נורמטיבי או רק לציות אינסטרומנטלי.</w:t>
      </w:r>
    </w:p>
    <w:p>
      <w:pPr>
        <w:bidi/>
        <w:spacing w:after="0" w:line="480"/>
        <w:ind w:firstLine="567"/>
        <w:jc w:val="both"/>
      </w:pPr>
      <w:r>
        <w:rPr>
          <w:rFonts w:ascii="David" w:cs="David" w:eastAsia="David" w:hAnsi="David"/>
          <w:sz w:val="24"/>
          <w:szCs w:val="24"/>
          <w:rtl/>
        </w:rPr>
        <w:t xml:space="preserve">הממצא האמפירי החזק ביותר בתחום מגיע מאנגליה ומוויילס.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ניתחו סקר של יותר מ-3,000 אסירים בניתוח רב-רמות ומצאו שההוגנות הפרוצדורלית היא המנבא החזק ביותר של לגיטימיות. הם מצאו גם שונות בלגיטימיות לפי מאפייני האסיר, לפי תנאי המחיה בבית הסוהר ובין בתי סוהר שונים. בהולנד, בייארסברגן ואחרים (</w:t>
      </w:r>
      <w:r>
        <w:rPr>
          <w:rFonts w:ascii="Times New Roman" w:cs="Times New Roman" w:eastAsia="Times New Roman" w:hAnsi="Times New Roman"/>
          <w:sz w:val="24"/>
          <w:szCs w:val="24"/>
        </w:rPr>
        <w:t xml:space="preserve">Beijersbergen et al., 2015</w:t>
      </w:r>
      <w:r>
        <w:rPr>
          <w:rFonts w:ascii="David" w:cs="David" w:eastAsia="David" w:hAnsi="David"/>
          <w:sz w:val="24"/>
          <w:szCs w:val="24"/>
          <w:rtl/>
        </w:rPr>
        <w:t xml:space="preserve">) חיברו נתוני 1,610 אסירים במעצר לנתוני סקר של 690 אנשי סגל, והראו שמאפייני הסגל ביחידה קשורים לתפיסת הצדק הפרוצדורלי של האסירים מעבר למאפייני האסירים עצמם. במילים אחרות, מי שעומד מול האסיר משפיע על מה שהאסיר חושב על המערכת.</w:t>
      </w:r>
    </w:p>
    <w:p>
      <w:pPr>
        <w:bidi/>
        <w:spacing w:after="0" w:line="480"/>
        <w:ind w:firstLine="567"/>
        <w:jc w:val="both"/>
      </w:pPr>
      <w:r>
        <w:rPr>
          <w:rFonts w:ascii="David" w:cs="David" w:eastAsia="David" w:hAnsi="David"/>
          <w:sz w:val="24"/>
          <w:szCs w:val="24"/>
          <w:rtl/>
        </w:rPr>
        <w:t xml:space="preserve">שני מחקרים נוספים מרחיבים את התמונה. בסלובניה,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ערכו ראיונות מובנים עם 193 אסירים ומצאו שתפיסת הלגיטימיות מושפעת מצדק חלוקתי ופרוצדורלי, מאיכות היחסים עם הסגל ומיעילותו. יותר ממחצית המרואיינים לא נתנו אמון בסגל, וחלק ניכר מהציות שתיארו נבע מפחד מסנקציות ולא מהכרה בלגיטימיות. בארצות הברית, פרנקה, בירי ומקנזי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השוו בניסוי אקראי בין מחנה אימונים לבין בית סוהר רגיל ומצאו שתפיסת הלגיטימיות משתנה במהלך המאסר: בית הסוהר הרגיל פגע בה, ומה שהסביר את הפגיעה היה ריבוי חוויות שליליות ודלות סביבתית. צמצום הדלות ושיפור החוויות היומיומיות, כך הראו, מעלים את הלגיטימיות. ממצא זה חשוב למחקר הנוכחי משום שדלות סביבתית וחוויות שליליות הן בדיוק המרכיבים שמעצבים את הרווחה הנפשית.</w:t>
      </w:r>
    </w:p>
    <w:p>
      <w:pPr>
        <w:bidi/>
        <w:spacing w:after="0" w:line="480"/>
        <w:ind w:firstLine="567"/>
        <w:jc w:val="both"/>
      </w:pPr>
      <w:r>
        <w:rPr>
          <w:rFonts w:ascii="David" w:cs="David" w:eastAsia="David" w:hAnsi="David"/>
          <w:sz w:val="24"/>
          <w:szCs w:val="24"/>
          <w:rtl/>
        </w:rPr>
        <w:t xml:space="preserve">סקירת ההיקף של ראיין וברגין (</w:t>
      </w:r>
      <w:r>
        <w:rPr>
          <w:rFonts w:ascii="Times New Roman" w:cs="Times New Roman" w:eastAsia="Times New Roman" w:hAnsi="Times New Roman"/>
          <w:sz w:val="24"/>
          <w:szCs w:val="24"/>
        </w:rPr>
        <w:t xml:space="preserve">Ryan &amp; Bergin, 2022</w:t>
      </w:r>
      <w:r>
        <w:rPr>
          <w:rFonts w:ascii="David" w:cs="David" w:eastAsia="David" w:hAnsi="David"/>
          <w:sz w:val="24"/>
          <w:szCs w:val="24"/>
          <w:rtl/>
        </w:rPr>
        <w:t xml:space="preserve">) סיכמה את הספרות האמפירית סביב שני צירים: מה מעצב תפיסות של צדק פרוצדורלי ולגיטימיות, וכיצד תפיסות אלו קשורות לציות. הסוקרים הצביעו על כך שרוב המחקרים נערכו במדינות מערביות מעטות, ושהבסיס הראייתי מחוץ להן דל. המחקר הישראלי של ועקנין (2024) הוא צעד ראשון בכיוון זה, אך הוא בחן את הלגיטימיות כמתווכת בין תנאי מחיה לשביעות רצון מפעילויות שיקום, ולא את הקשר הישיר בין רווחה נפשית ללגיטימיות בקרב שפוטים.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1"/>
        <w:pageBreakBefore/>
        <w:bidi/>
        <w:spacing w:after="240" w:before="0" w:line="480"/>
        <w:jc w:val="right"/>
      </w:pPr>
      <w:r>
        <w:rPr>
          <w:rFonts w:ascii="David" w:cs="David" w:eastAsia="David" w:hAnsi="David"/>
          <w:b/>
          <w:bCs/>
          <w:sz w:val="32"/>
          <w:szCs w:val="32"/>
          <w:rtl/>
        </w:rPr>
        <w:t xml:space="preserve">שאלת המחקר והשערותיו</w:t>
      </w:r>
    </w:p>
    <w:p>
      <w:pPr>
        <w:bidi/>
        <w:spacing w:after="0" w:line="480"/>
        <w:jc w:val="both"/>
      </w:pPr>
      <w:r>
        <w:rPr>
          <w:rFonts w:ascii="David" w:cs="David" w:eastAsia="David" w:hAnsi="David"/>
          <w:sz w:val="24"/>
          <w:szCs w:val="24"/>
          <w:rtl/>
        </w:rPr>
        <w:t xml:space="preserve">שאלת המחקר: באיזו מידה קיים קשר בין רווחה נפשית לבין תפיסת הלגיטימיות של סגל הכליאה בקרב אסירים שפוטים בלבד?</w:t>
      </w:r>
    </w:p>
    <w:p>
      <w:pPr>
        <w:bidi/>
        <w:spacing w:after="0" w:line="480"/>
        <w:jc w:val="both"/>
      </w:pPr>
      <w:r>
        <w:rPr>
          <w:rFonts w:ascii="David" w:cs="David" w:eastAsia="David" w:hAnsi="David"/>
          <w:sz w:val="24"/>
          <w:szCs w:val="24"/>
          <w:rtl/>
        </w:rPr>
        <w:t xml:space="preserve">משתנה תלוי: תפיסת הלגיטימיות של סגל הכליאה. משתנה בלתי תלוי: רווחה נפשית. משתני רקע: לאום (יהודים ולא יהודים), מספר מאסרים ומשך השהייה באגף.</w:t>
      </w:r>
    </w:p>
    <w:p>
      <w:pPr>
        <w:bidi/>
        <w:spacing w:after="0" w:line="480"/>
        <w:jc w:val="both"/>
      </w:pPr>
      <w:r>
        <w:rPr>
          <w:rFonts w:ascii="David" w:cs="David" w:eastAsia="David" w:hAnsi="David"/>
          <w:sz w:val="24"/>
          <w:szCs w:val="24"/>
          <w:rtl/>
        </w:rPr>
        <w:t xml:space="preserve">השערה 1: יימצא קשר חיובי מובהק בין רווחה נפשית לבין תפיסת הלגיטימיות של הסגל, כך שככל שהרווחה הנפשית גבוהה יותר, הלגיטימיות המיוחסת לסגל גבוהה יותר. ההשערה נשענת על הקשר שנמצא בין יחס הסגל למצוקה נפשית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ועל הקשר בין דלות סביבתית לירידה בלגיטימיות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w:t>
      </w:r>
    </w:p>
    <w:p>
      <w:pPr>
        <w:bidi/>
        <w:spacing w:after="0" w:line="480"/>
        <w:jc w:val="both"/>
      </w:pPr>
      <w:r>
        <w:rPr>
          <w:rFonts w:ascii="David" w:cs="David" w:eastAsia="David" w:hAnsi="David"/>
          <w:sz w:val="24"/>
          <w:szCs w:val="24"/>
          <w:rtl/>
        </w:rPr>
        <w:t xml:space="preserve">השערה 2: הרווחה הנפשית תתרום תרומה מובהקת להסבר השונות בלגיטימיות גם לאחר פיקוח על מספר המאסרים, על משך השהייה באגף ועל הלאום. ההשערה נשענת על השונות בלגיטימיות לפי מאפייני האסיר שדווחה אצל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w:t>
      </w:r>
    </w:p>
    <w:p>
      <w:pPr>
        <w:pStyle w:val="Heading1"/>
        <w:pageBreakBefore/>
        <w:bidi/>
        <w:spacing w:after="240" w:before="0" w:line="480"/>
        <w:jc w:val="right"/>
      </w:pPr>
      <w:r>
        <w:rPr>
          <w:rFonts w:ascii="David" w:cs="David" w:eastAsia="David" w:hAnsi="David"/>
          <w:b/>
          <w:bCs/>
          <w:sz w:val="32"/>
          <w:szCs w:val="32"/>
          <w:rtl/>
        </w:rPr>
        <w:t xml:space="preserve">שיטת המחקר</w:t>
      </w:r>
    </w:p>
    <w:p>
      <w:pPr>
        <w:bidi/>
        <w:spacing w:after="0" w:line="480"/>
        <w:ind w:firstLine="567"/>
        <w:jc w:val="both"/>
      </w:pPr>
      <w:r>
        <w:rPr>
          <w:rFonts w:ascii="David" w:cs="David" w:eastAsia="David" w:hAnsi="David"/>
          <w:sz w:val="24"/>
          <w:szCs w:val="24"/>
          <w:rtl/>
        </w:rPr>
        <w:t xml:space="preserve">המחקר הוא מחקר כמותי מתאמי במערך חתך. הוא מבוסס על ניתוח משני של נתונים סינתטיים, שנבנו על פי המבנה של סקר תנאי המחיה שנערך בבתי הסוהר של שירות בתי הסוהר בשנת </w:t>
      </w:r>
      <w:r>
        <w:rPr>
          <w:rFonts w:ascii="David" w:cs="David" w:eastAsia="David" w:hAnsi="David"/>
          <w:sz w:val="24"/>
          <w:szCs w:val="24"/>
          <w:highlight w:val="yellow"/>
          <w:rtl/>
        </w:rPr>
        <w:t xml:space="preserve">____</w:t>
      </w:r>
      <w:r>
        <w:rPr>
          <w:rFonts w:ascii="David" w:cs="David" w:eastAsia="David" w:hAnsi="David"/>
          <w:sz w:val="24"/>
          <w:szCs w:val="24"/>
          <w:rtl/>
        </w:rPr>
        <w:t xml:space="preserve"> (ועקנין, 2024). הנתונים אינם נתוני האסירים המקוריים אלא מסד שמחקה את התפלגויותיהם ואת הקשרים ביניהם, ולכן הם משמשים לצורכי לימוד השיטה ולא לצורך הסקה על האוכלוסייה עצמה. המחקר המקורי כלל אסירים ועצורים, והמחקר הנוכחי צמצם את הניתוח לאוכלוסיית השפוטים בלבד.</w:t>
      </w:r>
    </w:p>
    <w:p>
      <w:pPr>
        <w:pStyle w:val="Heading2"/>
        <w:bidi/>
        <w:spacing w:after="120" w:before="240" w:line="480"/>
        <w:jc w:val="right"/>
      </w:pPr>
      <w:r>
        <w:rPr>
          <w:rFonts w:ascii="David" w:cs="David" w:eastAsia="David" w:hAnsi="David"/>
          <w:b/>
          <w:bCs/>
          <w:sz w:val="28"/>
          <w:szCs w:val="28"/>
          <w:rtl/>
        </w:rPr>
        <w:t xml:space="preserve">אוכלוסיית המחקר</w:t>
      </w:r>
    </w:p>
    <w:p>
      <w:pPr>
        <w:bidi/>
        <w:spacing w:after="0" w:line="480"/>
        <w:ind w:firstLine="567"/>
        <w:jc w:val="both"/>
      </w:pPr>
      <w:r>
        <w:rPr>
          <w:rFonts w:ascii="David" w:cs="David" w:eastAsia="David" w:hAnsi="David"/>
          <w:sz w:val="24"/>
          <w:szCs w:val="24"/>
          <w:rtl/>
        </w:rPr>
        <w:t xml:space="preserve">הסקר המקורי כלל 2,363 אסירים ו-1,427 עצורים פליליים בגירים (ועקנין, 2024). מתוך מסד הנתונים הסינתטי נבחרו למחקר הנוכחי הנבדקים שסטטוס הכליאה שלהם הוגדר שפוט, ובסך הכול </w:t>
      </w:r>
      <w:r>
        <w:rPr>
          <w:rFonts w:ascii="David" w:cs="David" w:eastAsia="David" w:hAnsi="David"/>
          <w:sz w:val="24"/>
          <w:szCs w:val="24"/>
          <w:highlight w:val="yellow"/>
          <w:rtl/>
        </w:rPr>
        <w:t xml:space="preserve">N = ___</w:t>
      </w:r>
      <w:r>
        <w:rPr>
          <w:rFonts w:ascii="David" w:cs="David" w:eastAsia="David" w:hAnsi="David"/>
          <w:sz w:val="24"/>
          <w:szCs w:val="24"/>
          <w:rtl/>
        </w:rPr>
        <w:t xml:space="preserve"> נבדקים. </w:t>
      </w:r>
      <w:r>
        <w:rPr>
          <w:rFonts w:ascii="David" w:cs="David" w:eastAsia="David" w:hAnsi="David"/>
          <w:sz w:val="24"/>
          <w:szCs w:val="24"/>
          <w:highlight w:val="yellow"/>
          <w:rtl/>
        </w:rPr>
        <w:t xml:space="preserve">___</w:t>
      </w:r>
      <w:r>
        <w:rPr>
          <w:rFonts w:ascii="David" w:cs="David" w:eastAsia="David" w:hAnsi="David"/>
          <w:sz w:val="24"/>
          <w:szCs w:val="24"/>
          <w:rtl/>
        </w:rPr>
        <w:t xml:space="preserve"> מהם (</w:t>
      </w:r>
      <w:r>
        <w:rPr>
          <w:rFonts w:ascii="David" w:cs="David" w:eastAsia="David" w:hAnsi="David"/>
          <w:sz w:val="24"/>
          <w:szCs w:val="24"/>
          <w:highlight w:val="yellow"/>
          <w:rtl/>
        </w:rPr>
        <w:t xml:space="preserve">___</w:t>
      </w:r>
      <w:r>
        <w:rPr>
          <w:rFonts w:ascii="David" w:cs="David" w:eastAsia="David" w:hAnsi="David"/>
          <w:sz w:val="24"/>
          <w:szCs w:val="24"/>
          <w:rtl/>
        </w:rPr>
        <w:t xml:space="preserve"> אחוזים) יהודים ו-</w:t>
      </w:r>
      <w:r>
        <w:rPr>
          <w:rFonts w:ascii="David" w:cs="David" w:eastAsia="David" w:hAnsi="David"/>
          <w:sz w:val="24"/>
          <w:szCs w:val="24"/>
          <w:highlight w:val="yellow"/>
          <w:rtl/>
        </w:rPr>
        <w:t xml:space="preserve">___</w:t>
      </w:r>
      <w:r>
        <w:rPr>
          <w:rFonts w:ascii="David" w:cs="David" w:eastAsia="David" w:hAnsi="David"/>
          <w:sz w:val="24"/>
          <w:szCs w:val="24"/>
          <w:rtl/>
        </w:rPr>
        <w:t xml:space="preserve"> (</w:t>
      </w:r>
      <w:r>
        <w:rPr>
          <w:rFonts w:ascii="David" w:cs="David" w:eastAsia="David" w:hAnsi="David"/>
          <w:sz w:val="24"/>
          <w:szCs w:val="24"/>
          <w:highlight w:val="yellow"/>
          <w:rtl/>
        </w:rPr>
        <w:t xml:space="preserve">___</w:t>
      </w:r>
      <w:r>
        <w:rPr>
          <w:rFonts w:ascii="David" w:cs="David" w:eastAsia="David" w:hAnsi="David"/>
          <w:sz w:val="24"/>
          <w:szCs w:val="24"/>
          <w:rtl/>
        </w:rPr>
        <w:t xml:space="preserve"> אחוזים) לא יהודים. עבור </w:t>
      </w:r>
      <w:r>
        <w:rPr>
          <w:rFonts w:ascii="David" w:cs="David" w:eastAsia="David" w:hAnsi="David"/>
          <w:sz w:val="24"/>
          <w:szCs w:val="24"/>
          <w:highlight w:val="yellow"/>
          <w:rtl/>
        </w:rPr>
        <w:t xml:space="preserve">___</w:t>
      </w:r>
      <w:r>
        <w:rPr>
          <w:rFonts w:ascii="David" w:cs="David" w:eastAsia="David" w:hAnsi="David"/>
          <w:sz w:val="24"/>
          <w:szCs w:val="24"/>
          <w:rtl/>
        </w:rPr>
        <w:t xml:space="preserve"> מהנבדקים (</w:t>
      </w:r>
      <w:r>
        <w:rPr>
          <w:rFonts w:ascii="David" w:cs="David" w:eastAsia="David" w:hAnsi="David"/>
          <w:sz w:val="24"/>
          <w:szCs w:val="24"/>
          <w:highlight w:val="yellow"/>
          <w:rtl/>
        </w:rPr>
        <w:t xml:space="preserve">___</w:t>
      </w:r>
      <w:r>
        <w:rPr>
          <w:rFonts w:ascii="David" w:cs="David" w:eastAsia="David" w:hAnsi="David"/>
          <w:sz w:val="24"/>
          <w:szCs w:val="24"/>
          <w:rtl/>
        </w:rPr>
        <w:t xml:space="preserve"> אחוזים) זהו המאסר הראשון, ואילו </w:t>
      </w:r>
      <w:r>
        <w:rPr>
          <w:rFonts w:ascii="David" w:cs="David" w:eastAsia="David" w:hAnsi="David"/>
          <w:sz w:val="24"/>
          <w:szCs w:val="24"/>
          <w:highlight w:val="yellow"/>
          <w:rtl/>
        </w:rPr>
        <w:t xml:space="preserve">___</w:t>
      </w:r>
      <w:r>
        <w:rPr>
          <w:rFonts w:ascii="David" w:cs="David" w:eastAsia="David" w:hAnsi="David"/>
          <w:sz w:val="24"/>
          <w:szCs w:val="24"/>
          <w:rtl/>
        </w:rPr>
        <w:t xml:space="preserve"> (</w:t>
      </w:r>
      <w:r>
        <w:rPr>
          <w:rFonts w:ascii="David" w:cs="David" w:eastAsia="David" w:hAnsi="David"/>
          <w:sz w:val="24"/>
          <w:szCs w:val="24"/>
          <w:highlight w:val="yellow"/>
          <w:rtl/>
        </w:rPr>
        <w:t xml:space="preserve">___</w:t>
      </w:r>
      <w:r>
        <w:rPr>
          <w:rFonts w:ascii="David" w:cs="David" w:eastAsia="David" w:hAnsi="David"/>
          <w:sz w:val="24"/>
          <w:szCs w:val="24"/>
          <w:rtl/>
        </w:rPr>
        <w:t xml:space="preserve"> אחוזים) ריצו מאסר אחד או יותר בעבר. משך השהייה הממוצע באגף הנוכחי הוא </w:t>
      </w:r>
      <w:r>
        <w:rPr>
          <w:rFonts w:ascii="David" w:cs="David" w:eastAsia="David" w:hAnsi="David"/>
          <w:sz w:val="24"/>
          <w:szCs w:val="24"/>
          <w:highlight w:val="yellow"/>
          <w:rtl/>
        </w:rPr>
        <w:t xml:space="preserve">___</w:t>
      </w:r>
      <w:r>
        <w:rPr>
          <w:rFonts w:ascii="David" w:cs="David" w:eastAsia="David" w:hAnsi="David"/>
          <w:sz w:val="24"/>
          <w:szCs w:val="24"/>
          <w:rtl/>
        </w:rPr>
        <w:t xml:space="preserve"> חודשים (סטיית תקן </w:t>
      </w:r>
      <w:r>
        <w:rPr>
          <w:rFonts w:ascii="David" w:cs="David" w:eastAsia="David" w:hAnsi="David"/>
          <w:sz w:val="24"/>
          <w:szCs w:val="24"/>
          <w:highlight w:val="yellow"/>
          <w:rtl/>
        </w:rPr>
        <w:t xml:space="preserve">___</w:t>
      </w:r>
      <w:r>
        <w:rPr>
          <w:rFonts w:ascii="David" w:cs="David" w:eastAsia="David" w:hAnsi="David"/>
          <w:sz w:val="24"/>
          <w:szCs w:val="24"/>
          <w:rtl/>
        </w:rPr>
        <w:t xml:space="preserve">). התפלגות מלאה של מאפייני הרקע מובאת בלוח 1 בפרק הממצאים.</w:t>
      </w:r>
    </w:p>
    <w:p>
      <w:pPr>
        <w:pStyle w:val="Heading2"/>
        <w:bidi/>
        <w:spacing w:after="120" w:before="240" w:line="480"/>
        <w:jc w:val="right"/>
      </w:pPr>
      <w:r>
        <w:rPr>
          <w:rFonts w:ascii="David" w:cs="David" w:eastAsia="David" w:hAnsi="David"/>
          <w:b/>
          <w:bCs/>
          <w:sz w:val="28"/>
          <w:szCs w:val="28"/>
          <w:rtl/>
        </w:rPr>
        <w:t xml:space="preserve">כלי המחקר</w:t>
      </w:r>
    </w:p>
    <w:p>
      <w:pPr>
        <w:bidi/>
        <w:spacing w:after="0" w:line="480"/>
        <w:ind w:firstLine="567"/>
        <w:jc w:val="both"/>
      </w:pPr>
      <w:r>
        <w:rPr>
          <w:rFonts w:ascii="David" w:cs="David" w:eastAsia="David" w:hAnsi="David"/>
          <w:sz w:val="24"/>
          <w:szCs w:val="24"/>
          <w:rtl/>
        </w:rPr>
        <w:t xml:space="preserve">כלי המחקר הוא שאלון הדיווח העצמי ששימש בסקר תנאי המחיה של שירות בתי הסוהר (ועקנין, 2024). מתוך השאלון נעשה שימוש בשלושה חלקים.</w:t>
      </w:r>
    </w:p>
    <w:p>
      <w:pPr>
        <w:bidi/>
        <w:spacing w:after="0" w:line="480"/>
        <w:ind w:firstLine="567"/>
        <w:jc w:val="both"/>
      </w:pPr>
      <w:r>
        <w:rPr>
          <w:rFonts w:ascii="David" w:cs="David" w:eastAsia="David" w:hAnsi="David"/>
          <w:sz w:val="24"/>
          <w:szCs w:val="24"/>
          <w:rtl/>
        </w:rPr>
        <w:t xml:space="preserve">לגיטימיות של הסגל. הסולם כולל </w:t>
      </w:r>
      <w:r>
        <w:rPr>
          <w:rFonts w:ascii="David" w:cs="David" w:eastAsia="David" w:hAnsi="David"/>
          <w:sz w:val="24"/>
          <w:szCs w:val="24"/>
          <w:highlight w:val="yellow"/>
          <w:rtl/>
        </w:rPr>
        <w:t xml:space="preserve">___</w:t>
      </w:r>
      <w:r>
        <w:rPr>
          <w:rFonts w:ascii="David" w:cs="David" w:eastAsia="David" w:hAnsi="David"/>
          <w:sz w:val="24"/>
          <w:szCs w:val="24"/>
          <w:rtl/>
        </w:rPr>
        <w:t xml:space="preserve"> היגדים המתארים את יחס הסוהרים ואנשי הסגל לאסיר, ובהם הוגנות בקבלת החלטות, יחס מכבד, מתן הסבר להחלטות ואמון בסגל, למשל </w:t>
      </w:r>
      <w:r>
        <w:rPr>
          <w:rFonts w:ascii="David" w:cs="David" w:eastAsia="David" w:hAnsi="David"/>
          <w:sz w:val="24"/>
          <w:szCs w:val="24"/>
          <w:highlight w:val="yellow"/>
          <w:rtl/>
        </w:rPr>
        <w:t xml:space="preserve">"הסוהרים באגף מתייחסים אליי בכבוד"</w:t>
      </w:r>
      <w:r>
        <w:rPr>
          <w:rFonts w:ascii="David" w:cs="David" w:eastAsia="David" w:hAnsi="David"/>
          <w:sz w:val="24"/>
          <w:szCs w:val="24"/>
          <w:rtl/>
        </w:rPr>
        <w:t xml:space="preserve">. הנבדק מדרג כל היגד על סולם ליקרט של </w:t>
      </w:r>
      <w:r>
        <w:rPr>
          <w:rFonts w:ascii="David" w:cs="David" w:eastAsia="David" w:hAnsi="David"/>
          <w:sz w:val="24"/>
          <w:szCs w:val="24"/>
          <w:highlight w:val="yellow"/>
          <w:rtl/>
        </w:rPr>
        <w:t xml:space="preserve">1 עד 5</w:t>
      </w:r>
      <w:r>
        <w:rPr>
          <w:rFonts w:ascii="David" w:cs="David" w:eastAsia="David" w:hAnsi="David"/>
          <w:sz w:val="24"/>
          <w:szCs w:val="24"/>
          <w:rtl/>
        </w:rPr>
        <w:t xml:space="preserve">, מ"כלל לא מסכים" עד "מסכים מאוד". ההיגדים מבוססים על מרכיבי הצדק הפרוצדורלי במודל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ועל המדדים ששימשו במחקר האנגלי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ציון המשתנה הוא ממוצע ההיגדים, וציון גבוה מבטא לגיטימיות גבוהה. מהימנות הסולם במדגם הנוכחי </w:t>
      </w:r>
      <w:r>
        <w:rPr>
          <w:rFonts w:ascii="David" w:cs="David" w:eastAsia="David" w:hAnsi="David"/>
          <w:sz w:val="24"/>
          <w:szCs w:val="24"/>
          <w:highlight w:val="yellow"/>
          <w:rtl/>
        </w:rPr>
        <w:t xml:space="preserve">α = ___</w:t>
      </w:r>
      <w:r>
        <w:rPr>
          <w:rFonts w:ascii="David" w:cs="David" w:eastAsia="David" w:hAnsi="David"/>
          <w:sz w:val="24"/>
          <w:szCs w:val="24"/>
          <w:rtl/>
        </w:rPr>
        <w:t xml:space="preserve">.</w:t>
      </w:r>
    </w:p>
    <w:p>
      <w:pPr>
        <w:bidi/>
        <w:spacing w:after="0" w:line="480"/>
        <w:ind w:firstLine="567"/>
        <w:jc w:val="both"/>
      </w:pPr>
      <w:r>
        <w:rPr>
          <w:rFonts w:ascii="David" w:cs="David" w:eastAsia="David" w:hAnsi="David"/>
          <w:sz w:val="24"/>
          <w:szCs w:val="24"/>
          <w:rtl/>
        </w:rPr>
        <w:t xml:space="preserve">רווחה נפשית. הסולם כולל </w:t>
      </w:r>
      <w:r>
        <w:rPr>
          <w:rFonts w:ascii="David" w:cs="David" w:eastAsia="David" w:hAnsi="David"/>
          <w:sz w:val="24"/>
          <w:szCs w:val="24"/>
          <w:highlight w:val="yellow"/>
          <w:rtl/>
        </w:rPr>
        <w:t xml:space="preserve">___</w:t>
      </w:r>
      <w:r>
        <w:rPr>
          <w:rFonts w:ascii="David" w:cs="David" w:eastAsia="David" w:hAnsi="David"/>
          <w:sz w:val="24"/>
          <w:szCs w:val="24"/>
          <w:rtl/>
        </w:rPr>
        <w:t xml:space="preserve"> היגדים העוסקים במצב הרוח, בשינה, בחרדה, בתחושת ביטחון אישי ובתחושת שליטה בחיי היומיום באגף, למשל </w:t>
      </w:r>
      <w:r>
        <w:rPr>
          <w:rFonts w:ascii="David" w:cs="David" w:eastAsia="David" w:hAnsi="David"/>
          <w:sz w:val="24"/>
          <w:szCs w:val="24"/>
          <w:highlight w:val="yellow"/>
          <w:rtl/>
        </w:rPr>
        <w:t xml:space="preserve">"בזמן האחרון אני מרגיש רגוע"</w:t>
      </w:r>
      <w:r>
        <w:rPr>
          <w:rFonts w:ascii="David" w:cs="David" w:eastAsia="David" w:hAnsi="David"/>
          <w:sz w:val="24"/>
          <w:szCs w:val="24"/>
          <w:rtl/>
        </w:rPr>
        <w:t xml:space="preserve">. גם כאן הדירוג הוא על סולם של </w:t>
      </w:r>
      <w:r>
        <w:rPr>
          <w:rFonts w:ascii="David" w:cs="David" w:eastAsia="David" w:hAnsi="David"/>
          <w:sz w:val="24"/>
          <w:szCs w:val="24"/>
          <w:highlight w:val="yellow"/>
          <w:rtl/>
        </w:rPr>
        <w:t xml:space="preserve">1 עד 5</w:t>
      </w:r>
      <w:r>
        <w:rPr>
          <w:rFonts w:ascii="David" w:cs="David" w:eastAsia="David" w:hAnsi="David"/>
          <w:sz w:val="24"/>
          <w:szCs w:val="24"/>
          <w:rtl/>
        </w:rPr>
        <w:t xml:space="preserve">, ציון המשתנה הוא ממוצע ההיגדים וציון גבוה מבטא רווחה גבוהה. </w:t>
      </w:r>
      <w:r>
        <w:rPr>
          <w:rFonts w:ascii="David" w:cs="David" w:eastAsia="David" w:hAnsi="David"/>
          <w:sz w:val="24"/>
          <w:szCs w:val="24"/>
          <w:highlight w:val="yellow"/>
          <w:rtl/>
        </w:rPr>
        <w:t xml:space="preserve">יש לציין כאן היגדים הפוכים אם קיימים ואת אופן היפוכם.</w:t>
      </w:r>
      <w:r>
        <w:rPr>
          <w:rFonts w:ascii="David" w:cs="David" w:eastAsia="David" w:hAnsi="David"/>
          <w:sz w:val="24"/>
          <w:szCs w:val="24"/>
          <w:rtl/>
        </w:rPr>
        <w:t xml:space="preserve"> מהימנות הסולם במדגם הנוכחי </w:t>
      </w:r>
      <w:r>
        <w:rPr>
          <w:rFonts w:ascii="David" w:cs="David" w:eastAsia="David" w:hAnsi="David"/>
          <w:sz w:val="24"/>
          <w:szCs w:val="24"/>
          <w:highlight w:val="yellow"/>
          <w:rtl/>
        </w:rPr>
        <w:t xml:space="preserve">α = ___</w:t>
      </w:r>
      <w:r>
        <w:rPr>
          <w:rFonts w:ascii="David" w:cs="David" w:eastAsia="David" w:hAnsi="David"/>
          <w:sz w:val="24"/>
          <w:szCs w:val="24"/>
          <w:rtl/>
        </w:rPr>
        <w:t xml:space="preserve">.</w:t>
      </w:r>
    </w:p>
    <w:p>
      <w:pPr>
        <w:bidi/>
        <w:spacing w:after="0" w:line="480"/>
        <w:ind w:firstLine="567"/>
        <w:jc w:val="both"/>
      </w:pPr>
      <w:r>
        <w:rPr>
          <w:rFonts w:ascii="David" w:cs="David" w:eastAsia="David" w:hAnsi="David"/>
          <w:sz w:val="24"/>
          <w:szCs w:val="24"/>
          <w:rtl/>
        </w:rPr>
        <w:t xml:space="preserve">משתני רקע. לאום (יהודי או לא יהודי), מספר המאסרים (כולל הנוכחי) ומשך השהייה באגף הנוכחי בחודשים, כפי שדווחו על ידי הנבדק. </w:t>
      </w:r>
      <w:r>
        <w:rPr>
          <w:rFonts w:ascii="David" w:cs="David" w:eastAsia="David" w:hAnsi="David"/>
          <w:sz w:val="24"/>
          <w:szCs w:val="24"/>
          <w:highlight w:val="yellow"/>
          <w:rtl/>
        </w:rPr>
        <w:t xml:space="preserve">אם קיימים במסד הנתונים גם מדדי תנאי מחיה, לתאר אותם כאן בקצרה.</w:t>
      </w:r>
    </w:p>
    <w:p>
      <w:pPr>
        <w:pStyle w:val="Heading2"/>
        <w:bidi/>
        <w:spacing w:after="120" w:before="240" w:line="480"/>
        <w:jc w:val="right"/>
      </w:pPr>
      <w:r>
        <w:rPr>
          <w:rFonts w:ascii="David" w:cs="David" w:eastAsia="David" w:hAnsi="David"/>
          <w:b/>
          <w:bCs/>
          <w:sz w:val="28"/>
          <w:szCs w:val="28"/>
          <w:rtl/>
        </w:rPr>
        <w:t xml:space="preserve">ניתוחים סטטיסטיים</w:t>
      </w:r>
    </w:p>
    <w:p>
      <w:pPr>
        <w:bidi/>
        <w:spacing w:after="0" w:line="480"/>
        <w:ind w:firstLine="567"/>
        <w:jc w:val="both"/>
      </w:pPr>
      <w:r>
        <w:rPr>
          <w:rFonts w:ascii="David" w:cs="David" w:eastAsia="David" w:hAnsi="David"/>
          <w:sz w:val="24"/>
          <w:szCs w:val="24"/>
          <w:rtl/>
        </w:rPr>
        <w:t xml:space="preserve">הנתונים נותחו בתוכנת </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גרסה </w:t>
      </w:r>
      <w:r>
        <w:rPr>
          <w:rFonts w:ascii="David" w:cs="David" w:eastAsia="David" w:hAnsi="David"/>
          <w:sz w:val="24"/>
          <w:szCs w:val="24"/>
          <w:highlight w:val="yellow"/>
          <w:rtl/>
        </w:rPr>
        <w:t xml:space="preserve">___</w:t>
      </w:r>
      <w:r>
        <w:rPr>
          <w:rFonts w:ascii="David" w:cs="David" w:eastAsia="David" w:hAnsi="David"/>
          <w:sz w:val="24"/>
          <w:szCs w:val="24"/>
          <w:rtl/>
        </w:rPr>
        <w:t xml:space="preserve">. בשלב הראשון חושבה סטטיסטיקה תיאורית: התפלגות משתני הרקע, וממוצעים וסטיות תקן של הלגיטימיות ושל הרווחה הנפשית. בשלב השני חושבו מתאמי פירסון בין הלגיטימיות לבין הרווחה הנפשית, משך השהייה באגף ומספר המאסרים. בשלב השלישי נערכה רגרסיה ליניארית מרובה, שבה הלגיטימיות שימשה משתנה תלוי והרווחה הנפשית, משך השהייה, מספר המאסרים והלאום שימשו מנבאים, כדי לבחון את תרומתה הייחודית של הרווחה הנפשית. רמת המובהקות שנקבעה היא </w:t>
      </w:r>
      <w:r>
        <w:rPr>
          <w:rFonts w:ascii="Times New Roman" w:cs="Times New Roman" w:eastAsia="Times New Roman" w:hAnsi="Times New Roman"/>
          <w:sz w:val="24"/>
          <w:szCs w:val="24"/>
        </w:rPr>
        <w:t xml:space="preserve">p &lt; .05</w:t>
      </w:r>
      <w:r>
        <w:rPr>
          <w:rFonts w:ascii="David" w:cs="David" w:eastAsia="David" w:hAnsi="David"/>
          <w:sz w:val="24"/>
          <w:szCs w:val="24"/>
          <w:rtl/>
        </w:rPr>
        <w:t xml:space="preserve">. הסינטקס המלא מובא בנספח ב' והפלטים בנספח א'. בבניית הסינטקס נעשה שימוש בכלי בינה מלאכותית, כמפורט בגילוי הנאות.</w:t>
      </w:r>
    </w:p>
    <w:p>
      <w:pPr>
        <w:pStyle w:val="Heading1"/>
        <w:pageBreakBefore/>
        <w:bidi/>
        <w:spacing w:after="240" w:before="0" w:line="480"/>
        <w:jc w:val="right"/>
      </w:pPr>
      <w:r>
        <w:rPr>
          <w:rFonts w:ascii="David" w:cs="David" w:eastAsia="David" w:hAnsi="David"/>
          <w:b/>
          <w:bCs/>
          <w:sz w:val="32"/>
          <w:szCs w:val="32"/>
          <w:rtl/>
        </w:rPr>
        <w:t xml:space="preserve">ממצאים</w:t>
      </w:r>
    </w:p>
    <w:p>
      <w:pPr>
        <w:bidi/>
        <w:spacing w:after="0" w:line="480"/>
        <w:jc w:val="both"/>
      </w:pPr>
      <w:r>
        <w:rPr>
          <w:rFonts w:ascii="David" w:cs="David" w:eastAsia="David" w:hAnsi="David"/>
          <w:sz w:val="24"/>
          <w:szCs w:val="24"/>
          <w:highlight w:val="yellow"/>
          <w:rtl/>
        </w:rPr>
        <w:t xml:space="preserve">הערה למילוי: כל הערכים בפרק זה יילקחו מפלטי ה-</w:t>
      </w:r>
      <w:r>
        <w:rPr>
          <w:rFonts w:ascii="Times New Roman" w:cs="Times New Roman" w:eastAsia="Times New Roman" w:hAnsi="Times New Roman"/>
          <w:sz w:val="24"/>
          <w:szCs w:val="24"/>
          <w:highlight w:val="yellow"/>
        </w:rPr>
        <w:t xml:space="preserve">SPSS</w:t>
      </w:r>
      <w:r>
        <w:rPr>
          <w:rFonts w:ascii="David" w:cs="David" w:eastAsia="David" w:hAnsi="David"/>
          <w:sz w:val="24"/>
          <w:szCs w:val="24"/>
          <w:highlight w:val="yellow"/>
          <w:rtl/>
        </w:rPr>
        <w:t xml:space="preserve">. לאחר הזנתם יש למחוק את ההדגשות הצהובות ולהתאים את פסקאות ההסבר לכיוון הממצאים בפועל.</w:t>
      </w:r>
    </w:p>
    <w:p>
      <w:pPr>
        <w:pStyle w:val="Heading2"/>
        <w:bidi/>
        <w:spacing w:after="120" w:before="240" w:line="480"/>
        <w:jc w:val="right"/>
      </w:pPr>
      <w:r>
        <w:rPr>
          <w:rFonts w:ascii="David" w:cs="David" w:eastAsia="David" w:hAnsi="David"/>
          <w:b/>
          <w:bCs/>
          <w:sz w:val="28"/>
          <w:szCs w:val="28"/>
          <w:rtl/>
        </w:rPr>
        <w:t xml:space="preserve">סטטיסטיקה תיאורית</w:t>
      </w:r>
    </w:p>
    <w:p>
      <w:pPr>
        <w:bidi/>
        <w:spacing w:after="0" w:line="480"/>
        <w:ind w:firstLine="567"/>
        <w:jc w:val="both"/>
      </w:pPr>
      <w:r>
        <w:rPr>
          <w:rFonts w:ascii="David" w:cs="David" w:eastAsia="David" w:hAnsi="David"/>
          <w:sz w:val="24"/>
          <w:szCs w:val="24"/>
          <w:rtl/>
        </w:rPr>
        <w:t xml:space="preserve">הפרק פותח בתיאור אוכלוסיית השפוטים לפי משתני הרקע, ולאחר מכן מוצגים ממוצעי המשתנים המרכזיים. לוח 1 מציג את התפלגות משתני הרקע.</w:t>
      </w:r>
    </w:p>
    <w:p>
      <w:pPr>
        <w:keepNext/>
        <w:bidi/>
        <w:spacing w:after="120" w:before="240" w:line="360"/>
        <w:jc w:val="right"/>
      </w:pPr>
      <w:r>
        <w:rPr>
          <w:rFonts w:ascii="David" w:cs="David" w:eastAsia="David" w:hAnsi="David"/>
          <w:b/>
          <w:bCs/>
          <w:sz w:val="24"/>
          <w:szCs w:val="24"/>
          <w:rtl/>
        </w:rPr>
        <w:t xml:space="preserve">לוח 1: התפלגות משתני הרקע בקרב השפוטים (N = </w:t>
      </w:r>
      <w:r>
        <w:rPr>
          <w:rFonts w:ascii="David" w:cs="David" w:eastAsia="David" w:hAnsi="David"/>
          <w:b/>
          <w:bCs/>
          <w:sz w:val="24"/>
          <w:szCs w:val="24"/>
          <w:highlight w:val="yellow"/>
          <w:rtl/>
        </w:rPr>
        <w:t xml:space="preserve">___</w:t>
      </w:r>
      <w:r>
        <w:rPr>
          <w:rFonts w:ascii="David" w:cs="David" w:eastAsia="David" w:hAnsi="David"/>
          <w:b/>
          <w:bCs/>
          <w:sz w:val="24"/>
          <w:szCs w:val="24"/>
          <w:rtl/>
        </w:rPr>
        <w:t xml:space="preserve">)</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2400"/>
        <w:gridCol w:w="1600"/>
        <w:gridCol w:w="1600"/>
      </w:tblGrid>
      <w:tr>
        <w:trPr>
          <w:tblHeader/>
        </w:trPr>
        <w:tc>
          <w:tcPr>
            <w:tcW w:type="dxa" w:w="24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קטגוריה</w:t>
            </w:r>
          </w:p>
        </w:tc>
        <w:tc>
          <w:tcPr>
            <w:tcW w:type="dxa" w:w="16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w:t>
            </w:r>
          </w:p>
        </w:tc>
      </w:tr>
      <w:t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לאום</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יהודים</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לא יהודים</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מספר מאסרים</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מאסר ראשון</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מאסר שני ומעלה</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משך שהייה באגף</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עד שנה</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מעל שנה</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bl>
    <w:p>
      <w:pPr>
        <w:bidi/>
        <w:spacing w:after="240" w:line="276"/>
        <w:jc w:val="right"/>
      </w:pPr>
    </w:p>
    <w:p>
      <w:pPr>
        <w:bidi/>
        <w:spacing w:after="0" w:line="480"/>
        <w:ind w:firstLine="567"/>
        <w:jc w:val="both"/>
      </w:pPr>
      <w:r>
        <w:rPr>
          <w:rFonts w:ascii="David" w:cs="David" w:eastAsia="David" w:hAnsi="David"/>
          <w:sz w:val="24"/>
          <w:szCs w:val="24"/>
          <w:rtl/>
        </w:rPr>
        <w:t xml:space="preserve">מלוח 1 עולה כי </w:t>
      </w:r>
      <w:r>
        <w:rPr>
          <w:rFonts w:ascii="David" w:cs="David" w:eastAsia="David" w:hAnsi="David"/>
          <w:sz w:val="24"/>
          <w:szCs w:val="24"/>
          <w:highlight w:val="yellow"/>
          <w:rtl/>
        </w:rPr>
        <w:t xml:space="preserve">רוב השפוטים במדגם הם יהודים (___ אחוזים), ולמעלה ממחציתם (___ אחוזים) ריצו מאסר קודם. ___ אחוזים שוהים באגף הנוכחי יותר משנה.</w:t>
      </w:r>
      <w:r>
        <w:rPr>
          <w:rFonts w:ascii="David" w:cs="David" w:eastAsia="David" w:hAnsi="David"/>
          <w:sz w:val="24"/>
          <w:szCs w:val="24"/>
          <w:rtl/>
        </w:rPr>
        <w:t xml:space="preserve"> לוח 2 מציג את הממוצעים וסטיות התקן של הלגיטימיות ושל הרווחה הנפשית.</w:t>
      </w:r>
    </w:p>
    <w:p>
      <w:pPr>
        <w:keepNext/>
        <w:bidi/>
        <w:spacing w:after="120" w:before="240" w:line="360"/>
        <w:jc w:val="right"/>
      </w:pPr>
      <w:r>
        <w:rPr>
          <w:rFonts w:ascii="David" w:cs="David" w:eastAsia="David" w:hAnsi="David"/>
          <w:b/>
          <w:bCs/>
          <w:sz w:val="24"/>
          <w:szCs w:val="24"/>
          <w:rtl/>
        </w:rPr>
        <w:t xml:space="preserve">לוח 2: ממוצעים, סטיות תקן וטווח של משתני המחקר (N = </w:t>
      </w:r>
      <w:r>
        <w:rPr>
          <w:rFonts w:ascii="David" w:cs="David" w:eastAsia="David" w:hAnsi="David"/>
          <w:b/>
          <w:bCs/>
          <w:sz w:val="24"/>
          <w:szCs w:val="24"/>
          <w:highlight w:val="yellow"/>
          <w:rtl/>
        </w:rPr>
        <w:t xml:space="preserve">___</w:t>
      </w:r>
      <w:r>
        <w:rPr>
          <w:rFonts w:ascii="David" w:cs="David" w:eastAsia="David" w:hAnsi="David"/>
          <w:b/>
          <w:bCs/>
          <w:sz w:val="24"/>
          <w:szCs w:val="24"/>
          <w:rtl/>
        </w:rPr>
        <w:t xml:space="preserve">)</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800"/>
        <w:gridCol w:w="1300"/>
        <w:gridCol w:w="1300"/>
        <w:gridCol w:w="1300"/>
        <w:gridCol w:w="1300"/>
      </w:tblGrid>
      <w:tr>
        <w:trPr>
          <w:tblHeader/>
        </w:trPr>
        <w:tc>
          <w:tcPr>
            <w:tcW w:type="dxa" w:w="28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משתנה</w:t>
            </w:r>
          </w:p>
        </w:tc>
        <w:tc>
          <w:tcPr>
            <w:tcW w:type="dxa" w:w="13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M</w:t>
            </w:r>
          </w:p>
        </w:tc>
        <w:tc>
          <w:tcPr>
            <w:tcW w:type="dxa" w:w="13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Times New Roman" w:cs="Times New Roman" w:eastAsia="Times New Roman" w:hAnsi="Times New Roman"/>
                <w:b/>
                <w:bCs/>
                <w:sz w:val="22"/>
                <w:szCs w:val="22"/>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טווח</w:t>
            </w:r>
          </w:p>
        </w:tc>
        <w:tc>
          <w:tcPr>
            <w:tcW w:type="dxa" w:w="13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α</w:t>
            </w:r>
          </w:p>
        </w:tc>
      </w:tr>
      <w:t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לגיטימיות של הסגל</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1-5</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רווחה נפשית</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1-5</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משך שהייה באגף (חודשים)</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r>
      <w:t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מספר מאסרים</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3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r>
    </w:tbl>
    <w:p>
      <w:pPr>
        <w:bidi/>
        <w:spacing w:after="240" w:line="276"/>
        <w:jc w:val="right"/>
      </w:pPr>
    </w:p>
    <w:p>
      <w:pPr>
        <w:bidi/>
        <w:spacing w:after="0" w:line="480"/>
        <w:ind w:firstLine="567"/>
        <w:jc w:val="both"/>
      </w:pPr>
      <w:r>
        <w:rPr>
          <w:rFonts w:ascii="David" w:cs="David" w:eastAsia="David" w:hAnsi="David"/>
          <w:sz w:val="24"/>
          <w:szCs w:val="24"/>
          <w:rtl/>
        </w:rPr>
        <w:t xml:space="preserve">מלוח 2 ניתן ללמוד כי </w:t>
      </w:r>
      <w:r>
        <w:rPr>
          <w:rFonts w:ascii="David" w:cs="David" w:eastAsia="David" w:hAnsi="David"/>
          <w:sz w:val="24"/>
          <w:szCs w:val="24"/>
          <w:highlight w:val="yellow"/>
          <w:rtl/>
        </w:rPr>
        <w:t xml:space="preserve">ממוצע הלגיטימיות (M = ___) נמצא סביב אמצע הסולם, כלומר השפוטים אינם דוחים את הסגל ואינם מאמצים אותו. ממוצע הרווחה הנפשית (M = ___) נמוך מעט יותר, וסטיית התקן הגבוהה (</w:t>
      </w:r>
      <w:r>
        <w:rPr>
          <w:rFonts w:ascii="Times New Roman" w:cs="Times New Roman" w:eastAsia="Times New Roman" w:hAnsi="Times New Roman"/>
          <w:sz w:val="24"/>
          <w:szCs w:val="24"/>
          <w:highlight w:val="yellow"/>
        </w:rPr>
        <w:t xml:space="preserve">SD</w:t>
      </w:r>
      <w:r>
        <w:rPr>
          <w:rFonts w:ascii="David" w:cs="David" w:eastAsia="David" w:hAnsi="David"/>
          <w:sz w:val="24"/>
          <w:szCs w:val="24"/>
          <w:highlight w:val="yellow"/>
          <w:rtl/>
        </w:rPr>
        <w:t xml:space="preserve"> = ___) מעידה על שונות גדולה בין נבדקים.</w:t>
      </w:r>
    </w:p>
    <w:p>
      <w:pPr>
        <w:pStyle w:val="Heading2"/>
        <w:bidi/>
        <w:spacing w:after="120" w:before="240" w:line="480"/>
        <w:jc w:val="right"/>
      </w:pPr>
      <w:r>
        <w:rPr>
          <w:rFonts w:ascii="David" w:cs="David" w:eastAsia="David" w:hAnsi="David"/>
          <w:b/>
          <w:bCs/>
          <w:sz w:val="28"/>
          <w:szCs w:val="28"/>
          <w:rtl/>
        </w:rPr>
        <w:t xml:space="preserve">מתאמים בין משתני המחקר</w:t>
      </w:r>
    </w:p>
    <w:p>
      <w:pPr>
        <w:bidi/>
        <w:spacing w:after="0" w:line="480"/>
        <w:ind w:firstLine="567"/>
        <w:jc w:val="both"/>
      </w:pPr>
      <w:r>
        <w:rPr>
          <w:rFonts w:ascii="David" w:cs="David" w:eastAsia="David" w:hAnsi="David"/>
          <w:sz w:val="24"/>
          <w:szCs w:val="24"/>
          <w:rtl/>
        </w:rPr>
        <w:t xml:space="preserve">כדי לבחון את השערה 1 חושבו מתאמי פירסון בין הלגיטימיות לבין הרווחה הנפשית ומשתני הרקע הרציפים. לוח 3 מציג את מטריצת המתאמים.</w:t>
      </w:r>
    </w:p>
    <w:p>
      <w:pPr>
        <w:keepNext/>
        <w:bidi/>
        <w:spacing w:after="120" w:before="240" w:line="360"/>
        <w:jc w:val="right"/>
      </w:pPr>
      <w:r>
        <w:rPr>
          <w:rFonts w:ascii="David" w:cs="David" w:eastAsia="David" w:hAnsi="David"/>
          <w:b/>
          <w:bCs/>
          <w:sz w:val="24"/>
          <w:szCs w:val="24"/>
          <w:rtl/>
        </w:rPr>
        <w:t xml:space="preserve">לוח 3: מתאמי פירסון בין משתני המחקר (N = </w:t>
      </w:r>
      <w:r>
        <w:rPr>
          <w:rFonts w:ascii="David" w:cs="David" w:eastAsia="David" w:hAnsi="David"/>
          <w:b/>
          <w:bCs/>
          <w:sz w:val="24"/>
          <w:szCs w:val="24"/>
          <w:highlight w:val="yellow"/>
          <w:rtl/>
        </w:rPr>
        <w:t xml:space="preserve">___</w:t>
      </w:r>
      <w:r>
        <w:rPr>
          <w:rFonts w:ascii="David" w:cs="David" w:eastAsia="David" w:hAnsi="David"/>
          <w:b/>
          <w:bCs/>
          <w:sz w:val="24"/>
          <w:szCs w:val="24"/>
          <w:rtl/>
        </w:rPr>
        <w:t xml:space="preserve">)</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200"/>
        <w:gridCol w:w="1200"/>
        <w:gridCol w:w="1200"/>
        <w:gridCol w:w="1200"/>
      </w:tblGrid>
      <w:tr>
        <w:trPr>
          <w:tblHeader/>
        </w:trPr>
        <w:tc>
          <w:tcPr>
            <w:tcW w:type="dxa" w:w="32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משתנה</w:t>
            </w:r>
          </w:p>
        </w:tc>
        <w:tc>
          <w:tcPr>
            <w:tcW w:type="dxa" w:w="12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1</w:t>
            </w:r>
          </w:p>
        </w:tc>
        <w:tc>
          <w:tcPr>
            <w:tcW w:type="dxa" w:w="12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2</w:t>
            </w:r>
          </w:p>
        </w:tc>
        <w:tc>
          <w:tcPr>
            <w:tcW w:type="dxa" w:w="12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3</w:t>
            </w:r>
          </w:p>
        </w:tc>
        <w:tc>
          <w:tcPr>
            <w:tcW w:type="dxa" w:w="12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4</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1. לגיטימיות של הסגל</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2. רווחה נפשית</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3. משך שהייה באגף</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4. מספר מאסרים</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w:t>
            </w:r>
          </w:p>
        </w:tc>
      </w:tr>
    </w:tbl>
    <w:p>
      <w:pPr>
        <w:bidi/>
        <w:spacing w:after="240" w:line="276"/>
        <w:jc w:val="right"/>
      </w:pPr>
      <w:r>
        <w:rPr>
          <w:rFonts w:ascii="David" w:cs="David" w:eastAsia="David" w:hAnsi="David"/>
          <w:sz w:val="20"/>
          <w:szCs w:val="20"/>
          <w:rtl/>
        </w:rPr>
        <w:t xml:space="preserve">* </w:t>
      </w:r>
      <w:r>
        <w:rPr>
          <w:rFonts w:ascii="Times New Roman" w:cs="Times New Roman" w:eastAsia="Times New Roman" w:hAnsi="Times New Roman"/>
          <w:sz w:val="20"/>
          <w:szCs w:val="20"/>
        </w:rPr>
        <w:t xml:space="preserve">p &lt; .05</w:t>
      </w:r>
      <w:r>
        <w:rPr>
          <w:rFonts w:ascii="David" w:cs="David" w:eastAsia="David" w:hAnsi="David"/>
          <w:sz w:val="20"/>
          <w:szCs w:val="20"/>
          <w:rtl/>
        </w:rPr>
        <w:t xml:space="preserve">  ** </w:t>
      </w:r>
      <w:r>
        <w:rPr>
          <w:rFonts w:ascii="Times New Roman" w:cs="Times New Roman" w:eastAsia="Times New Roman" w:hAnsi="Times New Roman"/>
          <w:sz w:val="20"/>
          <w:szCs w:val="20"/>
        </w:rPr>
        <w:t xml:space="preserve">p &lt; .01</w:t>
      </w:r>
      <w:r>
        <w:rPr>
          <w:rFonts w:ascii="David" w:cs="David" w:eastAsia="David" w:hAnsi="David"/>
          <w:sz w:val="20"/>
          <w:szCs w:val="20"/>
          <w:rtl/>
        </w:rPr>
        <w:t xml:space="preserve">  *** </w:t>
      </w:r>
      <w:r>
        <w:rPr>
          <w:rFonts w:ascii="Times New Roman" w:cs="Times New Roman" w:eastAsia="Times New Roman" w:hAnsi="Times New Roman"/>
          <w:sz w:val="20"/>
          <w:szCs w:val="20"/>
        </w:rPr>
        <w:t xml:space="preserve">p &lt; .001</w:t>
      </w:r>
    </w:p>
    <w:p>
      <w:pPr>
        <w:bidi/>
        <w:spacing w:after="0" w:line="480"/>
        <w:ind w:firstLine="567"/>
        <w:jc w:val="both"/>
      </w:pPr>
      <w:r>
        <w:rPr>
          <w:rFonts w:ascii="David" w:cs="David" w:eastAsia="David" w:hAnsi="David"/>
          <w:sz w:val="24"/>
          <w:szCs w:val="24"/>
          <w:rtl/>
        </w:rPr>
        <w:t xml:space="preserve">מלוח 3 עולה כי </w:t>
      </w:r>
      <w:r>
        <w:rPr>
          <w:rFonts w:ascii="David" w:cs="David" w:eastAsia="David" w:hAnsi="David"/>
          <w:sz w:val="24"/>
          <w:szCs w:val="24"/>
          <w:highlight w:val="yellow"/>
          <w:rtl/>
        </w:rPr>
        <w:t xml:space="preserve">נמצא קשר חיובי מובהק בין רווחה נפשית לבין לגיטימיות (r = ___, </w:t>
      </w:r>
      <w:r>
        <w:rPr>
          <w:rFonts w:ascii="Times New Roman" w:cs="Times New Roman" w:eastAsia="Times New Roman" w:hAnsi="Times New Roman"/>
          <w:sz w:val="24"/>
          <w:szCs w:val="24"/>
          <w:highlight w:val="yellow"/>
        </w:rPr>
        <w:t xml:space="preserve">p &lt; .01</w:t>
      </w:r>
      <w:r>
        <w:rPr>
          <w:rFonts w:ascii="David" w:cs="David" w:eastAsia="David" w:hAnsi="David"/>
          <w:sz w:val="24"/>
          <w:szCs w:val="24"/>
          <w:highlight w:val="yellow"/>
          <w:rtl/>
        </w:rPr>
        <w:t xml:space="preserve">): ככל שהרווחה הנפשית גבוהה יותר, כך הלגיטימיות המיוחסת לסגל גבוהה יותר. עוצמת הקשר בינונית. משך השהייה באגף נמצא בקשר ___ עם הלגיטימיות (r = ___), ומספר המאסרים בקשר ___ (r = ___).</w:t>
      </w:r>
      <w:r>
        <w:rPr>
          <w:rFonts w:ascii="David" w:cs="David" w:eastAsia="David" w:hAnsi="David"/>
          <w:sz w:val="24"/>
          <w:szCs w:val="24"/>
          <w:rtl/>
        </w:rPr>
        <w:t xml:space="preserve"> ממצאים אלו </w:t>
      </w:r>
      <w:r>
        <w:rPr>
          <w:rFonts w:ascii="David" w:cs="David" w:eastAsia="David" w:hAnsi="David"/>
          <w:sz w:val="24"/>
          <w:szCs w:val="24"/>
          <w:highlight w:val="yellow"/>
          <w:rtl/>
        </w:rPr>
        <w:t xml:space="preserve">תומכים</w:t>
      </w:r>
      <w:r>
        <w:rPr>
          <w:rFonts w:ascii="David" w:cs="David" w:eastAsia="David" w:hAnsi="David"/>
          <w:sz w:val="24"/>
          <w:szCs w:val="24"/>
          <w:rtl/>
        </w:rPr>
        <w:t xml:space="preserve"> בהשערה 1.</w:t>
      </w:r>
    </w:p>
    <w:p>
      <w:pPr>
        <w:pStyle w:val="Heading2"/>
        <w:bidi/>
        <w:spacing w:after="120" w:before="240" w:line="480"/>
        <w:jc w:val="right"/>
      </w:pPr>
      <w:r>
        <w:rPr>
          <w:rFonts w:ascii="David" w:cs="David" w:eastAsia="David" w:hAnsi="David"/>
          <w:b/>
          <w:bCs/>
          <w:sz w:val="28"/>
          <w:szCs w:val="28"/>
          <w:rtl/>
        </w:rPr>
        <w:t xml:space="preserve">ניתוח רגרסיה</w:t>
      </w:r>
    </w:p>
    <w:p>
      <w:pPr>
        <w:bidi/>
        <w:spacing w:after="0" w:line="480"/>
        <w:ind w:firstLine="567"/>
        <w:jc w:val="both"/>
      </w:pPr>
      <w:r>
        <w:rPr>
          <w:rFonts w:ascii="David" w:cs="David" w:eastAsia="David" w:hAnsi="David"/>
          <w:sz w:val="24"/>
          <w:szCs w:val="24"/>
          <w:rtl/>
        </w:rPr>
        <w:t xml:space="preserve">כדי לבחון את השערה 2 נערכה רגרסיה ליניארית מרובה שבה הלגיטימיות שימשה משתנה תלוי. המנבאים היו רווחה נפשית, משך שהייה באגף, מספר מאסרים ולאום (יהודי = 1). לוח 4 מציג את תוצאות הניתוח.</w:t>
      </w:r>
    </w:p>
    <w:p>
      <w:pPr>
        <w:keepNext/>
        <w:bidi/>
        <w:spacing w:after="120" w:before="240" w:line="360"/>
        <w:jc w:val="right"/>
      </w:pPr>
      <w:r>
        <w:rPr>
          <w:rFonts w:ascii="David" w:cs="David" w:eastAsia="David" w:hAnsi="David"/>
          <w:b/>
          <w:bCs/>
          <w:sz w:val="24"/>
          <w:szCs w:val="24"/>
          <w:rtl/>
        </w:rPr>
        <w:t xml:space="preserve">לוח 4: רגרסיה ליניארית מרובה לניבוי לגיטימיות של הסגל (N = </w:t>
      </w:r>
      <w:r>
        <w:rPr>
          <w:rFonts w:ascii="David" w:cs="David" w:eastAsia="David" w:hAnsi="David"/>
          <w:b/>
          <w:bCs/>
          <w:sz w:val="24"/>
          <w:szCs w:val="24"/>
          <w:highlight w:val="yellow"/>
          <w:rtl/>
        </w:rPr>
        <w:t xml:space="preserve">___</w:t>
      </w:r>
      <w:r>
        <w:rPr>
          <w:rFonts w:ascii="David" w:cs="David" w:eastAsia="David" w:hAnsi="David"/>
          <w:b/>
          <w:bCs/>
          <w:sz w:val="24"/>
          <w:szCs w:val="24"/>
          <w:rtl/>
        </w:rPr>
        <w:t xml:space="preserve">)</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500"/>
        <w:gridCol w:w="1100"/>
        <w:gridCol w:w="1100"/>
        <w:gridCol w:w="1100"/>
        <w:gridCol w:w="1100"/>
        <w:gridCol w:w="1100"/>
      </w:tblGrid>
      <w:tr>
        <w:trPr>
          <w:tblHeader/>
        </w:trPr>
        <w:tc>
          <w:tcPr>
            <w:tcW w:type="dxa" w:w="25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מנבא</w:t>
            </w:r>
          </w:p>
        </w:tc>
        <w:tc>
          <w:tcPr>
            <w:tcW w:type="dxa" w:w="11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B</w:t>
            </w:r>
          </w:p>
        </w:tc>
        <w:tc>
          <w:tcPr>
            <w:tcW w:type="dxa" w:w="11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Times New Roman" w:cs="Times New Roman" w:eastAsia="Times New Roman" w:hAnsi="Times New Roman"/>
                <w:b/>
                <w:bCs/>
                <w:sz w:val="22"/>
                <w:szCs w:val="22"/>
              </w:rPr>
              <w:t xml:space="preserve">SE</w:t>
            </w:r>
          </w:p>
        </w:tc>
        <w:tc>
          <w:tcPr>
            <w:tcW w:type="dxa" w:w="11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β</w:t>
            </w:r>
          </w:p>
        </w:tc>
        <w:tc>
          <w:tcPr>
            <w:tcW w:type="dxa" w:w="11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t</w:t>
            </w:r>
          </w:p>
        </w:tc>
        <w:tc>
          <w:tcPr>
            <w:tcW w:type="dxa" w:w="1100"/>
            <w:tcBorders>
              <w:top w:val="single" w:color="000000" w:sz="4"/>
              <w:left w:val="none" w:color="FFFFFF" w:sz="0"/>
              <w:bottom w:val="single" w:color="000000" w:sz="4"/>
              <w:right w:val="none" w:color="FFFFFF" w:sz="0"/>
            </w:tcBorders>
            <w:shd w:fill="EDEDED" w:color="auto" w:val="clear"/>
            <w:tcMar>
              <w:top w:type="dxa" w:w="60"/>
              <w:left w:type="dxa" w:w="80"/>
              <w:bottom w:type="dxa" w:w="60"/>
              <w:right w:type="dxa" w:w="80"/>
            </w:tcMar>
          </w:tcPr>
          <w:p>
            <w:pPr>
              <w:bidi/>
              <w:spacing w:after="0" w:line="276"/>
              <w:jc w:val="center"/>
            </w:pPr>
            <w:r>
              <w:rPr>
                <w:rFonts w:ascii="David" w:cs="David" w:eastAsia="David" w:hAnsi="David"/>
                <w:b/>
                <w:bCs/>
                <w:sz w:val="22"/>
                <w:szCs w:val="22"/>
                <w:rtl/>
              </w:rPr>
              <w:t xml:space="preserve">p</w:t>
            </w:r>
          </w:p>
        </w:tc>
      </w:tr>
      <w:tr>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רווחה נפשית</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משך שהייה באגף</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מספר מאסרים</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r>
        <w:tc>
          <w:tcPr>
            <w:tcW w:type="dxa" w:w="25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rtl/>
              </w:rPr>
              <w:t xml:space="preserve">לאום (יהודי = 1)</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tcPr>
          <w:p>
            <w:pPr>
              <w:bidi/>
              <w:spacing w:after="0" w:line="276"/>
              <w:jc w:val="center"/>
            </w:pPr>
            <w:r>
              <w:rPr>
                <w:rFonts w:ascii="David" w:cs="David" w:eastAsia="David" w:hAnsi="David"/>
                <w:b w:val="false"/>
                <w:bCs w:val="false"/>
                <w:sz w:val="22"/>
                <w:szCs w:val="22"/>
                <w:highlight w:val="yellow"/>
                <w:rtl/>
              </w:rPr>
              <w:t xml:space="preserve">___</w:t>
            </w:r>
          </w:p>
        </w:tc>
      </w:tr>
    </w:tbl>
    <w:p>
      <w:pPr>
        <w:bidi/>
        <w:spacing w:after="240" w:line="276"/>
        <w:jc w:val="right"/>
      </w:pPr>
      <w:r>
        <w:rPr>
          <w:rFonts w:ascii="David" w:cs="David" w:eastAsia="David" w:hAnsi="David"/>
          <w:sz w:val="20"/>
          <w:szCs w:val="20"/>
          <w:rtl/>
        </w:rPr>
        <w:t xml:space="preserve">R² = </w:t>
      </w:r>
      <w:r>
        <w:rPr>
          <w:rFonts w:ascii="David" w:cs="David" w:eastAsia="David" w:hAnsi="David"/>
          <w:sz w:val="20"/>
          <w:szCs w:val="20"/>
          <w:highlight w:val="yellow"/>
          <w:rtl/>
        </w:rPr>
        <w:t xml:space="preserve">___</w:t>
      </w:r>
      <w:r>
        <w:rPr>
          <w:rFonts w:ascii="David" w:cs="David" w:eastAsia="David" w:hAnsi="David"/>
          <w:sz w:val="20"/>
          <w:szCs w:val="20"/>
          <w:rtl/>
        </w:rPr>
        <w:t xml:space="preserve">, F(</w:t>
      </w:r>
      <w:r>
        <w:rPr>
          <w:rFonts w:ascii="David" w:cs="David" w:eastAsia="David" w:hAnsi="David"/>
          <w:sz w:val="20"/>
          <w:szCs w:val="20"/>
          <w:highlight w:val="yellow"/>
          <w:rtl/>
        </w:rPr>
        <w:t xml:space="preserve">___</w:t>
      </w:r>
      <w:r>
        <w:rPr>
          <w:rFonts w:ascii="David" w:cs="David" w:eastAsia="David" w:hAnsi="David"/>
          <w:sz w:val="20"/>
          <w:szCs w:val="20"/>
          <w:rtl/>
        </w:rPr>
        <w:t xml:space="preserve">, </w:t>
      </w:r>
      <w:r>
        <w:rPr>
          <w:rFonts w:ascii="David" w:cs="David" w:eastAsia="David" w:hAnsi="David"/>
          <w:sz w:val="20"/>
          <w:szCs w:val="20"/>
          <w:highlight w:val="yellow"/>
          <w:rtl/>
        </w:rPr>
        <w:t xml:space="preserve">___</w:t>
      </w:r>
      <w:r>
        <w:rPr>
          <w:rFonts w:ascii="David" w:cs="David" w:eastAsia="David" w:hAnsi="David"/>
          <w:sz w:val="20"/>
          <w:szCs w:val="20"/>
          <w:rtl/>
        </w:rPr>
        <w:t xml:space="preserve">) = </w:t>
      </w:r>
      <w:r>
        <w:rPr>
          <w:rFonts w:ascii="David" w:cs="David" w:eastAsia="David" w:hAnsi="David"/>
          <w:sz w:val="20"/>
          <w:szCs w:val="20"/>
          <w:highlight w:val="yellow"/>
          <w:rtl/>
        </w:rPr>
        <w:t xml:space="preserve">___</w:t>
      </w:r>
      <w:r>
        <w:rPr>
          <w:rFonts w:ascii="David" w:cs="David" w:eastAsia="David" w:hAnsi="David"/>
          <w:sz w:val="20"/>
          <w:szCs w:val="20"/>
          <w:rtl/>
        </w:rPr>
        <w:t xml:space="preserve">, p &lt; </w:t>
      </w:r>
      <w:r>
        <w:rPr>
          <w:rFonts w:ascii="David" w:cs="David" w:eastAsia="David" w:hAnsi="David"/>
          <w:sz w:val="20"/>
          <w:szCs w:val="20"/>
          <w:highlight w:val="yellow"/>
          <w:rtl/>
        </w:rPr>
        <w:t xml:space="preserve">___</w:t>
      </w:r>
    </w:p>
    <w:p>
      <w:pPr>
        <w:bidi/>
        <w:spacing w:after="0" w:line="480"/>
        <w:ind w:firstLine="567"/>
        <w:jc w:val="both"/>
      </w:pPr>
      <w:r>
        <w:rPr>
          <w:rFonts w:ascii="David" w:cs="David" w:eastAsia="David" w:hAnsi="David"/>
          <w:sz w:val="24"/>
          <w:szCs w:val="24"/>
          <w:rtl/>
        </w:rPr>
        <w:t xml:space="preserve">מלוח 4 ניתן ללמוד כי </w:t>
      </w:r>
      <w:r>
        <w:rPr>
          <w:rFonts w:ascii="David" w:cs="David" w:eastAsia="David" w:hAnsi="David"/>
          <w:sz w:val="24"/>
          <w:szCs w:val="24"/>
          <w:highlight w:val="yellow"/>
          <w:rtl/>
        </w:rPr>
        <w:t xml:space="preserve">המודל בכללותו מובהק ומסביר ___ אחוזים מהשונות בלגיטימיות. הרווחה הנפשית היא המנבא החזק ביותר (β = ___, </w:t>
      </w:r>
      <w:r>
        <w:rPr>
          <w:rFonts w:ascii="Times New Roman" w:cs="Times New Roman" w:eastAsia="Times New Roman" w:hAnsi="Times New Roman"/>
          <w:sz w:val="24"/>
          <w:szCs w:val="24"/>
          <w:highlight w:val="yellow"/>
        </w:rPr>
        <w:t xml:space="preserve">p &lt; .001</w:t>
      </w:r>
      <w:r>
        <w:rPr>
          <w:rFonts w:ascii="David" w:cs="David" w:eastAsia="David" w:hAnsi="David"/>
          <w:sz w:val="24"/>
          <w:szCs w:val="24"/>
          <w:highlight w:val="yellow"/>
          <w:rtl/>
        </w:rPr>
        <w:t xml:space="preserve">), ותרומתה נשמרת גם בפיקוח על משתני הרקע. משך השהייה באגף ___, מספר המאסרים ___, והלאום ___.</w:t>
      </w:r>
      <w:r>
        <w:rPr>
          <w:rFonts w:ascii="David" w:cs="David" w:eastAsia="David" w:hAnsi="David"/>
          <w:sz w:val="24"/>
          <w:szCs w:val="24"/>
          <w:rtl/>
        </w:rPr>
        <w:t xml:space="preserve"> ממצאים אלו </w:t>
      </w:r>
      <w:r>
        <w:rPr>
          <w:rFonts w:ascii="David" w:cs="David" w:eastAsia="David" w:hAnsi="David"/>
          <w:sz w:val="24"/>
          <w:szCs w:val="24"/>
          <w:highlight w:val="yellow"/>
          <w:rtl/>
        </w:rPr>
        <w:t xml:space="preserve">תומכים</w:t>
      </w:r>
      <w:r>
        <w:rPr>
          <w:rFonts w:ascii="David" w:cs="David" w:eastAsia="David" w:hAnsi="David"/>
          <w:sz w:val="24"/>
          <w:szCs w:val="24"/>
          <w:rtl/>
        </w:rPr>
        <w:t xml:space="preserve"> בהשערה 2. יש לזכור שגם רגרסיה מובהקת אינה מעידה על סיבתיות, אלא על כך שהרווחה הנפשית מסבירה חלק מהשונות בלגיטימיות מעבר למשתנים האחרים במודל.</w:t>
      </w:r>
    </w:p>
    <w:p>
      <w:pPr>
        <w:pStyle w:val="Heading1"/>
        <w:pageBreakBefore/>
        <w:bidi/>
        <w:spacing w:after="240" w:before="0" w:line="480"/>
        <w:jc w:val="right"/>
      </w:pPr>
      <w:r>
        <w:rPr>
          <w:rFonts w:ascii="David" w:cs="David" w:eastAsia="David" w:hAnsi="David"/>
          <w:b/>
          <w:bCs/>
          <w:sz w:val="32"/>
          <w:szCs w:val="32"/>
          <w:rtl/>
        </w:rPr>
        <w:t xml:space="preserve">דיון</w:t>
      </w:r>
    </w:p>
    <w:p>
      <w:pPr>
        <w:pStyle w:val="Heading2"/>
        <w:bidi/>
        <w:spacing w:after="120" w:before="240" w:line="480"/>
        <w:jc w:val="right"/>
      </w:pPr>
      <w:r>
        <w:rPr>
          <w:rFonts w:ascii="David" w:cs="David" w:eastAsia="David" w:hAnsi="David"/>
          <w:b/>
          <w:bCs/>
          <w:sz w:val="28"/>
          <w:szCs w:val="28"/>
          <w:rtl/>
        </w:rPr>
        <w:t xml:space="preserve">רקע למחקר</w:t>
      </w:r>
    </w:p>
    <w:p>
      <w:pPr>
        <w:bidi/>
        <w:spacing w:after="0" w:line="480"/>
        <w:ind w:firstLine="567"/>
        <w:jc w:val="both"/>
      </w:pPr>
      <w:r>
        <w:rPr>
          <w:rFonts w:ascii="David" w:cs="David" w:eastAsia="David" w:hAnsi="David"/>
          <w:sz w:val="24"/>
          <w:szCs w:val="24"/>
          <w:rtl/>
        </w:rPr>
        <w:t xml:space="preserve">המחקר הנוכחי ביקש לבחון באיזו מידה קיים קשר בין רווחה נפשית לבין תפיסת הלגיטימיות של סגל הכליאה בקרב אסירים שפוטים בישראל. הוא נשען על המודל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שלפיו הציות לסמכות נובע מתפיסתה כלגיטימית, ועל ספרות ההסתגלות למאסר שתיארה את הפגיעה ברווחה הנפשית כחלק בלתי נפרד מחוויית הכליאה (</w:t>
      </w:r>
      <w:r>
        <w:rPr>
          <w:rFonts w:ascii="Times New Roman" w:cs="Times New Roman" w:eastAsia="Times New Roman" w:hAnsi="Times New Roman"/>
          <w:sz w:val="24"/>
          <w:szCs w:val="24"/>
        </w:rPr>
        <w:t xml:space="preserve">Sykes, 1958; Liebling &amp; Maruna, 2005</w:t>
      </w:r>
      <w:r>
        <w:rPr>
          <w:rFonts w:ascii="David" w:cs="David" w:eastAsia="David" w:hAnsi="David"/>
          <w:sz w:val="24"/>
          <w:szCs w:val="24"/>
          <w:rtl/>
        </w:rPr>
        <w:t xml:space="preserve">).</w:t>
      </w:r>
    </w:p>
    <w:p>
      <w:pPr>
        <w:bidi/>
        <w:spacing w:after="0" w:line="480"/>
        <w:ind w:firstLine="567"/>
        <w:jc w:val="both"/>
      </w:pPr>
      <w:r>
        <w:rPr>
          <w:rFonts w:ascii="David" w:cs="David" w:eastAsia="David" w:hAnsi="David"/>
          <w:sz w:val="24"/>
          <w:szCs w:val="24"/>
          <w:rtl/>
        </w:rPr>
        <w:t xml:space="preserve">הממצא המרכזי הוא </w:t>
      </w:r>
      <w:r>
        <w:rPr>
          <w:rFonts w:ascii="David" w:cs="David" w:eastAsia="David" w:hAnsi="David"/>
          <w:sz w:val="24"/>
          <w:szCs w:val="24"/>
          <w:highlight w:val="yellow"/>
          <w:rtl/>
        </w:rPr>
        <w:t xml:space="preserve">קשר חיובי מובהק בעוצמה בינונית בין רווחה נפשית לבין לגיטימיות, שנשמר גם בפיקוח על לאום, מספר מאסרים ומשך השהייה באגף</w:t>
      </w:r>
      <w:r>
        <w:rPr>
          <w:rFonts w:ascii="David" w:cs="David" w:eastAsia="David" w:hAnsi="David"/>
          <w:sz w:val="24"/>
          <w:szCs w:val="24"/>
          <w:rtl/>
        </w:rPr>
        <w:t xml:space="preserve">. שתי ההשערות </w:t>
      </w:r>
      <w:r>
        <w:rPr>
          <w:rFonts w:ascii="David" w:cs="David" w:eastAsia="David" w:hAnsi="David"/>
          <w:sz w:val="24"/>
          <w:szCs w:val="24"/>
          <w:highlight w:val="yellow"/>
          <w:rtl/>
        </w:rPr>
        <w:t xml:space="preserve">אוששו</w:t>
      </w:r>
      <w:r>
        <w:rPr>
          <w:rFonts w:ascii="David" w:cs="David" w:eastAsia="David" w:hAnsi="David"/>
          <w:sz w:val="24"/>
          <w:szCs w:val="24"/>
          <w:rtl/>
        </w:rPr>
        <w:t xml:space="preserve">. בפסקאות הבאות הממצאים נקשרים לספרות שנסקרה, לפי הנושאים המרכזיים.</w:t>
      </w:r>
    </w:p>
    <w:p>
      <w:pPr>
        <w:pStyle w:val="Heading2"/>
        <w:bidi/>
        <w:spacing w:after="120" w:before="240" w:line="480"/>
        <w:jc w:val="right"/>
      </w:pPr>
      <w:r>
        <w:rPr>
          <w:rFonts w:ascii="David" w:cs="David" w:eastAsia="David" w:hAnsi="David"/>
          <w:b/>
          <w:bCs/>
          <w:sz w:val="28"/>
          <w:szCs w:val="28"/>
          <w:rtl/>
        </w:rPr>
        <w:t xml:space="preserve">רווחה נפשית ולגיטימיות</w:t>
      </w:r>
    </w:p>
    <w:p>
      <w:pPr>
        <w:bidi/>
        <w:spacing w:after="0" w:line="480"/>
        <w:ind w:firstLine="567"/>
        <w:jc w:val="both"/>
      </w:pPr>
      <w:r>
        <w:rPr>
          <w:rFonts w:ascii="David" w:cs="David" w:eastAsia="David" w:hAnsi="David"/>
          <w:sz w:val="24"/>
          <w:szCs w:val="24"/>
          <w:highlight w:val="yellow"/>
          <w:rtl/>
        </w:rPr>
        <w:t xml:space="preserve">הקשר החיובי שנמצא</w:t>
      </w:r>
      <w:r>
        <w:rPr>
          <w:rFonts w:ascii="David" w:cs="David" w:eastAsia="David" w:hAnsi="David"/>
          <w:sz w:val="24"/>
          <w:szCs w:val="24"/>
          <w:rtl/>
        </w:rPr>
        <w:t xml:space="preserve"> עולה בקנה אחד עם ממצאי המחקר ההולנדי, שבו יחס הוגן מצד הסוהרים ניבא פחות בעיות נפשיות בהמשך המאסר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המחקר הנוכחי מוסיף לכך את הכיוון ההפוך: אסירים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הממצא מתיישב גם עם הטענה של ליבלינג (</w:t>
      </w:r>
      <w:r>
        <w:rPr>
          <w:rFonts w:ascii="Times New Roman" w:cs="Times New Roman" w:eastAsia="Times New Roman" w:hAnsi="Times New Roman"/>
          <w:sz w:val="24"/>
          <w:szCs w:val="24"/>
        </w:rPr>
        <w:t xml:space="preserve">Liebling, 2004</w:t>
      </w:r>
      <w:r>
        <w:rPr>
          <w:rFonts w:ascii="David" w:cs="David" w:eastAsia="David" w:hAnsi="David"/>
          <w:sz w:val="24"/>
          <w:szCs w:val="24"/>
          <w:rtl/>
        </w:rPr>
        <w:t xml:space="preserve">) שממדים כמו כבוד, אנושיות ויחסים עם הסגל מתואמים עם רמת המצוקה של האסירים, ועם ממצאיהם של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שלפיהם דלות סביבתית וחוויות שליליות הן שמכרסמות בלגיטימיות במהלך המאסר.</w:t>
      </w:r>
    </w:p>
    <w:p>
      <w:pPr>
        <w:bidi/>
        <w:spacing w:after="0" w:line="480"/>
        <w:ind w:firstLine="567"/>
        <w:jc w:val="both"/>
      </w:pPr>
      <w:r>
        <w:rPr>
          <w:rFonts w:ascii="David" w:cs="David" w:eastAsia="David" w:hAnsi="David"/>
          <w:sz w:val="24"/>
          <w:szCs w:val="24"/>
          <w:highlight w:val="yellow"/>
          <w:rtl/>
        </w:rPr>
        <w:t xml:space="preserve">עוצמת הקשר, בינונית ולא גבוהה, ראויה להתייחסות.</w:t>
      </w:r>
      <w:r>
        <w:rPr>
          <w:rFonts w:ascii="David" w:cs="David" w:eastAsia="David" w:hAnsi="David"/>
          <w:sz w:val="24"/>
          <w:szCs w:val="24"/>
          <w:rtl/>
        </w:rPr>
        <w:t xml:space="preserve"> הרווחה הנפשית מסבירה </w:t>
      </w:r>
      <w:r>
        <w:rPr>
          <w:rFonts w:ascii="David" w:cs="David" w:eastAsia="David" w:hAnsi="David"/>
          <w:sz w:val="24"/>
          <w:szCs w:val="24"/>
          <w:highlight w:val="yellow"/>
          <w:rtl/>
        </w:rPr>
        <w:t xml:space="preserve">___</w:t>
      </w:r>
      <w:r>
        <w:rPr>
          <w:rFonts w:ascii="David" w:cs="David" w:eastAsia="David" w:hAnsi="David"/>
          <w:sz w:val="24"/>
          <w:szCs w:val="24"/>
          <w:rtl/>
        </w:rPr>
        <w:t xml:space="preserve"> אחוזים מהשונות בלגיטימיות, וזה אומר שרוב השונות מוסברת על ידי גורמים אחרים. ברנטון-סמית ומקארתי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במסד הנתונים הנוכחי לא ניתן היה להפריד בין בתי סוהר, ולכן חלק זה של השונות נותר לא מוסבר.</w:t>
      </w:r>
    </w:p>
    <w:p>
      <w:pPr>
        <w:pStyle w:val="Heading2"/>
        <w:bidi/>
        <w:spacing w:after="120" w:before="240" w:line="480"/>
        <w:jc w:val="right"/>
      </w:pPr>
      <w:r>
        <w:rPr>
          <w:rFonts w:ascii="David" w:cs="David" w:eastAsia="David" w:hAnsi="David"/>
          <w:b/>
          <w:bCs/>
          <w:sz w:val="28"/>
          <w:szCs w:val="28"/>
          <w:rtl/>
        </w:rPr>
        <w:t xml:space="preserve">לגיטימיות בהקשר הישראלי</w:t>
      </w:r>
    </w:p>
    <w:p>
      <w:pPr>
        <w:bidi/>
        <w:spacing w:after="0" w:line="480"/>
        <w:ind w:firstLine="567"/>
        <w:jc w:val="both"/>
      </w:pPr>
      <w:r>
        <w:rPr>
          <w:rFonts w:ascii="David" w:cs="David" w:eastAsia="David" w:hAnsi="David"/>
          <w:sz w:val="24"/>
          <w:szCs w:val="24"/>
          <w:rtl/>
        </w:rPr>
        <w:t xml:space="preserve">ממצאי המחקר הישראלי הראשון בתחום הצביעו על הלגיטימיות כמנגנון המקשר בין תנאי המחיה לבין שביעות הרצון מפעילויות השיקום (ועקנין, 2024). המחקר הנוכחי מחזק את התמונה מכיוון אחר: לא רק תנאי המחיה הפיזיים אלא גם המצב הנפשי של השפוט קשור לאופן שבו הוא שופט את הסגל. </w:t>
      </w:r>
      <w:r>
        <w:rPr>
          <w:rFonts w:ascii="David" w:cs="David" w:eastAsia="David" w:hAnsi="David"/>
          <w:sz w:val="24"/>
          <w:szCs w:val="24"/>
          <w:highlight w:val="yellow"/>
          <w:rtl/>
        </w:rPr>
        <w:t xml:space="preserve">הממוצע הבינוני של הלגיטימיות שנמצא</w:t>
      </w:r>
      <w:r>
        <w:rPr>
          <w:rFonts w:ascii="David" w:cs="David" w:eastAsia="David" w:hAnsi="David"/>
          <w:sz w:val="24"/>
          <w:szCs w:val="24"/>
          <w:rtl/>
        </w:rPr>
        <w:t xml:space="preserve"> מזכיר את מה שדיווחו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בסלובניה, שם יותר ממחצית האסירים לא נתנו אמון בסגל וחלק ניכר מהציות היה אינסטרומנטלי, מפחד מסנקציה ולא מהכרה. ההבחנה בין ציות אינסטרומנטלי לציות נורמטיבי היא הליבה של המודל של טיילר (</w:t>
      </w:r>
      <w:r>
        <w:rPr>
          <w:rFonts w:ascii="Times New Roman" w:cs="Times New Roman" w:eastAsia="Times New Roman" w:hAnsi="Times New Roman"/>
          <w:sz w:val="24"/>
          <w:szCs w:val="24"/>
        </w:rPr>
        <w:t xml:space="preserve">Tyler, 1990</w:t>
      </w:r>
      <w:r>
        <w:rPr>
          <w:rFonts w:ascii="David" w:cs="David" w:eastAsia="David" w:hAnsi="David"/>
          <w:sz w:val="24"/>
          <w:szCs w:val="24"/>
          <w:rtl/>
        </w:rPr>
        <w:t xml:space="preserve">), ומחקר עתידי בישראל יוכל לבחון איזה משני סוגי הציות שולט באגפי השפוטים.</w:t>
      </w:r>
    </w:p>
    <w:p>
      <w:pPr>
        <w:pStyle w:val="Heading2"/>
        <w:bidi/>
        <w:spacing w:after="120" w:before="240" w:line="480"/>
        <w:jc w:val="right"/>
      </w:pPr>
      <w:r>
        <w:rPr>
          <w:rFonts w:ascii="David" w:cs="David" w:eastAsia="David" w:hAnsi="David"/>
          <w:b/>
          <w:bCs/>
          <w:sz w:val="28"/>
          <w:szCs w:val="28"/>
          <w:rtl/>
        </w:rPr>
        <w:t xml:space="preserve">משך השהייה, מספר המאסרים והסתגלות</w:t>
      </w:r>
    </w:p>
    <w:p>
      <w:pPr>
        <w:bidi/>
        <w:spacing w:after="0" w:line="480"/>
        <w:ind w:firstLine="567"/>
        <w:jc w:val="both"/>
      </w:pPr>
      <w:r>
        <w:rPr>
          <w:rFonts w:ascii="David" w:cs="David" w:eastAsia="David" w:hAnsi="David"/>
          <w:sz w:val="24"/>
          <w:szCs w:val="24"/>
          <w:highlight w:val="yellow"/>
          <w:rtl/>
        </w:rPr>
        <w:t xml:space="preserve">משך השהייה באגף ומספר המאסרים לא נמצאו קשורים ללגיטימיות באופן מובהק.</w:t>
      </w:r>
      <w:r>
        <w:rPr>
          <w:rFonts w:ascii="David" w:cs="David" w:eastAsia="David" w:hAnsi="David"/>
          <w:sz w:val="24"/>
          <w:szCs w:val="24"/>
          <w:rtl/>
        </w:rPr>
        <w:t xml:space="preserve"> ממצא זה ניתן להסבר בשתי דרכים. ראשית, סייקס (</w:t>
      </w:r>
      <w:r>
        <w:rPr>
          <w:rFonts w:ascii="Times New Roman" w:cs="Times New Roman" w:eastAsia="Times New Roman" w:hAnsi="Times New Roman"/>
          <w:sz w:val="24"/>
          <w:szCs w:val="24"/>
        </w:rPr>
        <w:t xml:space="preserve">Sykes, 1958</w:t>
      </w:r>
      <w:r>
        <w:rPr>
          <w:rFonts w:ascii="David" w:cs="David" w:eastAsia="David" w:hAnsi="David"/>
          <w:sz w:val="24"/>
          <w:szCs w:val="24"/>
          <w:rtl/>
        </w:rPr>
        <w:t xml:space="preserve">) תיאר את כאבי המאסר ככרוניים ולא כזמניים, ולכן אין סיבה לצפות שהם ייחלשו עם הזמן. שנית, פרנקה ואחרים (</w:t>
      </w:r>
      <w:r>
        <w:rPr>
          <w:rFonts w:ascii="Times New Roman" w:cs="Times New Roman" w:eastAsia="Times New Roman" w:hAnsi="Times New Roman"/>
          <w:sz w:val="24"/>
          <w:szCs w:val="24"/>
        </w:rPr>
        <w:t xml:space="preserve">Franke et al., 2010</w:t>
      </w:r>
      <w:r>
        <w:rPr>
          <w:rFonts w:ascii="David" w:cs="David" w:eastAsia="David" w:hAnsi="David"/>
          <w:sz w:val="24"/>
          <w:szCs w:val="24"/>
          <w:rtl/>
        </w:rPr>
        <w:t xml:space="preserve">) הראו שהלגיטימיות אמנם משתנה במהלך המאסר, אך מה שמניע את השינוי הוא איכות החוויות במוסד ולא הזמן כשלעצמו. אסיר ותיק באגף גרוע לא יפתח לגיטימיות רק משום שהתרגל. </w:t>
      </w:r>
      <w:r>
        <w:rPr>
          <w:rFonts w:ascii="David" w:cs="David" w:eastAsia="David" w:hAnsi="David"/>
          <w:sz w:val="24"/>
          <w:szCs w:val="24"/>
          <w:highlight w:val="yellow"/>
          <w:rtl/>
        </w:rPr>
        <w:t xml:space="preserve">אם נמצא קשר מובהק, להחליף פסקה זו בהסבר מתאים: למשל, קשר שלילי עם מספר המאסרים מתיישב עם הצטברות חוויות שליליות במערכת.</w:t>
      </w:r>
    </w:p>
    <w:p>
      <w:pPr>
        <w:pStyle w:val="Heading2"/>
        <w:bidi/>
        <w:spacing w:after="120" w:before="240" w:line="480"/>
        <w:jc w:val="right"/>
      </w:pPr>
      <w:r>
        <w:rPr>
          <w:rFonts w:ascii="David" w:cs="David" w:eastAsia="David" w:hAnsi="David"/>
          <w:b/>
          <w:bCs/>
          <w:sz w:val="28"/>
          <w:szCs w:val="28"/>
          <w:rtl/>
        </w:rPr>
        <w:t xml:space="preserve">השלכות יישומיות</w:t>
      </w:r>
    </w:p>
    <w:p>
      <w:pPr>
        <w:bidi/>
        <w:spacing w:after="0" w:line="480"/>
        <w:ind w:firstLine="567"/>
        <w:jc w:val="both"/>
      </w:pPr>
      <w:r>
        <w:rPr>
          <w:rFonts w:ascii="David" w:cs="David" w:eastAsia="David" w:hAnsi="David"/>
          <w:sz w:val="24"/>
          <w:szCs w:val="24"/>
          <w:rtl/>
        </w:rPr>
        <w:t xml:space="preserve">מהממצאים נגזרות כמה המלצות מעשיות. הראשונה היא סינון שגרתי של רווחה נפשית בשתי נקודות זמן, בקליטה ושלושה חודשים לאחריה, שהן נקודות הזמן שבהן נמדדה המצוקה במחקר ההולנדי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שאלון קצר של חמישה עד עשרה היגדים יכול לזהות שפוטים במצוקה לפני שהיא מתורגמת לעימות עם הסגל. השנייה היא הכשרה של סוהרי אגף בעקרונות הצדק הפרוצדורלי: לתת לאסיר לומר את דברו לפני החלטה, להסביר את ההחלטה גם כשהיא שלילית, ולשמור על יחס אחיד בין אסירים. השלישית היא מדידה תקופתית של איכות חיי הכליאה ברמת האגף, בדומה לסקר תנאי המחיה שכבר נערך (ועקנין, 2024), כך שאגפים שבהם הלגיטימיות והרווחה נמוכות יזוהו ויטופלו. הרביעית היא קביעת מנגנון תלונות עם זמן מענה מוגדר, משום שתחושת האסיר שיש למי לפנות היא מרכיב ישיר בלגיטימיות.</w:t>
      </w:r>
    </w:p>
    <w:p>
      <w:pPr>
        <w:pStyle w:val="Heading1"/>
        <w:pageBreakBefore/>
        <w:bidi/>
        <w:spacing w:after="240" w:before="0" w:line="480"/>
        <w:jc w:val="right"/>
      </w:pPr>
      <w:r>
        <w:rPr>
          <w:rFonts w:ascii="David" w:cs="David" w:eastAsia="David" w:hAnsi="David"/>
          <w:b/>
          <w:bCs/>
          <w:sz w:val="32"/>
          <w:szCs w:val="32"/>
          <w:rtl/>
        </w:rPr>
        <w:t xml:space="preserve">מגבלות המחקר</w:t>
      </w:r>
    </w:p>
    <w:p>
      <w:pPr>
        <w:bidi/>
        <w:spacing w:after="0" w:line="480"/>
        <w:ind w:firstLine="567"/>
        <w:jc w:val="both"/>
      </w:pPr>
      <w:r>
        <w:rPr>
          <w:rFonts w:ascii="David" w:cs="David" w:eastAsia="David" w:hAnsi="David"/>
          <w:sz w:val="24"/>
          <w:szCs w:val="24"/>
          <w:rtl/>
        </w:rPr>
        <w:t xml:space="preserve">המגבלה הראשונה והמרכזית היא שהנתונים סינתטיים. הם נבנו על פי המבנה של סקר תנאי המחיה בשירות בתי הסוהר (ועקנין, 2024), אך אינם נתוני האסירים עצמם. לכן הממצאים מלמדים על השיטה ועל אופן הניתוח, ואין להסיק מהם מסקנות על אוכלוסיית השפוטים בישראל. כל מסקנה יישומית שהוצגה בדיון היא בגדר השערה שדורשת בדיקה בנתונים אמיתיים.</w:t>
      </w:r>
    </w:p>
    <w:p>
      <w:pPr>
        <w:bidi/>
        <w:spacing w:after="0" w:line="480"/>
        <w:ind w:firstLine="567"/>
        <w:jc w:val="both"/>
      </w:pPr>
      <w:r>
        <w:rPr>
          <w:rFonts w:ascii="David" w:cs="David" w:eastAsia="David" w:hAnsi="David"/>
          <w:sz w:val="24"/>
          <w:szCs w:val="24"/>
          <w:rt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ההולנדי הראה שאפשר לענות על שאלה זו רק במערך אורך עם שתי מדידות לפחות (</w:t>
      </w:r>
      <w:r>
        <w:rPr>
          <w:rFonts w:ascii="Times New Roman" w:cs="Times New Roman" w:eastAsia="Times New Roman" w:hAnsi="Times New Roman"/>
          <w:sz w:val="24"/>
          <w:szCs w:val="24"/>
        </w:rPr>
        <w:t xml:space="preserve">Beijersbergen et al., 2014</w:t>
      </w:r>
      <w:r>
        <w:rPr>
          <w:rFonts w:ascii="David" w:cs="David" w:eastAsia="David" w:hAnsi="David"/>
          <w:sz w:val="24"/>
          <w:szCs w:val="24"/>
          <w:rtl/>
        </w:rPr>
        <w:t xml:space="preserve">). מאחר שמדובר בניתוח משני, לא ניתן היה להוסיף היגדים לשאלון או לשלב ראיונות, ולכן לא התאפשר מחקר משולב שהיה יכול להסביר מדוע אסירים במצוקה תופסים את הסגל כפחות לגיטימי. בנוסף, המסד אינו מאפשר להבחין בין בתי סוהר, ואילו המחקר האנגלי הראה שחלק מהשונות בלגיטימיות נמצא ברמת המוסד (</w:t>
      </w:r>
      <w:r>
        <w:rPr>
          <w:rFonts w:ascii="Times New Roman" w:cs="Times New Roman" w:eastAsia="Times New Roman" w:hAnsi="Times New Roman"/>
          <w:sz w:val="24"/>
          <w:szCs w:val="24"/>
        </w:rPr>
        <w:t xml:space="preserve">Brunton-Smith &amp; McCarthy, 2016</w:t>
      </w:r>
      <w:r>
        <w:rPr>
          <w:rFonts w:ascii="David" w:cs="David" w:eastAsia="David" w:hAnsi="David"/>
          <w:sz w:val="24"/>
          <w:szCs w:val="24"/>
          <w:rtl/>
        </w:rPr>
        <w:t xml:space="preserve">).</w:t>
      </w:r>
    </w:p>
    <w:p>
      <w:pPr>
        <w:bidi/>
        <w:spacing w:after="0" w:line="480"/>
        <w:ind w:firstLine="567"/>
        <w:jc w:val="both"/>
      </w:pPr>
      <w:r>
        <w:rPr>
          <w:rFonts w:ascii="David" w:cs="David" w:eastAsia="David" w:hAnsi="David"/>
          <w:sz w:val="24"/>
          <w:szCs w:val="24"/>
          <w:rt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שני המשתנים נמדדו בדיווח עצמי, ובסביבת כליאה יש לחשוש מרצייה חברתית ומחשש של אסירים לדווח על יחס הסגל, גם כשהשאלון אנונימי. האצין ומשקו (</w:t>
      </w:r>
      <w:r>
        <w:rPr>
          <w:rFonts w:ascii="Times New Roman" w:cs="Times New Roman" w:eastAsia="Times New Roman" w:hAnsi="Times New Roman"/>
          <w:sz w:val="24"/>
          <w:szCs w:val="24"/>
        </w:rPr>
        <w:t xml:space="preserve">Hacin &amp; Meško, 2018</w:t>
      </w:r>
      <w:r>
        <w:rPr>
          <w:rFonts w:ascii="David" w:cs="David" w:eastAsia="David" w:hAnsi="David"/>
          <w:sz w:val="24"/>
          <w:szCs w:val="24"/>
          <w:rt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480"/>
        <w:jc w:val="right"/>
      </w:pPr>
      <w:r>
        <w:rPr>
          <w:rFonts w:ascii="David" w:cs="David" w:eastAsia="David" w:hAnsi="David"/>
          <w:b/>
          <w:bCs/>
          <w:sz w:val="32"/>
          <w:szCs w:val="32"/>
          <w:rtl/>
        </w:rPr>
        <w:t xml:space="preserve">סיכום</w:t>
      </w:r>
    </w:p>
    <w:p>
      <w:pPr>
        <w:bidi/>
        <w:spacing w:after="0" w:line="480"/>
        <w:ind w:firstLine="567"/>
        <w:jc w:val="both"/>
      </w:pPr>
      <w:r>
        <w:rPr>
          <w:rFonts w:ascii="David" w:cs="David" w:eastAsia="David" w:hAnsi="David"/>
          <w:sz w:val="24"/>
          <w:szCs w:val="24"/>
          <w:rtl/>
        </w:rPr>
        <w:t xml:space="preserve">העבודה בחנה את הקשר בין רווחה נפשית לבין תפיסת הלגיטימיות של סגל הכליאה בקרב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נגזרו שתי השערות. הניתוח כלל סטטיסטיקה תיאורית, מתאמים ורגרסיה מרובה, ומצא </w:t>
      </w:r>
      <w:r>
        <w:rPr>
          <w:rFonts w:ascii="David" w:cs="David" w:eastAsia="David" w:hAnsi="David"/>
          <w:sz w:val="24"/>
          <w:szCs w:val="24"/>
          <w:highlight w:val="yellow"/>
          <w:rtl/>
        </w:rPr>
        <w:t xml:space="preserve">קשר חיובי מובהק בין רווחה נפשית ללגיטימיות, שנשמר בפיקוח על משתני הרקע</w:t>
      </w:r>
      <w:r>
        <w:rPr>
          <w:rFonts w:ascii="David" w:cs="David" w:eastAsia="David" w:hAnsi="David"/>
          <w:sz w:val="24"/>
          <w:szCs w:val="24"/>
          <w:rtl/>
        </w:rPr>
        <w:t xml:space="preserve">. הממצאים תואמים את המחקרים באנגליה, בהולנד, בסלובניה ובארצות הברית, ומצביעים על כך שרווחתו הנפשית של השפוט אינה עניין טיפולי בלבד אלא מרכיב בסדר ובציות באגף. ההמלצות המעשיות, סינון רווחה נפשית בקליטה ואחריה, הכשרת סוהרים בצדק פרוצדורלי, מדידה תקופתית ברמת האגף ומנגנון תלונות מוגדר, ממתינות לבדיקה בנתונים אמיתיים ובמערך אורך.</w:t>
      </w:r>
    </w:p>
    <w:p>
      <w:pPr>
        <w:pStyle w:val="Heading1"/>
        <w:pageBreakBefore/>
        <w:bidi/>
        <w:spacing w:after="240" w:before="0" w:line="480"/>
        <w:jc w:val="right"/>
      </w:pPr>
      <w:r>
        <w:rPr>
          <w:rFonts w:ascii="David" w:cs="David" w:eastAsia="David" w:hAnsi="David"/>
          <w:b/>
          <w:bCs/>
          <w:sz w:val="32"/>
          <w:szCs w:val="32"/>
          <w:rtl/>
        </w:rPr>
        <w:t xml:space="preserve">גילוי נאות</w:t>
      </w:r>
    </w:p>
    <w:p>
      <w:pPr>
        <w:bidi/>
        <w:spacing w:after="0" w:line="480"/>
        <w:ind w:firstLine="567"/>
        <w:jc w:val="both"/>
      </w:pPr>
      <w:r>
        <w:rPr>
          <w:rFonts w:ascii="David" w:cs="David" w:eastAsia="David" w:hAnsi="David"/>
          <w:sz w:val="24"/>
          <w:szCs w:val="24"/>
          <w:rtl/>
        </w:rPr>
        <w:t xml:space="preserve">בכתיבת עבודה זו נעשה שימוש בכלי בינה מלאכותית לצורכי עריכה לשונית, עזרה בתרגום התקציר לאנגלית ועזרה בבניית הסינטקס של הניתוחים הסטטיסטיים ב-</w:t>
      </w:r>
      <w:r>
        <w:rPr>
          <w:rFonts w:ascii="Times New Roman" w:cs="Times New Roman" w:eastAsia="Times New Roman" w:hAnsi="Times New Roman"/>
          <w:sz w:val="24"/>
          <w:szCs w:val="24"/>
        </w:rPr>
        <w:t xml:space="preserve">SPSS</w:t>
      </w:r>
      <w:r>
        <w:rPr>
          <w:rFonts w:ascii="David" w:cs="David" w:eastAsia="David" w:hAnsi="David"/>
          <w:sz w:val="24"/>
          <w:szCs w:val="24"/>
          <w:rtl/>
        </w:rPr>
        <w:t xml:space="preserve">. הרעיונות, בחירת המקורות, פירוש הממצאים והמסקנות הם של הכותבות. </w:t>
      </w:r>
      <w:r>
        <w:rPr>
          <w:rFonts w:ascii="David" w:cs="David" w:eastAsia="David" w:hAnsi="David"/>
          <w:sz w:val="24"/>
          <w:szCs w:val="24"/>
          <w:highlight w:val="yellow"/>
          <w:rtl/>
        </w:rPr>
        <w:t xml:space="preserve">יש להתאים נוסח זה לטופס גילוי נאות של הקורס, אם קיים באתר הקורס.</w:t>
      </w:r>
    </w:p>
    <w:p>
      <w:pPr>
        <w:bidi/>
        <w:spacing w:after="0" w:line="480"/>
        <w:ind w:firstLine="567"/>
        <w:jc w:val="both"/>
      </w:pPr>
      <w:r>
        <w:rPr>
          <w:rFonts w:ascii="David" w:cs="David" w:eastAsia="David" w:hAnsi="David"/>
          <w:sz w:val="24"/>
          <w:szCs w:val="24"/>
          <w:rtl/>
        </w:rPr>
        <w:t xml:space="preserve">חלוקת העבודה: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המבוא ואת סקירת הספרות; </w:t>
      </w:r>
      <w:r>
        <w:rPr>
          <w:rFonts w:ascii="David" w:cs="David" w:eastAsia="David" w:hAnsi="David"/>
          <w:sz w:val="24"/>
          <w:szCs w:val="24"/>
          <w:highlight w:val="yellow"/>
          <w:rtl/>
        </w:rPr>
        <w:t xml:space="preserve">שם</w:t>
      </w:r>
      <w:r>
        <w:rPr>
          <w:rFonts w:ascii="David" w:cs="David" w:eastAsia="David" w:hAnsi="David"/>
          <w:sz w:val="24"/>
          <w:szCs w:val="24"/>
          <w:rtl/>
        </w:rPr>
        <w:t xml:space="preserve"> כתבה את פרק השיטה ואת פרק הממצאים; הדיון, המגבלות והסיכום נכתבו במשותף. </w:t>
      </w:r>
      <w:r>
        <w:rPr>
          <w:rFonts w:ascii="David" w:cs="David" w:eastAsia="David" w:hAnsi="David"/>
          <w:sz w:val="24"/>
          <w:szCs w:val="24"/>
          <w:highlight w:val="yellow"/>
          <w:rtl/>
        </w:rPr>
        <w:t xml:space="preserve">להתאים לחלוקה בפועל.</w:t>
      </w:r>
    </w:p>
    <w:p>
      <w:pPr>
        <w:pStyle w:val="Heading1"/>
        <w:pageBreakBefore/>
        <w:bidi/>
        <w:spacing w:after="240" w:before="0" w:line="480"/>
        <w:jc w:val="right"/>
      </w:pPr>
      <w:r>
        <w:rPr>
          <w:rFonts w:ascii="David" w:cs="David" w:eastAsia="David" w:hAnsi="David"/>
          <w:b/>
          <w:bCs/>
          <w:sz w:val="32"/>
          <w:szCs w:val="32"/>
          <w:rtl/>
        </w:rPr>
        <w:t xml:space="preserve">ביבליוגרפיה</w:t>
      </w:r>
    </w:p>
    <w:p>
      <w:pPr>
        <w:bidi/>
        <w:spacing w:after="0" w:line="480"/>
        <w:ind w:start="709" w:hanging="709"/>
        <w:jc w:val="right"/>
      </w:pPr>
      <w:r>
        <w:rPr>
          <w:rFonts w:ascii="David" w:cs="David" w:eastAsia="David" w:hAnsi="David"/>
          <w:sz w:val="24"/>
          <w:szCs w:val="24"/>
          <w:rtl/>
        </w:rPr>
        <w:t xml:space="preserve">ועקנין, י' (2024). בין שיקום ללגיטימיות: </w:t>
      </w:r>
      <w:r>
        <w:rPr>
          <w:rFonts w:ascii="David" w:cs="David" w:eastAsia="David" w:hAnsi="David"/>
          <w:sz w:val="24"/>
          <w:szCs w:val="24"/>
          <w:highlight w:val="yellow"/>
          <w:rtl/>
        </w:rPr>
        <w:t xml:space="preserve">תפקיד הלגיטימיות ביחס שבין שביעות רצון מתנאי המחיה לבין שביעות רצון מפעילויות שיקום בקרב אסירים פליליים בישראל</w:t>
      </w:r>
      <w:r>
        <w:rPr>
          <w:rFonts w:ascii="David" w:cs="David" w:eastAsia="David" w:hAnsi="David"/>
          <w:sz w:val="24"/>
          <w:szCs w:val="24"/>
          <w:rtl/>
        </w:rPr>
        <w:t xml:space="preserve">. צוהר לבית הסוהר: מחקרים בכליאה, ביטחון ואכיפה, 22, </w:t>
      </w:r>
      <w:r>
        <w:rPr>
          <w:rFonts w:ascii="David" w:cs="David" w:eastAsia="David" w:hAnsi="David"/>
          <w:sz w:val="24"/>
          <w:szCs w:val="24"/>
          <w:highlight w:val="yellow"/>
          <w:rtl/>
        </w:rPr>
        <w:t xml:space="preserve">עמ' ___-___</w:t>
      </w:r>
      <w:r>
        <w:rPr>
          <w:rFonts w:ascii="David" w:cs="David" w:eastAsia="David" w:hAnsi="David"/>
          <w:sz w:val="24"/>
          <w:szCs w:val="24"/>
          <w:rtl/>
        </w:rPr>
        <w:t xml:space="preserve">.</w:t>
      </w:r>
    </w:p>
    <w:p>
      <w:pPr>
        <w:spacing w:after="0" w:line="480"/>
        <w:ind w:left="709" w:hanging="709"/>
        <w:jc w:val="left"/>
      </w:pPr>
      <w:r>
        <w:rPr>
          <w:rFonts w:ascii="Times New Roman" w:cs="Times New Roman" w:eastAsia="Times New Roman" w:hAnsi="Times New Roman"/>
          <w:i w:val="false"/>
          <w:iCs w:val="false"/>
          <w:sz w:val="24"/>
          <w:szCs w:val="24"/>
        </w:rPr>
        <w:t xml:space="preserve">Beijersbergen, K. A., Dirkzwager, A. J. E., Eichelsheim, V. I., van der Laan, P. H., &amp; Nieuwbeerta, P. (2014). Procedural justice and prisoners' mental health problems: A longitudinal study. </w:t>
      </w:r>
      <w:r>
        <w:rPr>
          <w:rFonts w:ascii="Times New Roman" w:cs="Times New Roman" w:eastAsia="Times New Roman" w:hAnsi="Times New Roman"/>
          <w:i/>
          <w:iCs/>
          <w:sz w:val="24"/>
          <w:szCs w:val="24"/>
        </w:rPr>
        <w:t xml:space="preserve">Criminal Behaviour and Mental Health, 24</w:t>
      </w:r>
      <w:r>
        <w:rPr>
          <w:rFonts w:ascii="Times New Roman" w:cs="Times New Roman" w:eastAsia="Times New Roman" w:hAnsi="Times New Roman"/>
          <w:i w:val="false"/>
          <w:iCs w:val="false"/>
          <w:sz w:val="24"/>
          <w:szCs w:val="24"/>
        </w:rPr>
        <w:t xml:space="preserve">(2), 100-112. https://doi.org/10.1002/cbm.1881</w:t>
      </w:r>
    </w:p>
    <w:p>
      <w:pPr>
        <w:spacing w:after="0" w:line="480"/>
        <w:ind w:left="709" w:hanging="709"/>
        <w:jc w:val="left"/>
      </w:pPr>
      <w:r>
        <w:rPr>
          <w:rFonts w:ascii="Times New Roman" w:cs="Times New Roman" w:eastAsia="Times New Roman" w:hAnsi="Times New Roman"/>
          <w:i w:val="false"/>
          <w:iCs w:val="false"/>
          <w:sz w:val="24"/>
          <w:szCs w:val="24"/>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sz w:val="24"/>
          <w:szCs w:val="24"/>
        </w:rPr>
        <w:t xml:space="preserve">International Journal of Offender Therapy and Comparative Criminology, 59</w:t>
      </w:r>
      <w:r>
        <w:rPr>
          <w:rFonts w:ascii="Times New Roman" w:cs="Times New Roman" w:eastAsia="Times New Roman" w:hAnsi="Times New Roman"/>
          <w:i w:val="false"/>
          <w:iCs w:val="false"/>
          <w:sz w:val="24"/>
          <w:szCs w:val="24"/>
        </w:rPr>
        <w:t xml:space="preserve">(4), 337-358. https://doi.org/10.1177/0306624X13512767</w:t>
      </w:r>
    </w:p>
    <w:p>
      <w:pPr>
        <w:spacing w:after="0" w:line="480"/>
        <w:ind w:left="709" w:hanging="709"/>
        <w:jc w:val="left"/>
      </w:pPr>
      <w:r>
        <w:rPr>
          <w:rFonts w:ascii="Times New Roman" w:cs="Times New Roman" w:eastAsia="Times New Roman" w:hAnsi="Times New Roman"/>
          <w:i w:val="false"/>
          <w:iCs w:val="false"/>
          <w:sz w:val="24"/>
          <w:szCs w:val="24"/>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sz w:val="24"/>
          <w:szCs w:val="24"/>
        </w:rPr>
        <w:t xml:space="preserve">Justice Quarterly, 33</w:t>
      </w:r>
      <w:r>
        <w:rPr>
          <w:rFonts w:ascii="Times New Roman" w:cs="Times New Roman" w:eastAsia="Times New Roman" w:hAnsi="Times New Roman"/>
          <w:i w:val="false"/>
          <w:iCs w:val="false"/>
          <w:sz w:val="24"/>
          <w:szCs w:val="24"/>
        </w:rPr>
        <w:t xml:space="preserve">(6), 1029-1054. https://doi.org/10.1080/07418825.2015.1023215</w:t>
      </w:r>
    </w:p>
    <w:p>
      <w:pPr>
        <w:spacing w:after="0" w:line="480"/>
        <w:ind w:left="709" w:hanging="709"/>
        <w:jc w:val="left"/>
      </w:pPr>
      <w:r>
        <w:rPr>
          <w:rFonts w:ascii="Times New Roman" w:cs="Times New Roman" w:eastAsia="Times New Roman" w:hAnsi="Times New Roman"/>
          <w:i w:val="false"/>
          <w:iCs w:val="false"/>
          <w:sz w:val="24"/>
          <w:szCs w:val="24"/>
        </w:rPr>
        <w:t xml:space="preserve">Franke, D., Bierie, D., &amp; MacKenzie, D. L. (2010). Legitimacy in corrections: A randomized experiment comparing a boot camp with a prison. </w:t>
      </w:r>
      <w:r>
        <w:rPr>
          <w:rFonts w:ascii="Times New Roman" w:cs="Times New Roman" w:eastAsia="Times New Roman" w:hAnsi="Times New Roman"/>
          <w:i/>
          <w:iCs/>
          <w:sz w:val="24"/>
          <w:szCs w:val="24"/>
        </w:rPr>
        <w:t xml:space="preserve">Criminology &amp; Public Policy, 9</w:t>
      </w:r>
      <w:r>
        <w:rPr>
          <w:rFonts w:ascii="Times New Roman" w:cs="Times New Roman" w:eastAsia="Times New Roman" w:hAnsi="Times New Roman"/>
          <w:i w:val="false"/>
          <w:iCs w:val="false"/>
          <w:sz w:val="24"/>
          <w:szCs w:val="24"/>
        </w:rPr>
        <w:t xml:space="preserve">(1), 89-117. https://doi.org/10.1111/j.1745-9133.2010.00613.x</w:t>
      </w:r>
    </w:p>
    <w:p>
      <w:pPr>
        <w:spacing w:after="0" w:line="480"/>
        <w:ind w:left="709" w:hanging="709"/>
        <w:jc w:val="left"/>
      </w:pPr>
      <w:r>
        <w:rPr>
          <w:rFonts w:ascii="Times New Roman" w:cs="Times New Roman" w:eastAsia="Times New Roman" w:hAnsi="Times New Roman"/>
          <w:i w:val="false"/>
          <w:iCs w:val="false"/>
          <w:sz w:val="24"/>
          <w:szCs w:val="24"/>
        </w:rPr>
        <w:t xml:space="preserve">Hacin, R., &amp; Meško, G. (2018). Prisoners' perception of legitimacy of the prison staff: A qualitative study in Slovene prisons. </w:t>
      </w:r>
      <w:r>
        <w:rPr>
          <w:rFonts w:ascii="Times New Roman" w:cs="Times New Roman" w:eastAsia="Times New Roman" w:hAnsi="Times New Roman"/>
          <w:i/>
          <w:iCs/>
          <w:sz w:val="24"/>
          <w:szCs w:val="24"/>
        </w:rPr>
        <w:t xml:space="preserve">International Journal of Offender Therapy and Comparative Criminology, 62</w:t>
      </w:r>
      <w:r>
        <w:rPr>
          <w:rFonts w:ascii="Times New Roman" w:cs="Times New Roman" w:eastAsia="Times New Roman" w:hAnsi="Times New Roman"/>
          <w:i w:val="false"/>
          <w:iCs w:val="false"/>
          <w:sz w:val="24"/>
          <w:szCs w:val="24"/>
        </w:rPr>
        <w:t xml:space="preserve">(13), 4332-4350. https://doi.org/10.1177/0306624X18758896</w:t>
      </w:r>
    </w:p>
    <w:p>
      <w:pPr>
        <w:spacing w:after="0" w:line="480"/>
        <w:ind w:left="709" w:hanging="709"/>
        <w:jc w:val="left"/>
      </w:pPr>
      <w:r>
        <w:rPr>
          <w:rFonts w:ascii="Times New Roman" w:cs="Times New Roman" w:eastAsia="Times New Roman" w:hAnsi="Times New Roman"/>
          <w:i w:val="false"/>
          <w:iCs w:val="false"/>
          <w:sz w:val="24"/>
          <w:szCs w:val="24"/>
        </w:rPr>
        <w:t xml:space="preserve">Liebling, A. (2004). </w:t>
      </w:r>
      <w:r>
        <w:rPr>
          <w:rFonts w:ascii="Times New Roman" w:cs="Times New Roman" w:eastAsia="Times New Roman" w:hAnsi="Times New Roman"/>
          <w:i/>
          <w:iCs/>
          <w:sz w:val="24"/>
          <w:szCs w:val="24"/>
        </w:rPr>
        <w:t xml:space="preserve">Prisons and their moral performance: A study of values, quality, and prison life</w:t>
      </w:r>
      <w:r>
        <w:rPr>
          <w:rFonts w:ascii="Times New Roman" w:cs="Times New Roman" w:eastAsia="Times New Roman" w:hAnsi="Times New Roman"/>
          <w:i w:val="false"/>
          <w:iCs w:val="false"/>
          <w:sz w:val="24"/>
          <w:szCs w:val="24"/>
        </w:rPr>
        <w:t xml:space="preserve">. Oxford University Press.</w:t>
      </w:r>
    </w:p>
    <w:p>
      <w:pPr>
        <w:spacing w:after="0" w:line="480"/>
        <w:ind w:left="709" w:hanging="709"/>
        <w:jc w:val="left"/>
      </w:pPr>
      <w:r>
        <w:rPr>
          <w:rFonts w:ascii="Times New Roman" w:cs="Times New Roman" w:eastAsia="Times New Roman" w:hAnsi="Times New Roman"/>
          <w:i w:val="false"/>
          <w:iCs w:val="false"/>
          <w:sz w:val="24"/>
          <w:szCs w:val="24"/>
        </w:rPr>
        <w:t xml:space="preserve">Liebling, A., &amp; Maruna, S. (Eds.). (2005). </w:t>
      </w:r>
      <w:r>
        <w:rPr>
          <w:rFonts w:ascii="Times New Roman" w:cs="Times New Roman" w:eastAsia="Times New Roman" w:hAnsi="Times New Roman"/>
          <w:i/>
          <w:iCs/>
          <w:sz w:val="24"/>
          <w:szCs w:val="24"/>
        </w:rPr>
        <w:t xml:space="preserve">The effects of imprisonment</w:t>
      </w:r>
      <w:r>
        <w:rPr>
          <w:rFonts w:ascii="Times New Roman" w:cs="Times New Roman" w:eastAsia="Times New Roman" w:hAnsi="Times New Roman"/>
          <w:i w:val="false"/>
          <w:iCs w:val="false"/>
          <w:sz w:val="24"/>
          <w:szCs w:val="24"/>
        </w:rPr>
        <w:t xml:space="preserve">. Willan.</w:t>
      </w:r>
    </w:p>
    <w:p>
      <w:pPr>
        <w:spacing w:after="0" w:line="480"/>
        <w:ind w:left="709" w:hanging="709"/>
        <w:jc w:val="left"/>
      </w:pPr>
      <w:r>
        <w:rPr>
          <w:rFonts w:ascii="Times New Roman" w:cs="Times New Roman" w:eastAsia="Times New Roman" w:hAnsi="Times New Roman"/>
          <w:i w:val="false"/>
          <w:iCs w:val="false"/>
          <w:sz w:val="24"/>
          <w:szCs w:val="24"/>
        </w:rPr>
        <w:t xml:space="preserve">Ryan, C., &amp; Bergin, M. (2022). Procedural justice and legitimacy in prisons: A review of extant empirical literature. </w:t>
      </w:r>
      <w:r>
        <w:rPr>
          <w:rFonts w:ascii="Times New Roman" w:cs="Times New Roman" w:eastAsia="Times New Roman" w:hAnsi="Times New Roman"/>
          <w:i/>
          <w:iCs/>
          <w:sz w:val="24"/>
          <w:szCs w:val="24"/>
        </w:rPr>
        <w:t xml:space="preserve">Criminal Justice and Behavior, 49</w:t>
      </w:r>
      <w:r>
        <w:rPr>
          <w:rFonts w:ascii="Times New Roman" w:cs="Times New Roman" w:eastAsia="Times New Roman" w:hAnsi="Times New Roman"/>
          <w:i w:val="false"/>
          <w:iCs w:val="false"/>
          <w:sz w:val="24"/>
          <w:szCs w:val="24"/>
        </w:rPr>
        <w:t xml:space="preserve">(2), 143-163. https://doi.org/10.1177/00938548211053367</w:t>
      </w:r>
    </w:p>
    <w:p>
      <w:pPr>
        <w:spacing w:after="0" w:line="480"/>
        <w:ind w:left="709" w:hanging="709"/>
        <w:jc w:val="left"/>
      </w:pPr>
      <w:r>
        <w:rPr>
          <w:rFonts w:ascii="Times New Roman" w:cs="Times New Roman" w:eastAsia="Times New Roman" w:hAnsi="Times New Roman"/>
          <w:i w:val="false"/>
          <w:iCs w:val="false"/>
          <w:sz w:val="24"/>
          <w:szCs w:val="24"/>
        </w:rPr>
        <w:t xml:space="preserve">Sparks, R., Bottoms, A. E., &amp; Hay, W. (1996). </w:t>
      </w:r>
      <w:r>
        <w:rPr>
          <w:rFonts w:ascii="Times New Roman" w:cs="Times New Roman" w:eastAsia="Times New Roman" w:hAnsi="Times New Roman"/>
          <w:i/>
          <w:iCs/>
          <w:sz w:val="24"/>
          <w:szCs w:val="24"/>
        </w:rPr>
        <w:t xml:space="preserve">Prisons and the problem of order</w:t>
      </w:r>
      <w:r>
        <w:rPr>
          <w:rFonts w:ascii="Times New Roman" w:cs="Times New Roman" w:eastAsia="Times New Roman" w:hAnsi="Times New Roman"/>
          <w:i w:val="false"/>
          <w:iCs w:val="false"/>
          <w:sz w:val="24"/>
          <w:szCs w:val="24"/>
        </w:rPr>
        <w:t xml:space="preserve">. Clarendon Press.</w:t>
      </w:r>
    </w:p>
    <w:p>
      <w:pPr>
        <w:spacing w:after="0" w:line="480"/>
        <w:ind w:left="709" w:hanging="709"/>
        <w:jc w:val="left"/>
      </w:pPr>
      <w:r>
        <w:rPr>
          <w:rFonts w:ascii="Times New Roman" w:cs="Times New Roman" w:eastAsia="Times New Roman" w:hAnsi="Times New Roman"/>
          <w:i w:val="false"/>
          <w:iCs w:val="false"/>
          <w:sz w:val="24"/>
          <w:szCs w:val="24"/>
        </w:rPr>
        <w:t xml:space="preserve">Sykes, G. M. (1958). </w:t>
      </w:r>
      <w:r>
        <w:rPr>
          <w:rFonts w:ascii="Times New Roman" w:cs="Times New Roman" w:eastAsia="Times New Roman" w:hAnsi="Times New Roman"/>
          <w:i/>
          <w:iCs/>
          <w:sz w:val="24"/>
          <w:szCs w:val="24"/>
        </w:rPr>
        <w:t xml:space="preserve">The society of captives: A study of a maximum security prison</w:t>
      </w:r>
      <w:r>
        <w:rPr>
          <w:rFonts w:ascii="Times New Roman" w:cs="Times New Roman" w:eastAsia="Times New Roman" w:hAnsi="Times New Roman"/>
          <w:i w:val="false"/>
          <w:iCs w:val="false"/>
          <w:sz w:val="24"/>
          <w:szCs w:val="24"/>
        </w:rPr>
        <w:t xml:space="preserve">. Princeton University Press.</w:t>
      </w:r>
    </w:p>
    <w:p>
      <w:pPr>
        <w:spacing w:after="0" w:line="480"/>
        <w:ind w:left="709" w:hanging="709"/>
        <w:jc w:val="left"/>
      </w:pPr>
      <w:r>
        <w:rPr>
          <w:rFonts w:ascii="Times New Roman" w:cs="Times New Roman" w:eastAsia="Times New Roman" w:hAnsi="Times New Roman"/>
          <w:i w:val="false"/>
          <w:iCs w:val="false"/>
          <w:sz w:val="24"/>
          <w:szCs w:val="24"/>
        </w:rPr>
        <w:t xml:space="preserve">Tyler, T. R. (1990). </w:t>
      </w:r>
      <w:r>
        <w:rPr>
          <w:rFonts w:ascii="Times New Roman" w:cs="Times New Roman" w:eastAsia="Times New Roman" w:hAnsi="Times New Roman"/>
          <w:i/>
          <w:iCs/>
          <w:sz w:val="24"/>
          <w:szCs w:val="24"/>
        </w:rPr>
        <w:t xml:space="preserve">Why people obey the law</w:t>
      </w:r>
      <w:r>
        <w:rPr>
          <w:rFonts w:ascii="Times New Roman" w:cs="Times New Roman" w:eastAsia="Times New Roman" w:hAnsi="Times New Roman"/>
          <w:i w:val="false"/>
          <w:iCs w:val="false"/>
          <w:sz w:val="24"/>
          <w:szCs w:val="24"/>
        </w:rPr>
        <w:t xml:space="preserve">. Yale University Press.</w:t>
      </w:r>
    </w:p>
    <w:p>
      <w:pPr>
        <w:pStyle w:val="Heading1"/>
        <w:pageBreakBefore/>
        <w:bidi/>
        <w:spacing w:after="240" w:before="0" w:line="480"/>
        <w:jc w:val="right"/>
      </w:pPr>
      <w:r>
        <w:rPr>
          <w:rFonts w:ascii="David" w:cs="David" w:eastAsia="David" w:hAnsi="David"/>
          <w:b/>
          <w:bCs/>
          <w:sz w:val="32"/>
          <w:szCs w:val="32"/>
          <w:rtl/>
        </w:rPr>
        <w:t xml:space="preserve">נספחים</w:t>
      </w:r>
    </w:p>
    <w:p>
      <w:pPr>
        <w:pStyle w:val="Heading2"/>
        <w:bidi/>
        <w:spacing w:after="120" w:before="240" w:line="480"/>
        <w:jc w:val="right"/>
      </w:pPr>
      <w:r>
        <w:rPr>
          <w:rFonts w:ascii="David" w:cs="David" w:eastAsia="David" w:hAnsi="David"/>
          <w:b/>
          <w:bCs/>
          <w:sz w:val="28"/>
          <w:szCs w:val="28"/>
          <w:rtl/>
        </w:rPr>
        <w:t xml:space="preserve">נספח א': פלטי SPSS</w:t>
      </w:r>
    </w:p>
    <w:p>
      <w:pPr>
        <w:bidi/>
        <w:spacing w:after="0" w:line="480"/>
        <w:jc w:val="both"/>
      </w:pPr>
      <w:r>
        <w:rPr>
          <w:rFonts w:ascii="David" w:cs="David" w:eastAsia="David" w:hAnsi="David"/>
          <w:sz w:val="24"/>
          <w:szCs w:val="24"/>
          <w:highlight w:val="yellow"/>
          <w:rtl/>
        </w:rPr>
        <w:t xml:space="preserve">להדביק כאן את הפלטים: </w:t>
      </w:r>
      <w:r>
        <w:rPr>
          <w:rFonts w:ascii="Times New Roman" w:cs="Times New Roman" w:eastAsia="Times New Roman" w:hAnsi="Times New Roman"/>
          <w:sz w:val="24"/>
          <w:szCs w:val="24"/>
          <w:highlight w:val="yellow"/>
        </w:rPr>
        <w:t xml:space="preserve">Frequencies</w:t>
      </w:r>
      <w:r>
        <w:rPr>
          <w:rFonts w:ascii="David" w:cs="David" w:eastAsia="David" w:hAnsi="David"/>
          <w:sz w:val="24"/>
          <w:szCs w:val="24"/>
          <w:highlight w:val="yellow"/>
          <w:rtl/>
        </w:rPr>
        <w:t xml:space="preserve"> של משתני הרקע, </w:t>
      </w:r>
      <w:r>
        <w:rPr>
          <w:rFonts w:ascii="Times New Roman" w:cs="Times New Roman" w:eastAsia="Times New Roman" w:hAnsi="Times New Roman"/>
          <w:sz w:val="24"/>
          <w:szCs w:val="24"/>
          <w:highlight w:val="yellow"/>
        </w:rPr>
        <w:t xml:space="preserve">Descriptives</w:t>
      </w:r>
      <w:r>
        <w:rPr>
          <w:rFonts w:ascii="David" w:cs="David" w:eastAsia="David" w:hAnsi="David"/>
          <w:sz w:val="24"/>
          <w:szCs w:val="24"/>
          <w:highlight w:val="yellow"/>
          <w:rtl/>
        </w:rPr>
        <w:t xml:space="preserve"> של הלגיטימיות והרווחה, </w:t>
      </w:r>
      <w:r>
        <w:rPr>
          <w:rFonts w:ascii="Times New Roman" w:cs="Times New Roman" w:eastAsia="Times New Roman" w:hAnsi="Times New Roman"/>
          <w:sz w:val="24"/>
          <w:szCs w:val="24"/>
          <w:highlight w:val="yellow"/>
        </w:rPr>
        <w:t xml:space="preserve">Reliability</w:t>
      </w:r>
      <w:r>
        <w:rPr>
          <w:rFonts w:ascii="David" w:cs="David" w:eastAsia="David" w:hAnsi="David"/>
          <w:sz w:val="24"/>
          <w:szCs w:val="24"/>
          <w:highlight w:val="yellow"/>
          <w:rtl/>
        </w:rPr>
        <w:t xml:space="preserve"> של שני הסולמות, </w:t>
      </w:r>
      <w:r>
        <w:rPr>
          <w:rFonts w:ascii="Times New Roman" w:cs="Times New Roman" w:eastAsia="Times New Roman" w:hAnsi="Times New Roman"/>
          <w:sz w:val="24"/>
          <w:szCs w:val="24"/>
          <w:highlight w:val="yellow"/>
        </w:rPr>
        <w:t xml:space="preserve">Correlations</w:t>
      </w:r>
      <w:r>
        <w:rPr>
          <w:rFonts w:ascii="David" w:cs="David" w:eastAsia="David" w:hAnsi="David"/>
          <w:sz w:val="24"/>
          <w:szCs w:val="24"/>
          <w:highlight w:val="yellow"/>
          <w:rtl/>
        </w:rPr>
        <w:t xml:space="preserve"> ו-</w:t>
      </w:r>
      <w:r>
        <w:rPr>
          <w:rFonts w:ascii="Times New Roman" w:cs="Times New Roman" w:eastAsia="Times New Roman" w:hAnsi="Times New Roman"/>
          <w:sz w:val="24"/>
          <w:szCs w:val="24"/>
          <w:highlight w:val="yellow"/>
        </w:rPr>
        <w:t xml:space="preserve">Regression</w:t>
      </w:r>
      <w:r>
        <w:rPr>
          <w:rFonts w:ascii="David" w:cs="David" w:eastAsia="David" w:hAnsi="David"/>
          <w:sz w:val="24"/>
          <w:szCs w:val="24"/>
          <w:highlight w:val="yellow"/>
          <w:rtl/>
        </w:rPr>
        <w:t xml:space="preserve">.</w:t>
      </w:r>
    </w:p>
    <w:p>
      <w:pPr>
        <w:pStyle w:val="Heading2"/>
        <w:bidi/>
        <w:spacing w:after="120" w:before="240" w:line="480"/>
        <w:jc w:val="right"/>
      </w:pPr>
      <w:r>
        <w:rPr>
          <w:rFonts w:ascii="David" w:cs="David" w:eastAsia="David" w:hAnsi="David"/>
          <w:b/>
          <w:bCs/>
          <w:sz w:val="28"/>
          <w:szCs w:val="28"/>
          <w:rtl/>
        </w:rPr>
        <w:t xml:space="preserve">נספח ב': סינטקס</w:t>
      </w:r>
    </w:p>
    <w:p>
      <w:pPr>
        <w:bidi/>
        <w:spacing w:after="0" w:line="480"/>
        <w:jc w:val="both"/>
      </w:pPr>
      <w:r>
        <w:rPr>
          <w:rFonts w:ascii="David" w:cs="David" w:eastAsia="David" w:hAnsi="David"/>
          <w:sz w:val="24"/>
          <w:szCs w:val="24"/>
          <w:highlight w:val="yellow"/>
          <w:rtl/>
        </w:rPr>
        <w:t xml:space="preserve">להדביק כאן את קובץ הסינטקס המלא שהורץ ב-</w:t>
      </w:r>
      <w:r>
        <w:rPr>
          <w:rFonts w:ascii="Times New Roman" w:cs="Times New Roman" w:eastAsia="Times New Roman" w:hAnsi="Times New Roman"/>
          <w:sz w:val="24"/>
          <w:szCs w:val="24"/>
          <w:highlight w:val="yellow"/>
        </w:rPr>
        <w:t xml:space="preserve">SPSS</w:t>
      </w:r>
      <w:r>
        <w:rPr>
          <w:rFonts w:ascii="David" w:cs="David" w:eastAsia="David" w:hAnsi="David"/>
          <w:sz w:val="24"/>
          <w:szCs w:val="24"/>
          <w:highlight w:val="yellow"/>
          <w:rtl/>
        </w:rPr>
        <w:t xml:space="preserve">, כולל פקודות הסינון לשפוטים בלבד, חישוב ציוני הסולמות והניתוחים.</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2026-09-09T12:06:38.448Z</dcterms:created>
  <dcterms:modified xsi:type="dcterms:W3CDTF">2026-09-09T12:06:38.448Z</dcterms:modified>
</cp:coreProperties>
</file>

<file path=docProps/custom.xml><?xml version="1.0" encoding="utf-8"?>
<Properties xmlns="http://schemas.openxmlformats.org/officeDocument/2006/custom-properties" xmlns:vt="http://schemas.openxmlformats.org/officeDocument/2006/docPropsVTypes"/>
</file>