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noProof/>
          <w:sz w:val="32"/>
          <w:szCs w:val="32"/>
          <w:rtl/>
          <w:lang w:val="en-US" w:bidi="he-IL"/>
        </w:rPr>
        <w:t xml:space="preserve">הקריה האקדמית אונו</w:t>
      </w:r>
    </w:p>
    <w:p>
      <w:pPr>
        <w:bidi/>
        <w:spacing w:line="360"/>
        <w:jc w:val="center"/>
      </w:pPr>
      <w:r>
        <w:rPr>
          <w:rFonts w:ascii="David" w:cs="David" w:eastAsia="David" w:hAnsi="David"/>
          <w:b w:val="false"/>
          <w:noProof/>
          <w:sz w:val="24"/>
          <w:szCs w:val="24"/>
          <w:rtl/>
          <w:lang w:val="en-US" w:bidi="he-IL"/>
        </w:rPr>
        <w:t xml:space="preserve">הפקולטה למדעי הרוח</w:t>
      </w:r>
    </w:p>
    <w:p>
      <w:pPr>
        <w:bidi/>
        <w:spacing w:line="360"/>
        <w:jc w:val="center"/>
      </w:pPr>
      <w:r>
        <w:rPr>
          <w:rFonts w:ascii="David" w:cs="David" w:eastAsia="David" w:hAnsi="David"/>
          <w:b w:val="false"/>
          <w:noProof/>
          <w:sz w:val="24"/>
          <w:szCs w:val="24"/>
          <w:rtl/>
          <w:lang w:val="en-US" w:bidi="he-I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noProof/>
          <w:sz w:val="36"/>
          <w:szCs w:val="36"/>
          <w:rtl/>
          <w:lang w:val="en-US" w:bidi="he-IL"/>
        </w:rPr>
        <w:t xml:space="preserve">עבודת סיכום</w:t>
      </w:r>
    </w:p>
    <w:p>
      <w:pPr>
        <w:bidi/>
        <w:spacing w:line="360"/>
        <w:jc w:val="center"/>
      </w:pPr>
      <w:r>
        <w:rPr>
          <w:rFonts w:ascii="David" w:cs="David" w:eastAsia="David" w:hAnsi="David"/>
          <w:b/>
          <w:bCs/>
          <w:noProof/>
          <w:sz w:val="30"/>
          <w:szCs w:val="30"/>
          <w:rtl/>
          <w:lang w:val="en-US" w:bidi="he-I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noProof/>
          <w:sz w:val="26"/>
          <w:szCs w:val="26"/>
          <w:rtl/>
          <w:lang w:val="en-US" w:bidi="he-IL"/>
        </w:rPr>
        <w:t xml:space="preserve">בקורס: התנהגות ארגונית מיקרו ומאקרו</w:t>
      </w:r>
    </w:p>
    <w:p>
      <w:pPr>
        <w:bidi/>
        <w:spacing w:line="360"/>
        <w:jc w:val="center"/>
      </w:pPr>
      <w:r>
        <w:rPr>
          <w:rFonts w:ascii="David" w:cs="David" w:eastAsia="David" w:hAnsi="David"/>
          <w:b w:val="false"/>
          <w:noProof/>
          <w:sz w:val="24"/>
          <w:szCs w:val="24"/>
          <w:rtl/>
          <w:lang w:val="en-US" w:bidi="he-IL"/>
        </w:rPr>
        <w:t xml:space="preserve">שנת הלימודים תשפ"ו</w:t>
      </w:r>
    </w:p>
    <w:p>
      <w:pPr>
        <w:bidi/>
        <w:spacing w:line="360"/>
      </w:pPr>
    </w:p>
    <w:p>
      <w:pPr>
        <w:bidi/>
        <w:spacing w:line="360"/>
      </w:pPr>
    </w:p>
    <w:p>
      <w:pPr>
        <w:bidi/>
        <w:spacing w:line="360"/>
        <w:jc w:val="center"/>
      </w:pPr>
      <w:r>
        <w:rPr>
          <w:rFonts w:ascii="David" w:cs="David" w:eastAsia="David" w:hAnsi="David"/>
          <w:b/>
          <w:bCs/>
          <w:noProof/>
          <w:sz w:val="24"/>
          <w:szCs w:val="24"/>
          <w:rtl/>
          <w:lang w:val="en-US" w:bidi="he-IL"/>
        </w:rPr>
        <w:t xml:space="preserve">מגישות:</w:t>
      </w:r>
    </w:p>
    <w:p>
      <w:pPr>
        <w:bidi/>
        <w:spacing w:line="360"/>
        <w:jc w:val="center"/>
      </w:pPr>
      <w:r>
        <w:rPr>
          <w:rFonts w:ascii="David" w:cs="David" w:eastAsia="David" w:hAnsi="David"/>
          <w:b w:val="false"/>
          <w:noProof/>
          <w:sz w:val="24"/>
          <w:szCs w:val="24"/>
          <w:rtl/>
          <w:lang w:val="en-US" w:bidi="he-IL"/>
        </w:rPr>
        <w:t xml:space="preserve">רואן לוקמאן ביאטרה    ת"ז: 300869781</w:t>
      </w:r>
    </w:p>
    <w:p>
      <w:pPr>
        <w:bidi/>
        <w:spacing w:line="360"/>
        <w:jc w:val="center"/>
      </w:pPr>
      <w:r>
        <w:rPr>
          <w:rFonts w:ascii="David" w:cs="David" w:eastAsia="David" w:hAnsi="David"/>
          <w:b w:val="false"/>
          <w:noProof/>
          <w:sz w:val="24"/>
          <w:szCs w:val="24"/>
          <w:rtl/>
          <w:lang w:val="en-US" w:bidi="he-IL"/>
        </w:rPr>
        <w:t xml:space="preserve">מריאן אבו-ח׳לא    ת"ז: 211584644</w:t>
      </w:r>
    </w:p>
    <w:p>
      <w:pPr>
        <w:bidi/>
        <w:spacing w:line="360"/>
      </w:pPr>
    </w:p>
    <w:p>
      <w:pPr>
        <w:bidi/>
        <w:spacing w:line="360"/>
      </w:pPr>
    </w:p>
    <w:p>
      <w:pPr>
        <w:bidi/>
        <w:spacing w:line="360"/>
        <w:jc w:val="center"/>
      </w:pPr>
      <w:r>
        <w:rPr>
          <w:rFonts w:ascii="David" w:cs="David" w:eastAsia="David" w:hAnsi="David"/>
          <w:b w:val="false"/>
          <w:noProof/>
          <w:sz w:val="24"/>
          <w:szCs w:val="24"/>
          <w:rtl/>
          <w:lang w:val="en-US" w:bidi="he-IL"/>
        </w:rPr>
        <w:t xml:space="preserve">שם המרצה: ד"ר אילן פרידריך</w:t>
      </w:r>
    </w:p>
    <w:p>
      <w:pPr>
        <w:bidi/>
        <w:spacing w:line="360"/>
        <w:jc w:val="center"/>
      </w:pPr>
      <w:r>
        <w:rPr>
          <w:rFonts w:ascii="David" w:cs="David" w:eastAsia="David" w:hAnsi="David"/>
          <w:b w:val="false"/>
          <w:noProof/>
          <w:sz w:val="24"/>
          <w:szCs w:val="24"/>
          <w:rtl/>
          <w:lang w:val="en-US" w:bidi="he-IL"/>
        </w:rPr>
        <w:t xml:space="preserve">תאריך ההגשה: 07/10/2026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noProof/>
          <w:sz w:val="32"/>
          <w:szCs w:val="32"/>
          <w:rtl/>
          <w:lang w:val="en-US" w:bidi="he-IL"/>
        </w:rPr>
        <w:t xml:space="preserve">חלק א': תוכנית "פיתוח מנהלים" לדרג הביניים</w:t>
      </w:r>
    </w:p>
    <w:p>
      <w:pPr>
        <w:bidi/>
        <w:spacing w:after="120" w:line="360"/>
        <w:jc w:val="both"/>
      </w:pPr>
      <w:r>
        <w:rPr>
          <w:rFonts w:ascii="David" w:cs="David" w:eastAsia="David" w:hAnsi="David"/>
          <w:noProof/>
          <w:sz w:val="24"/>
          <w:szCs w:val="24"/>
          <w:rtl/>
          <w:lang w:val="en-US" w:bidi="he-I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w:t>
      </w:r>
    </w:p>
    <w:p>
      <w:pPr>
        <w:keepNext/>
        <w:bidi/>
        <w:spacing w:after="80" w:before="200" w:line="360"/>
        <w:jc w:val="right"/>
      </w:pPr>
      <w:r>
        <w:rPr>
          <w:rFonts w:ascii="David" w:cs="David" w:eastAsia="David" w:hAnsi="David"/>
          <w:b/>
          <w:bCs/>
          <w:noProof/>
          <w:sz w:val="28"/>
          <w:szCs w:val="28"/>
          <w:rtl/>
          <w:lang w:val="en-US" w:bidi="he-IL"/>
        </w:rPr>
        <w:t xml:space="preserve">מפגש 1: אישיות ולחץ בעבודה</w:t>
      </w:r>
    </w:p>
    <w:p>
      <w:pPr>
        <w:bidi/>
        <w:spacing w:after="120" w:line="360"/>
        <w:jc w:val="both"/>
      </w:pPr>
      <w:r>
        <w:rPr>
          <w:rFonts w:ascii="David" w:cs="David" w:eastAsia="David" w:hAnsi="David"/>
          <w:noProof/>
          <w:sz w:val="24"/>
          <w:szCs w:val="24"/>
          <w:rtl/>
          <w:lang w:val="en-US" w:bidi="he-I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noProof/>
          <w:sz w:val="24"/>
          <w:szCs w:val="24"/>
          <w:rtl/>
          <w:lang w:val="en-US" w:bidi="he-IL"/>
        </w:rPr>
        <w:t xml:space="preserve">אישיות</w:t>
      </w:r>
    </w:p>
    <w:p>
      <w:pPr>
        <w:bidi/>
        <w:spacing w:after="120" w:line="360"/>
        <w:jc w:val="both"/>
      </w:pPr>
      <w:r>
        <w:rPr>
          <w:rFonts w:ascii="David" w:cs="David" w:eastAsia="David" w:hAnsi="David"/>
          <w:noProof/>
          <w:sz w:val="24"/>
          <w:szCs w:val="24"/>
          <w:rtl/>
          <w:lang w:val="en-US" w:bidi="he-IL"/>
        </w:rPr>
        <w:t xml:space="preserve">כפי שהוצג בקורס, 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Big Five</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לכל אחד מהגורמים ביטוי מוכר במקום העבודה. עובד מצפוני מתכנן ומקפיד על לוחות זמנים, עובד נעים נמנע מעימות גם כשהוא נחוץ, ועובד בעל יציבות רגשית נמוכה חווה ביתר עוצמה דאגה, כעס ותסכול. 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noProof/>
          <w:sz w:val="24"/>
          <w:szCs w:val="24"/>
          <w:rtl/>
          <w:lang w:val="en-US" w:bidi="he-IL"/>
        </w:rPr>
        <w:t xml:space="preserve">לחץ בעבודה ושחיקה</w:t>
      </w:r>
    </w:p>
    <w:p>
      <w:pPr>
        <w:bidi/>
        <w:spacing w:after="120" w:line="360"/>
        <w:jc w:val="both"/>
      </w:pPr>
      <w:r>
        <w:rPr>
          <w:rFonts w:ascii="David" w:cs="David" w:eastAsia="David" w:hAnsi="David"/>
          <w:noProof/>
          <w:sz w:val="24"/>
          <w:szCs w:val="24"/>
          <w:rtl/>
          <w:lang w:val="en-US" w:bidi="he-IL"/>
        </w:rPr>
        <w:t xml:space="preserve">בקורס הוצגו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ללחץ יש גם מקורות שמחוץ לארגון, כמו מצב המשק: בתקופת משבר כלכלי עובדים נוטים לתפוס עבודה קשה כמלחיצה יותר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Giorgi et al., 2015</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noProof/>
          <w:sz w:val="24"/>
          <w:szCs w:val="24"/>
          <w:rtl/>
          <w:lang w:val="en-US" w:bidi="he-IL"/>
        </w:rPr>
        <w:t xml:space="preserve">המודל שמחבר בין שלוש ההגדרות הוא המודל הטרנזקציוני של לזרוס ופולקמן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Lazarus &amp; Folkman, 1984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noProof/>
          <w:sz w:val="24"/>
          <w:szCs w:val="24"/>
          <w:rtl/>
          <w:lang w:val="en-US" w:bidi="he-IL"/>
        </w:rPr>
        <w:t xml:space="preserve">הזיקה בין אישיות ללחץ</w:t>
      </w:r>
    </w:p>
    <w:p>
      <w:pPr>
        <w:bidi/>
        <w:spacing w:after="120" w:line="360"/>
        <w:jc w:val="both"/>
      </w:pPr>
      <w:r>
        <w:rPr>
          <w:rFonts w:ascii="David" w:cs="David" w:eastAsia="David" w:hAnsi="David"/>
          <w:noProof/>
          <w:sz w:val="24"/>
          <w:szCs w:val="24"/>
          <w:rtl/>
          <w:lang w:val="en-US" w:bidi="he-IL"/>
        </w:rPr>
        <w:t xml:space="preserve">כאן נכנסת האישיות. חן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noProof/>
          <w:sz w:val="24"/>
          <w:szCs w:val="24"/>
          <w:rtl/>
          <w:lang w:val="en-US" w:bidi="he-I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noProof/>
          <w:sz w:val="24"/>
          <w:szCs w:val="24"/>
          <w:rtl/>
          <w:lang w:val="en-US" w:bidi="he-I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noProof/>
          <w:sz w:val="28"/>
          <w:szCs w:val="28"/>
          <w:rtl/>
          <w:lang w:val="en-US" w:bidi="he-IL"/>
        </w:rPr>
        <w:t xml:space="preserve">מפגש 2: תיאוריית ההוגנות של אדמס, תיאוריית הצרכים של מקללנד ודור ה-Y</w:t>
      </w:r>
    </w:p>
    <w:p>
      <w:pPr>
        <w:bidi/>
        <w:spacing w:after="120" w:line="360"/>
        <w:jc w:val="both"/>
      </w:pPr>
      <w:r>
        <w:rPr>
          <w:rFonts w:ascii="David" w:cs="David" w:eastAsia="David" w:hAnsi="David"/>
          <w:noProof/>
          <w:sz w:val="24"/>
          <w:szCs w:val="24"/>
          <w:rtl/>
          <w:lang w:val="en-US" w:bidi="he-IL"/>
        </w:rPr>
        <w:t xml:space="preserve">כפי שהוגדרה בקורס, 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noProof/>
          <w:sz w:val="24"/>
          <w:szCs w:val="24"/>
          <w:rtl/>
          <w:lang w:val="en-US" w:bidi="he-IL"/>
        </w:rPr>
        <w:t xml:space="preserve">תיאוריית ההוגנות של אדמס</w:t>
      </w:r>
    </w:p>
    <w:p>
      <w:pPr>
        <w:bidi/>
        <w:spacing w:after="120" w:line="360"/>
        <w:jc w:val="both"/>
      </w:pPr>
      <w:r>
        <w:rPr>
          <w:rFonts w:ascii="David" w:cs="David" w:eastAsia="David" w:hAnsi="David"/>
          <w:noProof/>
          <w:sz w:val="24"/>
          <w:szCs w:val="24"/>
          <w:rtl/>
          <w:lang w:val="en-US" w:bidi="he-I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Adams, 1963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noProof/>
          <w:sz w:val="24"/>
          <w:szCs w:val="24"/>
          <w:rtl/>
          <w:lang w:val="en-US" w:bidi="he-IL"/>
        </w:rPr>
        <w:t xml:space="preserve">תיאוריית הצרכים של מקללנד</w:t>
      </w:r>
    </w:p>
    <w:p>
      <w:pPr>
        <w:bidi/>
        <w:spacing w:after="120" w:line="360"/>
        <w:jc w:val="both"/>
      </w:pPr>
      <w:r>
        <w:rPr>
          <w:rFonts w:ascii="David" w:cs="David" w:eastAsia="David" w:hAnsi="David"/>
          <w:noProof/>
          <w:sz w:val="24"/>
          <w:szCs w:val="24"/>
          <w:rtl/>
          <w:lang w:val="en-US" w:bidi="he-I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McClelland, 1985</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McClelland &amp; Boyatzis, 1982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noProof/>
          <w:sz w:val="24"/>
          <w:szCs w:val="24"/>
          <w:rtl/>
          <w:lang w:val="en-US" w:bidi="he-I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noProof/>
          <w:sz w:val="24"/>
          <w:szCs w:val="24"/>
          <w:rtl/>
          <w:lang w:val="en-US" w:bidi="he-IL"/>
        </w:rPr>
        <w:t xml:space="preserve">דור ה-Y</w:t>
      </w:r>
    </w:p>
    <w:p>
      <w:pPr>
        <w:bidi/>
        <w:spacing w:after="120" w:line="360"/>
        <w:jc w:val="both"/>
      </w:pPr>
      <w:r>
        <w:rPr>
          <w:rFonts w:ascii="David" w:cs="David" w:eastAsia="David" w:hAnsi="David"/>
          <w:noProof/>
          <w:sz w:val="24"/>
          <w:szCs w:val="24"/>
          <w:rtl/>
          <w:lang w:val="en-US" w:bidi="he-IL"/>
        </w:rPr>
        <w:t xml:space="preserve">בשוק העבודה פועלים כיום כמה דורות במקביל: הבייבי בומרס, דור ה-X, דור ה-Y ודור ה-Z, אם כי גבולות השנים של כל דור משתנים ממקור למקור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דור ה-Y, ילידי תחילת שנות השמונים עד אמצע שנות התשעים, מתואר בקורס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noProof/>
          <w:sz w:val="24"/>
          <w:szCs w:val="24"/>
          <w:rtl/>
          <w:lang w:val="en-US" w:bidi="he-IL"/>
        </w:rPr>
        <w:t xml:space="preserve">בני הדור גדלו בתקופה של שינויים טכנולוגיים מהירים, וחוו כאירועים מכוננים את פיגועי 11 בספטמבר ואת התפוצצות בועת ההייטק.</w:t>
      </w:r>
    </w:p>
    <w:p>
      <w:pPr>
        <w:keepNext/>
        <w:bidi/>
        <w:spacing w:after="80" w:before="60" w:line="360"/>
        <w:jc w:val="right"/>
      </w:pPr>
      <w:r>
        <w:rPr>
          <w:rFonts w:ascii="David" w:cs="David" w:eastAsia="David" w:hAnsi="David"/>
          <w:b/>
          <w:bCs/>
          <w:noProof/>
          <w:sz w:val="24"/>
          <w:szCs w:val="24"/>
          <w:rtl/>
          <w:lang w:val="en-US" w:bidi="he-IL"/>
        </w:rPr>
        <w:t xml:space="preserve">הזיקה בין הנושאים</w:t>
      </w:r>
    </w:p>
    <w:p>
      <w:pPr>
        <w:bidi/>
        <w:spacing w:after="120" w:line="360"/>
        <w:jc w:val="both"/>
      </w:pPr>
      <w:r>
        <w:rPr>
          <w:rFonts w:ascii="David" w:cs="David" w:eastAsia="David" w:hAnsi="David"/>
          <w:noProof/>
          <w:sz w:val="24"/>
          <w:szCs w:val="24"/>
          <w:rtl/>
          <w:lang w:val="en-US" w:bidi="he-I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noProof/>
          <w:sz w:val="28"/>
          <w:szCs w:val="28"/>
          <w:rtl/>
          <w:lang w:val="en-US" w:bidi="he-IL"/>
        </w:rPr>
        <w:t xml:space="preserve">מפגש 3: התעמרות בעבודה ותרבות ארגונית</w:t>
      </w:r>
    </w:p>
    <w:p>
      <w:pPr>
        <w:bidi/>
        <w:spacing w:after="120" w:line="360"/>
        <w:jc w:val="both"/>
      </w:pPr>
      <w:r>
        <w:rPr>
          <w:rFonts w:ascii="David" w:cs="David" w:eastAsia="David" w:hAnsi="David"/>
          <w:noProof/>
          <w:sz w:val="24"/>
          <w:szCs w:val="24"/>
          <w:rtl/>
          <w:lang w:val="en-US" w:bidi="he-I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noProof/>
          <w:sz w:val="24"/>
          <w:szCs w:val="24"/>
          <w:rtl/>
          <w:lang w:val="en-US" w:bidi="he-IL"/>
        </w:rPr>
        <w:t xml:space="preserve">התעמרות בעבודה</w:t>
      </w:r>
    </w:p>
    <w:p>
      <w:pPr>
        <w:bidi/>
        <w:spacing w:after="120" w:line="360"/>
        <w:jc w:val="both"/>
      </w:pPr>
      <w:r>
        <w:rPr>
          <w:rFonts w:ascii="David" w:cs="David" w:eastAsia="David" w:hAnsi="David"/>
          <w:noProof/>
          <w:sz w:val="24"/>
          <w:szCs w:val="24"/>
          <w:rtl/>
          <w:lang w:val="en-US" w:bidi="he-IL"/>
        </w:rPr>
        <w:t xml:space="preserve">לפי ההגדרה שהוצגה בקורס, התעמרות היא מצב מתמשך של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bidi/>
        <w:spacing w:after="120" w:line="360"/>
        <w:jc w:val="both"/>
      </w:pPr>
      <w:r>
        <w:rPr>
          <w:rFonts w:ascii="David" w:cs="David" w:eastAsia="David" w:hAnsi="David"/>
          <w:noProof/>
          <w:sz w:val="24"/>
          <w:szCs w:val="24"/>
          <w:rtl/>
          <w:lang w:val="en-US" w:bidi="he-I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Leymann, 1996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הממצא הזה מסיט את תשומת הלב מ"מי הפוגע" אל "מה בסביבה מאפשר לו לפגוע".</w:t>
      </w:r>
    </w:p>
    <w:p>
      <w:pPr>
        <w:bidi/>
        <w:spacing w:after="120" w:line="360"/>
        <w:jc w:val="both"/>
      </w:pPr>
      <w:r>
        <w:rPr>
          <w:rFonts w:ascii="David" w:cs="David" w:eastAsia="David" w:hAnsi="David"/>
          <w:noProof/>
          <w:sz w:val="24"/>
          <w:szCs w:val="24"/>
          <w:rtl/>
          <w:lang w:val="en-US" w:bidi="he-I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noProof/>
          <w:sz w:val="24"/>
          <w:szCs w:val="24"/>
          <w:rtl/>
          <w:lang w:val="en-US" w:bidi="he-IL"/>
        </w:rPr>
        <w:t xml:space="preserve">תרבות ארגונית</w:t>
      </w:r>
    </w:p>
    <w:p>
      <w:pPr>
        <w:bidi/>
        <w:spacing w:after="120" w:line="360"/>
        <w:jc w:val="both"/>
      </w:pPr>
      <w:r>
        <w:rPr>
          <w:rFonts w:ascii="David" w:cs="David" w:eastAsia="David" w:hAnsi="David"/>
          <w:noProof/>
          <w:sz w:val="24"/>
          <w:szCs w:val="24"/>
          <w:rtl/>
          <w:lang w:val="en-US" w:bidi="he-I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Schein, 1990</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מבנה דומה משמש לתיאור האקלים האתי בארגון: הנורמות, הנהלים וההתנהגות בפועל נשענים על הנחות היסוד ועל הערכים המשותפים לעובדים (שפירא-לשצ'ינסקי, 2005, כפי שמצוטט אצל מילון ושפירא-לשצ'ינסקי, 2021).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Competing Values Framework</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שפיתחו קווין ורורבו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Quinn &amp; Rohrbaugh, 1983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keepNext/>
        <w:bidi/>
        <w:spacing w:after="80" w:before="60" w:line="360"/>
        <w:jc w:val="right"/>
      </w:pPr>
      <w:r>
        <w:rPr>
          <w:rFonts w:ascii="David" w:cs="David" w:eastAsia="David" w:hAnsi="David"/>
          <w:b/>
          <w:bCs/>
          <w:noProof/>
          <w:sz w:val="24"/>
          <w:szCs w:val="24"/>
          <w:rtl/>
          <w:lang w:val="en-US" w:bidi="he-IL"/>
        </w:rPr>
        <w:t xml:space="preserve">הזיקה בין הנושאים</w:t>
      </w:r>
    </w:p>
    <w:p>
      <w:pPr>
        <w:bidi/>
        <w:spacing w:after="120" w:line="360"/>
        <w:jc w:val="both"/>
      </w:pPr>
      <w:r>
        <w:rPr>
          <w:rFonts w:ascii="David" w:cs="David" w:eastAsia="David" w:hAnsi="David"/>
          <w:noProof/>
          <w:sz w:val="24"/>
          <w:szCs w:val="24"/>
          <w:rtl/>
          <w:lang w:val="en-US" w:bidi="he-I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noProof/>
          <w:sz w:val="28"/>
          <w:szCs w:val="28"/>
          <w:rtl/>
          <w:lang w:val="en-US" w:bidi="he-IL"/>
        </w:rPr>
        <w:t xml:space="preserve">מפגש 4: התנהגות אזרחית ואישיות מקיאווליסטית</w:t>
      </w:r>
    </w:p>
    <w:p>
      <w:pPr>
        <w:bidi/>
        <w:spacing w:after="120" w:line="360"/>
        <w:jc w:val="both"/>
      </w:pPr>
      <w:r>
        <w:rPr>
          <w:rFonts w:ascii="David" w:cs="David" w:eastAsia="David" w:hAnsi="David"/>
          <w:noProof/>
          <w:sz w:val="24"/>
          <w:szCs w:val="24"/>
          <w:rtl/>
          <w:lang w:val="en-US" w:bidi="he-I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noProof/>
          <w:sz w:val="24"/>
          <w:szCs w:val="24"/>
          <w:rtl/>
          <w:lang w:val="en-US" w:bidi="he-IL"/>
        </w:rPr>
        <w:t xml:space="preserve">התנהגות אזרחית בארגון</w:t>
      </w:r>
    </w:p>
    <w:p>
      <w:pPr>
        <w:bidi/>
        <w:spacing w:after="120" w:line="360"/>
        <w:jc w:val="both"/>
      </w:pPr>
      <w:r>
        <w:rPr>
          <w:rFonts w:ascii="David" w:cs="David" w:eastAsia="David" w:hAnsi="David"/>
          <w:noProof/>
          <w:sz w:val="24"/>
          <w:szCs w:val="24"/>
          <w:rtl/>
          <w:lang w:val="en-US" w:bidi="he-I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Organ, 1988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Podsakoff et al., 2000</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bidi/>
        <w:spacing w:after="120" w:line="360"/>
        <w:jc w:val="both"/>
      </w:pPr>
      <w:r>
        <w:rPr>
          <w:rFonts w:ascii="David" w:cs="David" w:eastAsia="David" w:hAnsi="David"/>
          <w:noProof/>
          <w:sz w:val="24"/>
          <w:szCs w:val="24"/>
          <w:rtl/>
          <w:lang w:val="en-US" w:bidi="he-IL"/>
        </w:rPr>
        <w:t xml:space="preserve">בקורס הוצגה גם תמונת המראה של ההתנהגות האזרחית, ההתנהגות הלא נאותה: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counterproductive work behavior</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keepNext/>
        <w:bidi/>
        <w:spacing w:after="80" w:before="60" w:line="360"/>
        <w:jc w:val="right"/>
      </w:pPr>
      <w:r>
        <w:rPr>
          <w:rFonts w:ascii="David" w:cs="David" w:eastAsia="David" w:hAnsi="David"/>
          <w:b/>
          <w:bCs/>
          <w:noProof/>
          <w:sz w:val="24"/>
          <w:szCs w:val="24"/>
          <w:rtl/>
          <w:lang w:val="en-US" w:bidi="he-IL"/>
        </w:rPr>
        <w:t xml:space="preserve">האישיות המקיאווליסטית</w:t>
      </w:r>
    </w:p>
    <w:p>
      <w:pPr>
        <w:bidi/>
        <w:spacing w:after="120" w:line="360"/>
        <w:jc w:val="both"/>
      </w:pPr>
      <w:r>
        <w:rPr>
          <w:rFonts w:ascii="David" w:cs="David" w:eastAsia="David" w:hAnsi="David"/>
          <w:noProof/>
          <w:sz w:val="24"/>
          <w:szCs w:val="24"/>
          <w:rtl/>
          <w:lang w:val="en-US" w:bidi="he-I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keepNext/>
        <w:bidi/>
        <w:spacing w:after="80" w:before="60" w:line="360"/>
        <w:jc w:val="right"/>
      </w:pPr>
      <w:r>
        <w:rPr>
          <w:rFonts w:ascii="David" w:cs="David" w:eastAsia="David" w:hAnsi="David"/>
          <w:b/>
          <w:bCs/>
          <w:noProof/>
          <w:sz w:val="24"/>
          <w:szCs w:val="24"/>
          <w:rtl/>
          <w:lang w:val="en-US" w:bidi="he-IL"/>
        </w:rPr>
        <w:t xml:space="preserve">הזיקה בין הנושאים</w:t>
      </w:r>
    </w:p>
    <w:p>
      <w:pPr>
        <w:bidi/>
        <w:spacing w:after="120" w:line="360"/>
        <w:jc w:val="both"/>
      </w:pPr>
      <w:r>
        <w:rPr>
          <w:rFonts w:ascii="David" w:cs="David" w:eastAsia="David" w:hAnsi="David"/>
          <w:noProof/>
          <w:sz w:val="24"/>
          <w:szCs w:val="24"/>
          <w:rtl/>
          <w:lang w:val="en-US" w:bidi="he-I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bidi/>
        <w:spacing w:after="120" w:line="360"/>
        <w:jc w:val="both"/>
      </w:pPr>
      <w:r>
        <w:rPr>
          <w:rFonts w:ascii="David" w:cs="David" w:eastAsia="David" w:hAnsi="David"/>
          <w:noProof/>
          <w:sz w:val="24"/>
          <w:szCs w:val="24"/>
          <w:rtl/>
          <w:lang w:val="en-US" w:bidi="he-I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keepNext/>
        <w:pageBreakBefore/>
        <w:bidi/>
        <w:spacing w:after="80" w:before="200" w:line="360"/>
        <w:jc w:val="center"/>
      </w:pPr>
      <w:r>
        <w:rPr>
          <w:rFonts w:ascii="David" w:cs="David" w:eastAsia="David" w:hAnsi="David"/>
          <w:b/>
          <w:bCs/>
          <w:noProof/>
          <w:sz w:val="32"/>
          <w:szCs w:val="32"/>
          <w:rtl/>
          <w:lang w:val="en-US" w:bidi="he-IL"/>
        </w:rPr>
        <w:t xml:space="preserve">חלק ב': רפלקציה</w:t>
      </w:r>
    </w:p>
    <w:p>
      <w:pPr>
        <w:keepNext/>
        <w:bidi/>
        <w:spacing w:after="80" w:before="200" w:line="360"/>
        <w:jc w:val="right"/>
      </w:pPr>
      <w:r>
        <w:rPr>
          <w:rFonts w:ascii="David" w:cs="David" w:eastAsia="David" w:hAnsi="David"/>
          <w:b/>
          <w:bCs/>
          <w:noProof/>
          <w:sz w:val="28"/>
          <w:szCs w:val="28"/>
          <w:rtl/>
          <w:lang w:val="en-US" w:bidi="he-IL"/>
        </w:rPr>
        <w:t xml:space="preserve">רפלקציה: רואן לוקמאן ביאטרה</w:t>
      </w:r>
    </w:p>
    <w:p>
      <w:pPr>
        <w:keepNext/>
        <w:bidi/>
        <w:spacing w:after="80" w:before="60" w:line="360"/>
        <w:jc w:val="right"/>
      </w:pPr>
      <w:r>
        <w:rPr>
          <w:rFonts w:ascii="David" w:cs="David" w:eastAsia="David" w:hAnsi="David"/>
          <w:b/>
          <w:bCs/>
          <w:noProof/>
          <w:sz w:val="24"/>
          <w:szCs w:val="24"/>
          <w:rtl/>
          <w:lang w:val="en-US" w:bidi="he-IL"/>
        </w:rPr>
        <w:t xml:space="preserve">נושא ראשון: אישיות ולחץ בעבודה</w:t>
      </w:r>
    </w:p>
    <w:p>
      <w:pPr>
        <w:bidi/>
        <w:spacing w:after="120" w:line="360"/>
        <w:jc w:val="both"/>
      </w:pPr>
      <w:r>
        <w:rPr>
          <w:rFonts w:ascii="David" w:cs="David" w:eastAsia="David" w:hAnsi="David"/>
          <w:noProof/>
          <w:sz w:val="24"/>
          <w:szCs w:val="24"/>
          <w:rtl/>
          <w:lang w:val="en-US" w:bidi="he-I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הבנתי שחלק גדול מהלחץ נוצר ברגע שבו אני מפרשת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noProof/>
          <w:sz w:val="24"/>
          <w:szCs w:val="24"/>
          <w:rtl/>
          <w:lang w:val="en-US" w:bidi="he-I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מחשבת מה עלול להשתבש. פעם ראיתי בזה רצינות. היום אני רואה בזה גם דפוס שעולה לי ביוקר.</w:t>
      </w:r>
    </w:p>
    <w:p>
      <w:pPr>
        <w:bidi/>
        <w:spacing w:after="120" w:line="360"/>
        <w:jc w:val="both"/>
      </w:pPr>
      <w:r>
        <w:rPr>
          <w:rFonts w:ascii="David" w:cs="David" w:eastAsia="David" w:hAnsi="David"/>
          <w:noProof/>
          <w:sz w:val="24"/>
          <w:szCs w:val="24"/>
          <w:rtl/>
          <w:lang w:val="en-US" w:bidi="he-I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noProof/>
          <w:sz w:val="24"/>
          <w:szCs w:val="24"/>
          <w:rtl/>
          <w:lang w:val="en-US" w:bidi="he-I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noProof/>
          <w:sz w:val="24"/>
          <w:szCs w:val="24"/>
          <w:rtl/>
          <w:lang w:val="en-US" w:bidi="he-I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צריכה לנחש. כשאני מעבירה משימות לאחרים, אני משתדלת לזכור שאותה משימה תיקרא אחרת אצל כל אחד, ולשאול לפני שאני מניחה.</w:t>
      </w:r>
    </w:p>
    <w:p>
      <w:pPr>
        <w:keepNext/>
        <w:bidi/>
        <w:spacing w:after="80" w:before="60" w:line="360"/>
        <w:jc w:val="right"/>
      </w:pPr>
      <w:r>
        <w:rPr>
          <w:rFonts w:ascii="David" w:cs="David" w:eastAsia="David" w:hAnsi="David"/>
          <w:b/>
          <w:bCs/>
          <w:noProof/>
          <w:sz w:val="24"/>
          <w:szCs w:val="24"/>
          <w:rtl/>
          <w:lang w:val="en-US" w:bidi="he-IL"/>
        </w:rPr>
        <w:t xml:space="preserve">נושא שני: התעמרות בעבודה ותרבות ארגונית</w:t>
      </w:r>
    </w:p>
    <w:p>
      <w:pPr>
        <w:bidi/>
        <w:spacing w:after="120" w:line="360"/>
        <w:jc w:val="both"/>
      </w:pPr>
      <w:r>
        <w:rPr>
          <w:rFonts w:ascii="David" w:cs="David" w:eastAsia="David" w:hAnsi="David"/>
          <w:noProof/>
          <w:sz w:val="24"/>
          <w:szCs w:val="24"/>
          <w:rtl/>
          <w:lang w:val="en-US" w:bidi="he-I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noProof/>
          <w:sz w:val="24"/>
          <w:szCs w:val="24"/>
          <w:rtl/>
          <w:lang w:val="en-US" w:bidi="he-IL"/>
        </w:rPr>
        <w:t xml:space="preserve">למדתי על עצמי דבר לא מחמיא: בחרתי בנוחות. לא אני פגעתי בה,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noProof/>
          <w:sz w:val="24"/>
          <w:szCs w:val="24"/>
          <w:rtl/>
          <w:lang w:val="en-US" w:bidi="he-I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noProof/>
          <w:sz w:val="24"/>
          <w:szCs w:val="24"/>
          <w:rtl/>
          <w:lang w:val="en-US" w:bidi="he-IL"/>
        </w:rPr>
        <w:t xml:space="preserve">הקורס גם גרם לי לשאול איזו תרבות קיימת בארגון שבו אני עובדת היום. לפי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noProof/>
          <w:sz w:val="24"/>
          <w:szCs w:val="24"/>
          <w:rtl/>
          <w:lang w:val="en-US" w:bidi="he-I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noProof/>
          <w:sz w:val="24"/>
          <w:szCs w:val="24"/>
          <w:rtl/>
          <w:lang w:val="en-US" w:bidi="he-IL"/>
        </w:rPr>
        <w:t xml:space="preserve">תובנות על הדיסציפלינה</w:t>
      </w:r>
    </w:p>
    <w:p>
      <w:pPr>
        <w:bidi/>
        <w:spacing w:after="120" w:line="360"/>
        <w:jc w:val="both"/>
      </w:pPr>
      <w:r>
        <w:rPr>
          <w:rFonts w:ascii="David" w:cs="David" w:eastAsia="David" w:hAnsi="David"/>
          <w:noProof/>
          <w:sz w:val="24"/>
          <w:szCs w:val="24"/>
          <w:rtl/>
          <w:lang w:val="en-US" w:bidi="he-I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לוקחת ממנו.</w:t>
      </w:r>
    </w:p>
    <w:p>
      <w:pPr>
        <w:keepNext/>
        <w:pageBreakBefore/>
        <w:bidi/>
        <w:spacing w:after="80" w:before="200" w:line="360"/>
        <w:jc w:val="right"/>
      </w:pPr>
      <w:r>
        <w:rPr>
          <w:rFonts w:ascii="David" w:cs="David" w:eastAsia="David" w:hAnsi="David"/>
          <w:b/>
          <w:bCs/>
          <w:noProof/>
          <w:sz w:val="28"/>
          <w:szCs w:val="28"/>
          <w:rtl/>
          <w:lang w:val="en-US" w:bidi="he-IL"/>
        </w:rPr>
        <w:t xml:space="preserve">רפלקציה: מריאן אבו-ח׳לא</w:t>
      </w:r>
    </w:p>
    <w:p>
      <w:pPr>
        <w:keepNext/>
        <w:bidi/>
        <w:spacing w:after="80" w:before="60" w:line="360"/>
        <w:jc w:val="right"/>
      </w:pPr>
      <w:r>
        <w:rPr>
          <w:rFonts w:ascii="David" w:cs="David" w:eastAsia="David" w:hAnsi="David"/>
          <w:b/>
          <w:bCs/>
          <w:noProof/>
          <w:sz w:val="24"/>
          <w:szCs w:val="24"/>
          <w:rtl/>
          <w:lang w:val="en-US" w:bidi="he-IL"/>
        </w:rPr>
        <w:t xml:space="preserve">נושא ראשון: המוטיבציה של אדמס ומקללנד ודור ה-Y</w:t>
      </w:r>
    </w:p>
    <w:p>
      <w:pPr>
        <w:bidi/>
        <w:spacing w:after="120" w:line="360"/>
        <w:jc w:val="both"/>
      </w:pPr>
      <w:r>
        <w:rPr>
          <w:rFonts w:ascii="David" w:cs="David" w:eastAsia="David" w:hAnsi="David"/>
          <w:noProof/>
          <w:sz w:val="24"/>
          <w:szCs w:val="24"/>
          <w:rtl/>
          <w:lang w:val="en-US" w:bidi="he-IL"/>
        </w:rPr>
        <w:t xml:space="preserve">התחברתי לנושא כי אני בעצמי בת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נמצאת בקריירה, שבו אני עדיין צריכה לדעת אם אני בכיוון הנכון.</w:t>
      </w:r>
    </w:p>
    <w:p>
      <w:pPr>
        <w:bidi/>
        <w:spacing w:after="120" w:line="360"/>
        <w:jc w:val="both"/>
      </w:pPr>
      <w:r>
        <w:rPr>
          <w:rFonts w:ascii="David" w:cs="David" w:eastAsia="David" w:hAnsi="David"/>
          <w:noProof/>
          <w:sz w:val="24"/>
          <w:szCs w:val="24"/>
          <w:rtl/>
          <w:lang w:val="en-US" w:bidi="he-IL"/>
        </w:rPr>
        <w:t xml:space="preserve">תיאוריית ההוגנות של אדמס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Adams, 1963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noProof/>
          <w:sz w:val="24"/>
          <w:szCs w:val="24"/>
          <w:rtl/>
          <w:lang w:val="en-US" w:bidi="he-IL"/>
        </w:rPr>
        <w:t xml:space="preserve">מה שמעניין הוא שבמחקר של פאן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noProof/>
          <w:sz w:val="24"/>
          <w:szCs w:val="24"/>
          <w:rtl/>
          <w:lang w:val="en-US" w:bidi="he-I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noProof/>
          <w:sz w:val="24"/>
          <w:szCs w:val="24"/>
          <w:rtl/>
          <w:lang w:val="en-US" w:bidi="he-I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noProof/>
          <w:sz w:val="24"/>
          <w:szCs w:val="24"/>
          <w:rtl/>
          <w:lang w:val="en-US" w:bidi="he-IL"/>
        </w:rPr>
        <w:t xml:space="preserve">מה שאני לוקחת ליישום הוא ההבחנה של מקללנד בין שלושת הצרכים. אני מנהלת שני עובדים צעירים, ועד עכשיו ניסיתי להניע את שניהם באותה דרך. אחד מהם, כך אני מבינה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גרם לי גם להפסיק להתבייש בצורך ההשתייכות שלי כמנהלת. חשבתי שהוא חולשה, ומתברר שהוא יכול לאזן את הרצון להשפיע.</w:t>
      </w:r>
    </w:p>
    <w:p>
      <w:pPr>
        <w:bidi/>
        <w:spacing w:after="120" w:line="360"/>
        <w:jc w:val="both"/>
      </w:pPr>
      <w:r>
        <w:rPr>
          <w:rFonts w:ascii="David" w:cs="David" w:eastAsia="David" w:hAnsi="David"/>
          <w:noProof/>
          <w:sz w:val="24"/>
          <w:szCs w:val="24"/>
          <w:rtl/>
          <w:lang w:val="en-US" w:bidi="he-IL"/>
        </w:rPr>
        <w:t xml:space="preserve">גם העובדים שלי שייכים לדור שבא אחריי, ואני מוצאת את עצמי אומרת עליהם את אותם דברים שאמרו עליי. ברגעים כאלה אני מנסה לעצור ולשאול מה בדיוק ראיתי, ולא מה אני יודעת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noProof/>
          <w:sz w:val="24"/>
          <w:szCs w:val="24"/>
          <w:rtl/>
          <w:lang w:val="en-US" w:bidi="he-IL"/>
        </w:rPr>
        <w:t xml:space="preserve">נושא שני: התנהגות אזרחית ואישיות מקיאווליסטית</w:t>
      </w:r>
    </w:p>
    <w:p>
      <w:pPr>
        <w:bidi/>
        <w:spacing w:after="120" w:line="360"/>
        <w:jc w:val="both"/>
      </w:pPr>
      <w:r>
        <w:rPr>
          <w:rFonts w:ascii="David" w:cs="David" w:eastAsia="David" w:hAnsi="David"/>
          <w:noProof/>
          <w:sz w:val="24"/>
          <w:szCs w:val="24"/>
          <w:rtl/>
          <w:lang w:val="en-US" w:bidi="he-I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noProof/>
          <w:sz w:val="24"/>
          <w:szCs w:val="24"/>
          <w:rtl/>
          <w:lang w:val="en-US" w:bidi="he-IL"/>
        </w:rPr>
        <w:t xml:space="preserve">יחד עם זה, הנושא לימד אותי משהו גם על עצמי. חלק מהעזרה שאני נותנת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noProof/>
          <w:sz w:val="24"/>
          <w:szCs w:val="24"/>
          <w:rtl/>
          <w:lang w:val="en-US" w:bidi="he-IL"/>
        </w:rPr>
        <w:t xml:space="preserve">המחקר של אופלטקה (2007) על מורים הוסיף לי זווית חשובה. התנהגות אזרחית אינה רק תכונה של העובד, אלא תלויה גם בארגון ובמנהל. כשאני חושבת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אם אני רוצה יותר תרומה מעבר לנדרש, אני צריכה להתחיל ממה שאני נותנת.</w:t>
      </w:r>
    </w:p>
    <w:p>
      <w:pPr>
        <w:bidi/>
        <w:spacing w:after="120" w:line="360"/>
        <w:jc w:val="both"/>
      </w:pPr>
      <w:r>
        <w:rPr>
          <w:rFonts w:ascii="David" w:cs="David" w:eastAsia="David" w:hAnsi="David"/>
          <w:noProof/>
          <w:sz w:val="24"/>
          <w:szCs w:val="24"/>
          <w:rtl/>
          <w:lang w:val="en-US" w:bidi="he-I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מתכוונת לשים לב לאופן שבו אני עצמי מתגמלת עזרה: אם אני מחמיאה רק על מה שנעשה מולי, אני מלמדת את הצוות לעזור רק מולי.</w:t>
      </w:r>
    </w:p>
    <w:p>
      <w:pPr>
        <w:bidi/>
        <w:spacing w:after="120" w:line="360"/>
        <w:jc w:val="both"/>
      </w:pPr>
      <w:r>
        <w:rPr>
          <w:rFonts w:ascii="David" w:cs="David" w:eastAsia="David" w:hAnsi="David"/>
          <w:noProof/>
          <w:sz w:val="24"/>
          <w:szCs w:val="24"/>
          <w:rtl/>
          <w:lang w:val="en-US" w:bidi="he-IL"/>
        </w:rPr>
        <w:t xml:space="preserve">הדבר הקשה יותר הוא לזהות מקיאווליזם בלי להפוך לחשדנית. לא כל מי שעוזר מול המנהל עושה זאת מחישוב, ולא ארצה צוות שבו כל מחווה נבדקת. לכן אני מעדיפה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noProof/>
          <w:sz w:val="24"/>
          <w:szCs w:val="24"/>
          <w:rtl/>
          <w:lang w:val="en-US" w:bidi="he-IL"/>
        </w:rPr>
        <w:t xml:space="preserve">תובנות על הדיסציפלינה</w:t>
      </w:r>
    </w:p>
    <w:p>
      <w:pPr>
        <w:bidi/>
        <w:spacing w:after="120" w:line="360"/>
        <w:jc w:val="both"/>
      </w:pPr>
      <w:r>
        <w:rPr>
          <w:rFonts w:ascii="David" w:cs="David" w:eastAsia="David" w:hAnsi="David"/>
          <w:noProof/>
          <w:sz w:val="24"/>
          <w:szCs w:val="24"/>
          <w:rtl/>
          <w:lang w:val="en-US" w:bidi="he-I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keepNext/>
        <w:pageBreakBefore/>
        <w:bidi/>
        <w:spacing w:after="80" w:before="200" w:line="360"/>
        <w:jc w:val="center"/>
      </w:pPr>
      <w:r>
        <w:rPr>
          <w:rFonts w:ascii="David" w:cs="David" w:eastAsia="David" w:hAnsi="David"/>
          <w:b/>
          <w:bCs/>
          <w:noProof/>
          <w:sz w:val="32"/>
          <w:szCs w:val="32"/>
          <w:rtl/>
          <w:lang w:val="en-US" w:bidi="he-IL"/>
        </w:rPr>
        <w:t xml:space="preserve">רשימת מקורות</w:t>
      </w:r>
    </w:p>
    <w:p>
      <w:pPr>
        <w:bidi/>
        <w:spacing w:after="120" w:line="360"/>
        <w:ind w:left="0" w:right="709" w:hanging="709"/>
        <w:jc w:val="right"/>
      </w:pPr>
      <w:r>
        <w:rPr>
          <w:rFonts w:ascii="David" w:cs="David" w:eastAsia="David" w:hAnsi="David"/>
          <w:i w:val="false"/>
          <w:noProof/>
          <w:sz w:val="24"/>
          <w:szCs w:val="24"/>
          <w:rtl/>
          <w:lang w:val="en-US" w:bidi="he-IL"/>
        </w:rPr>
        <w:t xml:space="preserve">אופלטקה, י' (2007). התנהגות אזרחית-ארגונית בקרב מורים בישראל: התופעה, רכיביה ומקורותיה. </w:t>
      </w:r>
      <w:r>
        <w:rPr>
          <w:rFonts w:ascii="David" w:cs="David" w:eastAsia="David" w:hAnsi="David"/>
          <w:i/>
          <w:iCs/>
          <w:noProof/>
          <w:sz w:val="24"/>
          <w:szCs w:val="24"/>
          <w:rtl/>
          <w:lang w:val="en-US" w:bidi="he-IL"/>
        </w:rPr>
        <w:t xml:space="preserve">דפים, 44</w:t>
      </w:r>
      <w:r>
        <w:rPr>
          <w:rFonts w:ascii="David" w:cs="David" w:eastAsia="David" w:hAnsi="David"/>
          <w:i w:val="false"/>
          <w:noProof/>
          <w:sz w:val="24"/>
          <w:szCs w:val="24"/>
          <w:rtl/>
          <w:lang w:val="en-US" w:bidi="he-IL"/>
        </w:rPr>
        <w:t xml:space="preserve">, 35-64.</w:t>
      </w:r>
    </w:p>
    <w:p>
      <w:pPr>
        <w:bidi/>
        <w:spacing w:after="120" w:line="360"/>
        <w:ind w:left="0" w:right="709" w:hanging="709"/>
        <w:jc w:val="right"/>
      </w:pPr>
      <w:r>
        <w:rPr>
          <w:rFonts w:ascii="David" w:cs="David" w:eastAsia="David" w:hAnsi="David"/>
          <w:i w:val="false"/>
          <w:noProof/>
          <w:sz w:val="24"/>
          <w:szCs w:val="24"/>
          <w:rtl/>
          <w:lang w:val="en-US" w:bidi="he-I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noProof/>
          <w:sz w:val="24"/>
          <w:szCs w:val="24"/>
          <w:rtl/>
          <w:lang w:val="en-US" w:bidi="he-IL"/>
        </w:rPr>
        <w:t xml:space="preserve">הרבעון לחקר ארגונים וניהול משאבי אנוש, 6</w:t>
      </w:r>
      <w:r>
        <w:rPr>
          <w:rFonts w:ascii="David" w:cs="David" w:eastAsia="David" w:hAnsi="David"/>
          <w:i w:val="false"/>
          <w:noProof/>
          <w:sz w:val="24"/>
          <w:szCs w:val="24"/>
          <w:rtl/>
          <w:lang w:val="en-US" w:bidi="he-IL"/>
        </w:rPr>
        <w:t xml:space="preserve">(1). https://cohrm.haifa.ac.il/wp-content/uploads/2021/02/Milons-Shapiro.pdf</w:t>
      </w:r>
    </w:p>
    <w:p>
      <w:pPr>
        <w:bidi/>
        <w:spacing w:after="120" w:line="360"/>
        <w:ind w:left="0" w:right="709" w:hanging="709"/>
        <w:jc w:val="right"/>
      </w:pPr>
      <w:r>
        <w:rPr>
          <w:rFonts w:ascii="David" w:cs="David" w:eastAsia="David" w:hAnsi="David"/>
          <w:i w:val="false"/>
          <w:noProof/>
          <w:sz w:val="24"/>
          <w:szCs w:val="24"/>
          <w:rtl/>
          <w:lang w:val="en-US" w:bidi="he-IL"/>
        </w:rPr>
        <w:t xml:space="preserve">מש, ר' וכהן, ת' (2021). תרבות ארגונית בישראל, קונפליקטים בארגון ומה שביניהם. </w:t>
      </w:r>
      <w:r>
        <w:rPr>
          <w:rFonts w:ascii="David" w:cs="David" w:eastAsia="David" w:hAnsi="David"/>
          <w:i/>
          <w:iCs/>
          <w:noProof/>
          <w:sz w:val="24"/>
          <w:szCs w:val="24"/>
          <w:rtl/>
          <w:lang w:val="en-US" w:bidi="he-IL"/>
        </w:rPr>
        <w:t xml:space="preserve">הרבעון לחקר ארגונים וניהול משאבי אנוש, 6</w:t>
      </w:r>
      <w:r>
        <w:rPr>
          <w:rFonts w:ascii="David" w:cs="David" w:eastAsia="David" w:hAnsi="David"/>
          <w:i w:val="false"/>
          <w:noProof/>
          <w:sz w:val="24"/>
          <w:szCs w:val="24"/>
          <w:rtl/>
          <w:lang w:val="en-US" w:bidi="he-IL"/>
        </w:rPr>
        <w:t xml:space="preserve">(2), 1-16. https://cohrm.haifa.ac.il/wp-content/uploads/2021/08/Mash-Cohen.pdf</w:t>
      </w:r>
    </w:p>
    <w:p>
      <w:pPr>
        <w:bidi/>
        <w:spacing w:after="120" w:line="360"/>
        <w:ind w:left="0" w:right="709" w:hanging="709"/>
        <w:jc w:val="right"/>
      </w:pPr>
      <w:r>
        <w:rPr>
          <w:rFonts w:ascii="David" w:cs="David" w:eastAsia="David" w:hAnsi="David"/>
          <w:i w:val="false"/>
          <w:noProof/>
          <w:sz w:val="24"/>
          <w:szCs w:val="24"/>
          <w:rtl/>
          <w:lang w:val="en-US" w:bidi="he-IL"/>
        </w:rPr>
        <w:t xml:space="preserve">קמיר, א' (2018). התעמרות בעבודה: בין פסיכולוגיה למשפט, בין חקיקה לפסיקה. </w:t>
      </w:r>
      <w:r>
        <w:rPr>
          <w:rFonts w:ascii="David" w:cs="David" w:eastAsia="David" w:hAnsi="David"/>
          <w:i/>
          <w:iCs/>
          <w:noProof/>
          <w:sz w:val="24"/>
          <w:szCs w:val="24"/>
          <w:rtl/>
          <w:lang w:val="en-US" w:bidi="he-IL"/>
        </w:rPr>
        <w:t xml:space="preserve">משפט ועסקים, כא</w:t>
      </w:r>
      <w:r>
        <w:rPr>
          <w:rFonts w:ascii="David" w:cs="David" w:eastAsia="David" w:hAnsi="David"/>
          <w:i w:val="false"/>
          <w:noProof/>
          <w:sz w:val="24"/>
          <w:szCs w:val="24"/>
          <w:rtl/>
          <w:lang w:val="en-US" w:bidi="he-IL"/>
        </w:rPr>
        <w:t xml:space="preserve">, 307-364.</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Cai, H., Wang, L., &amp; Jin, X. (2024). Leader's Machiavellianism and employees' counterproductive work behavior: Testing a moderated mediation model. </w:t>
      </w:r>
      <w:r>
        <w:rPr>
          <w:rFonts w:ascii="David" w:cs="David" w:eastAsia="David" w:hAnsi="David"/>
          <w:i/>
          <w:iCs/>
          <w:noProof/>
          <w:sz w:val="24"/>
          <w:szCs w:val="24"/>
          <w:rtl w:val="false"/>
          <w:lang w:val="en-US" w:bidi="he-IL"/>
        </w:rPr>
        <w:t xml:space="preserve">Frontiers in Psychology, 14</w:t>
      </w:r>
      <w:r>
        <w:rPr>
          <w:rFonts w:ascii="David" w:cs="David" w:eastAsia="David" w:hAnsi="David"/>
          <w:i w:val="false"/>
          <w:noProof/>
          <w:sz w:val="24"/>
          <w:szCs w:val="24"/>
          <w:rtl w:val="false"/>
          <w:lang w:val="en-US" w:bidi="he-IL"/>
        </w:rPr>
        <w:t xml:space="preserve">, Article 1283509. https://doi.org/10.3389/fpsyg.2023.1283509</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Chen, L., Qu, L., &amp; Hong, R. Y. (2022). Pathways linking the Big Five to psychological distress: Exploring the mediating roles of stress mindset and coping flexibility. </w:t>
      </w:r>
      <w:r>
        <w:rPr>
          <w:rFonts w:ascii="David" w:cs="David" w:eastAsia="David" w:hAnsi="David"/>
          <w:i/>
          <w:iCs/>
          <w:noProof/>
          <w:sz w:val="24"/>
          <w:szCs w:val="24"/>
          <w:rtl w:val="false"/>
          <w:lang w:val="en-US" w:bidi="he-IL"/>
        </w:rPr>
        <w:t xml:space="preserve">Journal of Clinical Medicine, 11</w:t>
      </w:r>
      <w:r>
        <w:rPr>
          <w:rFonts w:ascii="David" w:cs="David" w:eastAsia="David" w:hAnsi="David"/>
          <w:i w:val="false"/>
          <w:noProof/>
          <w:sz w:val="24"/>
          <w:szCs w:val="24"/>
          <w:rtl w:val="false"/>
          <w:lang w:val="en-US" w:bidi="he-IL"/>
        </w:rPr>
        <w:t xml:space="preserve">(9), Article 2272. https://doi.org/10.3390/jcm11092272</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Feijó, F. R., Gräf, D. D., Pearce, N., &amp; Fassa, A. G. (2019). Risk factors for workplace bullying: A systematic review. </w:t>
      </w:r>
      <w:r>
        <w:rPr>
          <w:rFonts w:ascii="David" w:cs="David" w:eastAsia="David" w:hAnsi="David"/>
          <w:i/>
          <w:iCs/>
          <w:noProof/>
          <w:sz w:val="24"/>
          <w:szCs w:val="24"/>
          <w:rtl w:val="false"/>
          <w:lang w:val="en-US" w:bidi="he-IL"/>
        </w:rPr>
        <w:t xml:space="preserve">International Journal of Environmental Research and Public Health, 16</w:t>
      </w:r>
      <w:r>
        <w:rPr>
          <w:rFonts w:ascii="David" w:cs="David" w:eastAsia="David" w:hAnsi="David"/>
          <w:i w:val="false"/>
          <w:noProof/>
          <w:sz w:val="24"/>
          <w:szCs w:val="24"/>
          <w:rtl w:val="false"/>
          <w:lang w:val="en-US" w:bidi="he-IL"/>
        </w:rPr>
        <w:t xml:space="preserve">(11), Article 1945. https://doi.org/10.3390/ijerph16111945</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noProof/>
          <w:sz w:val="24"/>
          <w:szCs w:val="24"/>
          <w:rtl w:val="false"/>
          <w:lang w:val="en-US" w:bidi="he-IL"/>
        </w:rPr>
        <w:t xml:space="preserve">Implementation Science, 2</w:t>
      </w:r>
      <w:r>
        <w:rPr>
          <w:rFonts w:ascii="David" w:cs="David" w:eastAsia="David" w:hAnsi="David"/>
          <w:i w:val="false"/>
          <w:noProof/>
          <w:sz w:val="24"/>
          <w:szCs w:val="24"/>
          <w:rtl w:val="false"/>
          <w:lang w:val="en-US" w:bidi="he-IL"/>
        </w:rPr>
        <w:t xml:space="preserve">, Article 13. https://doi.org/10.1186/1748-5908-2-13</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Pan, X., Chen, M., Hao, Z., &amp; Bi, W. (2018). The effects of organizational justice on positive organizational behavior: Evidence from a large-sample survey and a situational experiment. </w:t>
      </w:r>
      <w:r>
        <w:rPr>
          <w:rFonts w:ascii="David" w:cs="David" w:eastAsia="David" w:hAnsi="David"/>
          <w:i/>
          <w:iCs/>
          <w:noProof/>
          <w:sz w:val="24"/>
          <w:szCs w:val="24"/>
          <w:rtl w:val="false"/>
          <w:lang w:val="en-US" w:bidi="he-IL"/>
        </w:rPr>
        <w:t xml:space="preserve">Frontiers in Psychology, 8</w:t>
      </w:r>
      <w:r>
        <w:rPr>
          <w:rFonts w:ascii="David" w:cs="David" w:eastAsia="David" w:hAnsi="David"/>
          <w:i w:val="false"/>
          <w:noProof/>
          <w:sz w:val="24"/>
          <w:szCs w:val="24"/>
          <w:rtl w:val="false"/>
          <w:lang w:val="en-US" w:bidi="he-IL"/>
        </w:rPr>
        <w:t xml:space="preserve">, Article 2315. https://doi.org/10.3389/fpsyg.2017.02315</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Schröder, M. (2024). Work motivation is not generational but depends on age and period. </w:t>
      </w:r>
      <w:r>
        <w:rPr>
          <w:rFonts w:ascii="David" w:cs="David" w:eastAsia="David" w:hAnsi="David"/>
          <w:i/>
          <w:iCs/>
          <w:noProof/>
          <w:sz w:val="24"/>
          <w:szCs w:val="24"/>
          <w:rtl w:val="false"/>
          <w:lang w:val="en-US" w:bidi="he-IL"/>
        </w:rPr>
        <w:t xml:space="preserve">Journal of Business and Psychology, 39</w:t>
      </w:r>
      <w:r>
        <w:rPr>
          <w:rFonts w:ascii="David" w:cs="David" w:eastAsia="David" w:hAnsi="David"/>
          <w:i w:val="false"/>
          <w:noProof/>
          <w:sz w:val="24"/>
          <w:szCs w:val="24"/>
          <w:rtl w:val="false"/>
          <w:lang w:val="en-US" w:bidi="he-IL"/>
        </w:rPr>
        <w:t xml:space="preserve">(4), 897-908. https://doi.org/10.1007/s10869-023-09921-8</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Steinmann, B., Ötting, S. K., &amp; Maier, G. W. (2016). Need for affiliation as a motivational add-on for leadership behaviors and managerial success. </w:t>
      </w:r>
      <w:r>
        <w:rPr>
          <w:rFonts w:ascii="David" w:cs="David" w:eastAsia="David" w:hAnsi="David"/>
          <w:i/>
          <w:iCs/>
          <w:noProof/>
          <w:sz w:val="24"/>
          <w:szCs w:val="24"/>
          <w:rtl w:val="false"/>
          <w:lang w:val="en-US" w:bidi="he-IL"/>
        </w:rPr>
        <w:t xml:space="preserve">Frontiers in Psychology, 7</w:t>
      </w:r>
      <w:r>
        <w:rPr>
          <w:rFonts w:ascii="David" w:cs="David" w:eastAsia="David" w:hAnsi="David"/>
          <w:i w:val="false"/>
          <w:noProof/>
          <w:sz w:val="24"/>
          <w:szCs w:val="24"/>
          <w:rtl w:val="false"/>
          <w:lang w:val="en-US" w:bidi="he-IL"/>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0"/>
        <w:szCs w:val="20"/>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bidi="he-I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2026-10-07T14:05:11.776Z</dcterms:created>
  <dcterms:modified xsi:type="dcterms:W3CDTF">2026-10-07T14:05:11.776Z</dcterms:modified>
</cp:coreProperties>
</file>

<file path=docProps/custom.xml><?xml version="1.0" encoding="utf-8"?>
<Properties xmlns="http://schemas.openxmlformats.org/officeDocument/2006/custom-properties" xmlns:vt="http://schemas.openxmlformats.org/officeDocument/2006/docPropsVTypes"/>
</file>