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360" w:lineRule="auto" w:after="0"/>
        <w:jc w:val="center"/>
      </w:pPr>
      <w:r>
        <w:rPr>
          <w:rFonts w:ascii="David" w:hAnsi="David" w:cs="David"/>
          <w:b w:val="0"/>
          <w:i w:val="0"/>
          <w:sz w:val="24"/>
          <w:szCs w:val="24"/>
          <w:rtl w:val="1"/>
        </w:rPr>
      </w:r>
    </w:p>
    <w:p>
      <w:pPr>
        <w:bidi w:val="1"/>
        <w:spacing w:line="360" w:lineRule="auto" w:after="0"/>
        <w:jc w:val="center"/>
      </w:pPr>
      <w:r>
        <w:rPr>
          <w:rFonts w:ascii="David" w:hAnsi="David" w:cs="David"/>
          <w:b w:val="0"/>
          <w:i w:val="0"/>
          <w:sz w:val="24"/>
          <w:szCs w:val="24"/>
          <w:rtl w:val="1"/>
        </w:rPr>
      </w:r>
    </w:p>
    <w:p>
      <w:pPr>
        <w:bidi w:val="1"/>
        <w:spacing w:line="360" w:lineRule="auto" w:after="0"/>
        <w:jc w:val="center"/>
      </w:pPr>
      <w:r>
        <w:rPr>
          <w:rFonts w:ascii="David" w:hAnsi="David" w:cs="David"/>
          <w:b w:val="0"/>
          <w:i w:val="0"/>
          <w:sz w:val="24"/>
          <w:szCs w:val="24"/>
          <w:rtl w:val="1"/>
        </w:rPr>
      </w:r>
    </w:p>
    <w:p>
      <w:pPr>
        <w:bidi w:val="1"/>
        <w:spacing w:line="360" w:lineRule="auto" w:after="120"/>
        <w:jc w:val="center"/>
      </w:pPr>
      <w:r>
        <w:rPr>
          <w:rFonts w:ascii="David" w:hAnsi="David" w:cs="David"/>
          <w:b/>
          <w:i w:val="0"/>
          <w:sz w:val="28"/>
          <w:szCs w:val="28"/>
          <w:rtl w:val="1"/>
        </w:rPr>
        <w:t>הקריה האקדמית אונו</w:t>
      </w:r>
    </w:p>
    <w:p>
      <w:pPr>
        <w:bidi w:val="1"/>
        <w:spacing w:line="360" w:lineRule="auto" w:after="120"/>
        <w:jc w:val="center"/>
      </w:pPr>
      <w:r>
        <w:rPr>
          <w:rFonts w:ascii="David" w:hAnsi="David" w:cs="David"/>
          <w:b/>
          <w:i w:val="0"/>
          <w:sz w:val="36"/>
          <w:szCs w:val="36"/>
          <w:rtl w:val="1"/>
        </w:rPr>
        <w:t>מוגבלות וסיכון: לקויות למידה ואוטיזם</w:t>
      </w:r>
    </w:p>
    <w:p>
      <w:pPr>
        <w:bidi w:val="1"/>
        <w:spacing w:line="360" w:lineRule="auto" w:after="480"/>
        <w:jc w:val="center"/>
      </w:pPr>
      <w:r>
        <w:rPr>
          <w:rFonts w:ascii="David" w:hAnsi="David" w:cs="David"/>
          <w:b w:val="0"/>
          <w:i w:val="0"/>
          <w:sz w:val="26"/>
          <w:szCs w:val="26"/>
          <w:rtl w:val="1"/>
        </w:rPr>
        <w:t>מרצה: קרן דרור</w:t>
      </w:r>
    </w:p>
    <w:p>
      <w:pPr>
        <w:bidi w:val="1"/>
        <w:spacing w:line="360" w:lineRule="auto" w:after="960"/>
        <w:jc w:val="center"/>
      </w:pPr>
      <w:r>
        <w:rPr>
          <w:rFonts w:ascii="David" w:hAnsi="David" w:cs="David"/>
          <w:b/>
          <w:i w:val="0"/>
          <w:sz w:val="32"/>
          <w:szCs w:val="32"/>
          <w:rtl w:val="1"/>
        </w:rPr>
        <w:t>יומן מסע: מטלת סיכום</w:t>
      </w:r>
    </w:p>
    <w:p>
      <w:pPr>
        <w:bidi w:val="1"/>
        <w:spacing w:line="360" w:lineRule="auto" w:after="120"/>
        <w:jc w:val="center"/>
      </w:pPr>
      <w:r>
        <w:rPr>
          <w:rFonts w:ascii="David" w:hAnsi="David" w:cs="David"/>
          <w:b w:val="0"/>
          <w:i w:val="0"/>
          <w:sz w:val="26"/>
          <w:szCs w:val="26"/>
          <w:rtl w:val="1"/>
        </w:rPr>
        <w:t>מגישה: מרים אלאעסם</w:t>
      </w:r>
    </w:p>
    <w:p>
      <w:pPr>
        <w:bidi w:val="1"/>
        <w:spacing w:line="360" w:lineRule="auto" w:after="120"/>
        <w:jc w:val="center"/>
      </w:pPr>
      <w:r>
        <w:rPr>
          <w:rFonts w:ascii="David" w:hAnsi="David" w:cs="David"/>
          <w:b w:val="0"/>
          <w:i w:val="0"/>
          <w:sz w:val="26"/>
          <w:szCs w:val="26"/>
          <w:rtl w:val="1"/>
        </w:rPr>
        <w:t>ת.ז: 211455274</w:t>
      </w:r>
    </w:p>
    <w:p>
      <w:pPr>
        <w:bidi w:val="1"/>
        <w:spacing w:line="360" w:lineRule="auto" w:after="120"/>
        <w:jc w:val="center"/>
      </w:pPr>
      <w:r>
        <w:rPr>
          <w:rFonts w:ascii="David" w:hAnsi="David" w:cs="David"/>
          <w:b w:val="0"/>
          <w:i w:val="0"/>
          <w:sz w:val="26"/>
          <w:szCs w:val="26"/>
          <w:rtl w:val="1"/>
        </w:rPr>
        <w:t>תאריך: יולי 2026</w:t>
      </w:r>
    </w:p>
    <w:p>
      <w:r>
        <w:br w:type="page"/>
      </w:r>
    </w:p>
    <w:p>
      <w:pPr>
        <w:bidi w:val="1"/>
        <w:spacing w:line="360" w:lineRule="auto" w:after="200"/>
        <w:jc w:val="right"/>
      </w:pPr>
      <w:r>
        <w:rPr>
          <w:rFonts w:ascii="David" w:hAnsi="David" w:cs="David"/>
          <w:b/>
          <w:i w:val="0"/>
          <w:sz w:val="28"/>
          <w:szCs w:val="28"/>
          <w:rtl w:val="1"/>
        </w:rPr>
        <w:t>חלק א: מה לקחתי מהקורס</w:t>
      </w:r>
    </w:p>
    <w:p>
      <w:pPr>
        <w:bidi w:val="1"/>
        <w:spacing w:line="360" w:lineRule="auto" w:after="160"/>
        <w:jc w:val="both"/>
      </w:pPr>
      <w:r>
        <w:rPr>
          <w:rFonts w:ascii="David" w:hAnsi="David" w:cs="David"/>
          <w:b w:val="0"/>
          <w:i w:val="0"/>
          <w:sz w:val="24"/>
          <w:szCs w:val="24"/>
          <w:rtl w:val="1"/>
        </w:rPr>
        <w:t>נכנסתי לקורס עם תמונה די ברורה בראש, שילד או בוגר עם מוגבלות נמצא בסכנה, ושהתפקיד שלי כמי שנמצאת סביבו הוא בעיקר לשמור עליו. ככל שהתקדמנו הבנתי כמה התמונה הזאת חלקית. הנתון שקרן הציגה כבר בשיעור הראשון, ש-20 אחוז מנפגעי ההתעללות בישראל הם ילדים עם מוגבלות ושיעור הפגיעה בהם גבוה פי שניים, טלטל אותי. אבל מה שהכה בי באמת היה המשפט שהרבה מהפגיעות מתרחשות דווקא בתוך המסגרות שאמורות להגן, ושבגלל המוגבלות עצם הדיווח והחקירה נעשים קשים. ישבתי מול השקף הזה והבנתי שכל מה שחשבתי שאני יודעת על הגנה דורש בדיקה מחדש.</w:t>
      </w:r>
    </w:p>
    <w:p>
      <w:pPr>
        <w:bidi w:val="1"/>
        <w:spacing w:line="360" w:lineRule="auto" w:after="160"/>
        <w:jc w:val="both"/>
      </w:pPr>
      <w:r>
        <w:rPr>
          <w:rFonts w:ascii="David" w:hAnsi="David" w:cs="David"/>
          <w:b w:val="0"/>
          <w:i w:val="0"/>
          <w:sz w:val="24"/>
          <w:szCs w:val="24"/>
          <w:rtl w:val="1"/>
        </w:rPr>
        <w:t>הדבר השני שהקורס חידש לי הוא הדגש על מוגבלויות בלתי נראות, על לקויות למידה ועל אוטיזם. עד היום נטיתי לזהות סיכון רק כשהוא בולט לעין, ולמדתי שדווקא הקושי שלא רואים אותו מבחוץ הוא לעיתים המסוכן ביותר, כי הוא לא מזמין את ההגנה שהוא צריך. קרן חזרה והדגישה שהקורס מבקש להבין את התהליכים שמובילים אדם למצב סיכון, ולא רק להצביע על הקושי שלו. זה שינה לי את השאלה, מ"מה לא בסדר אצל הילד" ל"מה קרה בדרך שהביא אותו לכאן". הדרישה להביא דוגמה משלנו לכל מפגש הכריחה אותי לבדוק את התבנית הזאת שוב ושוב על מקרים אמיתיים.</w:t>
      </w:r>
    </w:p>
    <w:p>
      <w:pPr>
        <w:bidi w:val="1"/>
        <w:spacing w:line="360" w:lineRule="auto" w:after="160"/>
        <w:jc w:val="both"/>
      </w:pPr>
      <w:r>
        <w:rPr>
          <w:rFonts w:ascii="David" w:hAnsi="David" w:cs="David"/>
          <w:b w:val="0"/>
          <w:i w:val="0"/>
          <w:sz w:val="24"/>
          <w:szCs w:val="24"/>
          <w:rtl w:val="1"/>
        </w:rPr>
        <w:t>כשהכנו עם הדיר את המצגת על בחור עם אוטיזם, "זה הילד שלי", ועסקנו בפרשת מעון בני ציון ובדוח ועדת דותן, ההבנה הזאת הפכה למוחשית עד כאב. מקום שהיה אמור לתת בית הפך לזירה של התעללות ממושכת, ואיש לא עצר אותה במשך שנים, בין השאר משום שלדיירים לא היו המילים או הכוח להשמיע את קולם. פתאום ראיתי שהסיכון לא נולד בתוך הבחור עם האוטיזם. הוא נוצר במפגש בינו לבין סביבה שלא ראתה אותו, ובתלות המוחלטת שלו באנשים שהיו אמורים לשמור עליו ופגעו בו. העבודה על המצגת לא הייתה בשבילי עוד מטלה, היא הפכה את הנתונים היבשים לפרצוף של אדם.</w:t>
      </w:r>
    </w:p>
    <w:p>
      <w:pPr>
        <w:bidi w:val="1"/>
        <w:spacing w:line="360" w:lineRule="auto" w:after="160"/>
        <w:jc w:val="both"/>
      </w:pPr>
      <w:r>
        <w:rPr>
          <w:rFonts w:ascii="David" w:hAnsi="David" w:cs="David"/>
          <w:b w:val="0"/>
          <w:i w:val="0"/>
          <w:sz w:val="24"/>
          <w:szCs w:val="24"/>
          <w:rtl w:val="1"/>
        </w:rPr>
        <w:t>הדבר שחידש לי יותר מכול הוא המתח בין הרצון להגן לבין הזכות של אדם לנהל את חייו בעצמו. עד הקורס לא חשבתי על מחיר של הגנה. היום ברור לי שכל פעם שמישהו מחליט במקום אדם עם מוגבלות בשם הביטחון, הוא גם לוקח ממנו נתח מהיכולת להיות בעל הבית על חייו. הפרשה שלמדנו הראתה לי גם את הצד השני של המטבע, שדווקא הגנת יתר בתוך מסגרת סגורה, בלי עיניים מבחוץ ובלי קול לדיירים, היא זו שאפשרה את הפגיעה. במקום להרגיע אותי, ההבנה הזאת השאירה אותי עם אי נוחות שאני חושבת שדווקא טובה לי.</w:t>
      </w:r>
    </w:p>
    <w:p>
      <w:pPr>
        <w:bidi w:val="1"/>
        <w:spacing w:line="360" w:lineRule="auto" w:after="160"/>
        <w:jc w:val="both"/>
      </w:pPr>
      <w:r>
        <w:rPr>
          <w:rFonts w:ascii="David" w:hAnsi="David" w:cs="David"/>
          <w:b w:val="0"/>
          <w:i w:val="0"/>
          <w:sz w:val="24"/>
          <w:szCs w:val="24"/>
          <w:rtl w:val="1"/>
        </w:rPr>
        <w:t>היה לי גם רגע לא נעים של הסתכלות פנימה. נזכרתי בפעמים שבהן מיהרתי להחליט במקום מישהו כי ככה היה לי יותר בטוח ויותר קל, ואמרתי לעצמי שאני עושה את זה למענו. הקורס אילץ אותי להודות שלפעמים ההגנה שאני נותנת היא בעצם נוחות שלי, לא צורך שלו. זה לא נעים לכתוב את זה, אבל זו אולי התובנה הכי חשובה שאני לוקחת.</w:t>
      </w:r>
    </w:p>
    <w:p>
      <w:pPr>
        <w:bidi w:val="1"/>
        <w:spacing w:line="360" w:lineRule="auto" w:after="160"/>
        <w:jc w:val="both"/>
      </w:pPr>
      <w:r>
        <w:rPr>
          <w:rFonts w:ascii="David" w:hAnsi="David" w:cs="David"/>
          <w:b w:val="0"/>
          <w:i w:val="0"/>
          <w:sz w:val="24"/>
          <w:szCs w:val="24"/>
          <w:rtl w:val="1"/>
        </w:rPr>
        <w:t>המקום שבו הקורס פגש אותי הכי לעומק הוא ההבנה שהעבודה שלי היא לא לעמוד מול הסיכון במקום האדם אלא לצדו. במקום לשאול איך אני שומרת עליו, התחלתי לשאול איך אני עוזרת לו לשמור על עצמו, ואיך אני מכניסה עיניים, קול ובחירה למקומות שבהם הכי קל להם להיעלם. אני יוצאת מהקורס עם פחות ביטחון בתשובות הקלות, ועם הרבה יותר רצון להקשיב למי שרגילים להחליט בשבילו.</w:t>
      </w:r>
    </w:p>
    <w:p>
      <w:r>
        <w:br w:type="page"/>
      </w:r>
    </w:p>
    <w:p>
      <w:pPr>
        <w:bidi w:val="1"/>
        <w:spacing w:line="360" w:lineRule="auto" w:after="200"/>
        <w:jc w:val="right"/>
      </w:pPr>
      <w:r>
        <w:rPr>
          <w:rFonts w:ascii="David" w:hAnsi="David" w:cs="David"/>
          <w:b/>
          <w:i w:val="0"/>
          <w:sz w:val="28"/>
          <w:szCs w:val="28"/>
          <w:rtl w:val="1"/>
        </w:rPr>
        <w:t>חלק ב: העמקה בנושא מרכזי מהקורס</w:t>
      </w:r>
    </w:p>
    <w:p>
      <w:pPr>
        <w:bidi w:val="1"/>
        <w:spacing w:line="360" w:lineRule="auto" w:after="200"/>
        <w:jc w:val="right"/>
      </w:pPr>
      <w:r>
        <w:rPr>
          <w:rFonts w:ascii="David" w:hAnsi="David" w:cs="David"/>
          <w:b/>
          <w:i w:val="0"/>
          <w:sz w:val="26"/>
          <w:szCs w:val="26"/>
          <w:rtl w:val="1"/>
        </w:rPr>
        <w:t>מוגנות מול אוטונומיה בחיי אנשים עם אוטיזם</w:t>
      </w:r>
    </w:p>
    <w:p>
      <w:pPr>
        <w:bidi w:val="1"/>
        <w:spacing w:line="360" w:lineRule="auto" w:after="160"/>
        <w:jc w:val="both"/>
      </w:pPr>
      <w:r>
        <w:rPr>
          <w:rFonts w:ascii="David" w:hAnsi="David" w:cs="David"/>
          <w:b w:val="0"/>
          <w:i w:val="0"/>
          <w:sz w:val="24"/>
          <w:szCs w:val="24"/>
          <w:rtl w:val="1"/>
        </w:rPr>
        <w:t>הנושא שבחרתי להעמיק בו צמח ישירות מהעבודה שלנו על מעון בני ציון, המתח בין החובה להגן על אדם עם אוטיזם לבין הזכות שלו להחליט על חייו. המתח הזה איננו רק שאלה מוסרית מופשטת, הוא עומד בבסיס המעבר שהאמנה הבינלאומית בדבר זכויותיהם של אנשים עם מוגבלות חוללה, ממודל שראה באדם עם מוגבלות מושא לטיפול ולהגנה אל מודל שרואה בו נושא זכויות ובעל כשירות משפטית שווה. במילים אחרות, השאלה כבר איננה רק כמה להגן, אלא איך להגן בלי לשלול מהאדם את מעמדו כמי שמחליט על חייו.</w:t>
      </w:r>
    </w:p>
    <w:p>
      <w:pPr>
        <w:bidi w:val="1"/>
        <w:spacing w:line="360" w:lineRule="auto" w:after="160"/>
        <w:jc w:val="both"/>
      </w:pPr>
      <w:r>
        <w:rPr>
          <w:rFonts w:ascii="David" w:hAnsi="David" w:cs="David"/>
          <w:b w:val="0"/>
          <w:i w:val="0"/>
          <w:sz w:val="24"/>
          <w:szCs w:val="24"/>
          <w:rtl w:val="1"/>
        </w:rPr>
        <w:t>הבחירה בנושא נשענת ישירות על מה שלמדנו בקורס. כבר בשיעור הראשון הציגה קרן את הקשר בין מוגבלות לסיכון, ואת הנתונים שלפיהם אנשים עם מוגבלות נמצאים בסיכון מוגבר להתעללות, שחלק ניכר מהפגיעות מתרחש דווקא בתוך מסגרות טיפוליות, ושהמוגבלות עצמה מקשה על הדיווח ועל החקירה. לצד אלה למדנו על מגוון הסיכונים שאליהם חשופים אנשים עם מוגבלות, מהתעללות מילולית ופיזית ועד הזנחה, פגיעה מינית וניצול. המסר שחזר לאורך כל הקורס היה שהסיכון אינו תכונה של האדם אלא נוצר במפגש בינו לבין סביבה שאינה מותאמת ובתלות שלו באחרים. דווקא ההבנה הזאת מחייבת לשאול לא רק כמה להגן, אלא איך להגן בלי לרוקן את האוטונומיה של האדם, וזו נקודת המוצא שממנה יצאתי אל המקורות.</w:t>
      </w:r>
    </w:p>
    <w:p>
      <w:pPr>
        <w:bidi w:val="1"/>
        <w:spacing w:line="360" w:lineRule="auto" w:after="160"/>
        <w:jc w:val="both"/>
      </w:pPr>
      <w:r>
        <w:rPr>
          <w:rFonts w:ascii="David" w:hAnsi="David" w:cs="David"/>
          <w:b w:val="0"/>
          <w:i w:val="0"/>
          <w:sz w:val="24"/>
          <w:szCs w:val="24"/>
          <w:rtl w:val="1"/>
        </w:rPr>
        <w:t>נקודת המוצא היא שהחשיפה לסיכון איננה מקרית. סקירה שיטתית ומטא-אנליזה רחבה מצאו שמבוגרים עם מוגבלות נמצאים בסיכון גבוה משמעותית לחוות אלימות בהשוואה למבוגרים ללא מוגבלות, ושאנשים עם מוגבלות נפשית עלולים להיות פגיעים במיוחד (Hughes et al., 2012). הממצא הזה חשוב במיוחד למי שנמצא על הרצף, משום שהקושי לתקשר את הפגיעה, לזהות אותה כפגיעה או להתלונן עליה הוא בדיוק מה שהופך את האדם למטרה קלה. כאן ההגנה איננה מותרות, היא הכרח.</w:t>
      </w:r>
    </w:p>
    <w:p>
      <w:pPr>
        <w:bidi w:val="1"/>
        <w:spacing w:line="360" w:lineRule="auto" w:after="160"/>
        <w:jc w:val="both"/>
      </w:pPr>
      <w:r>
        <w:rPr>
          <w:rFonts w:ascii="David" w:hAnsi="David" w:cs="David"/>
          <w:b w:val="0"/>
          <w:i w:val="0"/>
          <w:sz w:val="24"/>
          <w:szCs w:val="24"/>
          <w:rtl w:val="1"/>
        </w:rPr>
        <w:t>הפיתוי המובן הוא להסיק שאם הסיכון כה גבוה, יש להגן יותר, ולעיתים גם להחליט במקום האדם. דווקא כאן למדתי לעצור. ההיגיון שאומר "הוא לא מסוגל להחליט, לכן נחליט בשבילו" הוא אותו היגיון שאפשר את מה שקרה בבני ציון, שם ההנחה שהדיירים חסרי יכולת הצדיקה שליטה מוחלטת בחייהם. ההגנה והשליטה נראו כאותו דבר, וזו הייתה הטעות.</w:t>
      </w:r>
    </w:p>
    <w:p>
      <w:pPr>
        <w:bidi w:val="1"/>
        <w:spacing w:line="360" w:lineRule="auto" w:after="160"/>
        <w:jc w:val="both"/>
      </w:pPr>
      <w:r>
        <w:rPr>
          <w:rFonts w:ascii="David" w:hAnsi="David" w:cs="David"/>
          <w:b w:val="0"/>
          <w:i w:val="0"/>
          <w:sz w:val="24"/>
          <w:szCs w:val="24"/>
          <w:rtl w:val="1"/>
        </w:rPr>
        <w:t>הממצא שהפך לי את המבט הגיע ממחקר איכותני שהקשיב ישירות למבוגרים אוטיסטים עם מוגבלות שכלית. עבורם אוטונומיה פירושה "להיות מי שאני", ובחירה ושליטה על החיים אינן מנוגדות לתחושת ביטחון אלא תנאי לה. המשתתפים תיארו סביבה בטוחה ככזו שמאפשרת להם לתקשר בדרך שלהם ולהחזיק שליטה על מה שקורה להם, ולא ככזו ששומרת עליהם באמצעות צמצום הבחירות שלהם (Ryan et al., 2024). זו הייתה עבורי הוכחה ששני הצדדים של המתח לא באמת עומדים זה מול זה, ושדווקא מי שחווים את המוגבלות מבפנים מבקשים הגנה שלא באה על חשבון הקול שלהם.</w:t>
      </w:r>
    </w:p>
    <w:p>
      <w:pPr>
        <w:bidi w:val="1"/>
        <w:spacing w:line="360" w:lineRule="auto" w:after="160"/>
        <w:jc w:val="both"/>
      </w:pPr>
      <w:r>
        <w:rPr>
          <w:rFonts w:ascii="David" w:hAnsi="David" w:cs="David"/>
          <w:b w:val="0"/>
          <w:i w:val="0"/>
          <w:sz w:val="24"/>
          <w:szCs w:val="24"/>
          <w:rtl w:val="1"/>
        </w:rPr>
        <w:t>ההקשבה הזאת דורשת שנלמד לפרש גם את מה שאנשים על הרצף אומרים בלי מילים. מחקר עדכני שעסק בהתנהגויות מאתגרות בקרב ילדים עם אוטיזם הראה שהתנהגות היא לא פעם "קול", דרך תקשורת שמאותתת על מצוקה או על כאב שאין לו ביטוי מילולי, ולכן היא מזמינה פענוח וחיפוש אחר הסיבה ולא השתקה. בבני ציון ההתנהגות של הדיירים נתפסה כבעיה שיש לדכא במקום כמסר שיש להקשיב לו, וזה בדיוק ההיפך מהגנה. לראות בהתנהגות קול הוא תנאי לזיהוי מוקדם של פגיעה ולשמירה על כבודו של האדם (רודריגז ברנע, 2025).</w:t>
      </w:r>
    </w:p>
    <w:p>
      <w:pPr>
        <w:bidi w:val="1"/>
        <w:spacing w:line="360" w:lineRule="auto" w:after="160"/>
        <w:jc w:val="both"/>
      </w:pPr>
      <w:r>
        <w:rPr>
          <w:rFonts w:ascii="David" w:hAnsi="David" w:cs="David"/>
          <w:b w:val="0"/>
          <w:i w:val="0"/>
          <w:sz w:val="24"/>
          <w:szCs w:val="24"/>
          <w:rtl w:val="1"/>
        </w:rPr>
        <w:t>ההשלכה המעשית מתבררת בעבודה של אנשי המקצוע בשטח. מחקר ישראלי שבחן תפיסות ושיקולים של עובדות סוציאליות בתהליכי מינוי אפוטרופסות מול קבלת החלטות נתמכת מצא שלמרות תיקון 18 לחוק הכשרות המשפטית משנת 2016, שנועד לצמצם את השימוש באפוטרופסות ולקדם חלופות כמו קבלת החלטות נתמכת, נותר פער בין חזון הרפורמה לבין הפרקטיקה בשטח. הבחירה בין אפוטרופסות לתמיכה רחוקה מלהיות טכנית, והיא נשענת על תפיסות של אנשי המקצוע לגבי אבחון האדם, רמת התפקוד שלו ורצונו, ועל מטרות של מניעת סיכון וקידום איכות חיים. הכותבות ממליצות על שינוי בהכשרה ובמדיניות שיאפשר מעבר ממודל האפוטרופסות אל מודל של תמיכה, שבו האדם נשאר בעל ההחלטה ומקבל סביבו מעגל שעוזר לו להבין, לשקול ולבחור (הולר וורנר, 2025). הגישה הזאת שוברת את הקישור האוטומטי בין קושי בקבלת החלטות לבין שלילת הזכות להחליט, קישור שעמד בבסיס המודל הישן.</w:t>
      </w:r>
    </w:p>
    <w:p>
      <w:pPr>
        <w:bidi w:val="1"/>
        <w:spacing w:line="360" w:lineRule="auto" w:after="160"/>
        <w:jc w:val="both"/>
      </w:pPr>
      <w:r>
        <w:rPr>
          <w:rFonts w:ascii="David" w:hAnsi="David" w:cs="David"/>
          <w:b w:val="0"/>
          <w:i w:val="0"/>
          <w:sz w:val="24"/>
          <w:szCs w:val="24"/>
          <w:rtl w:val="1"/>
        </w:rPr>
        <w:t>כשמצרפים את שלושת המקורות מתקבלת עמדה שאני לוקחת איתי. הגנה איננה מנוגדת לאוטונומיה, היא אמורה לשרת אותה. מוגנות ראויה מצמצמת סיכון בלי לצמצם את האדם, ואילו מוגנות שמשתיקה את מי שהיא אמורה לשמור עליו הופכת בעצמה לסיכון, בדיוק כפי שקרה בבני ציון. הקושי הוא שאין קו ברור שמפריד בין השניים, וכל מקרה דורש שיקול דעת מחדש. הכרעה שמתאימה לאדם אחד עלולה להיות שגויה לחלוטין עבור אחר, וזה מה שהופך את העבודה הזאת לתובענית כל כך. מבחינתי המשמעות היא לבנות יחד עם האדם עם האוטיזם את הכלים, הניסיון והביטחון שיאפשרו לו להחליט, במקום להחליט בשבילו כברירת מחדל. זו הגנה שמכבדת את מי שהיא מיועדת לו.</w:t>
      </w:r>
    </w:p>
    <w:p>
      <w:r>
        <w:br w:type="page"/>
      </w:r>
    </w:p>
    <w:p>
      <w:pPr>
        <w:bidi w:val="1"/>
        <w:spacing w:line="360" w:lineRule="auto" w:after="200"/>
        <w:jc w:val="right"/>
      </w:pPr>
      <w:r>
        <w:rPr>
          <w:rFonts w:ascii="David" w:hAnsi="David" w:cs="David"/>
          <w:b/>
          <w:i w:val="0"/>
          <w:sz w:val="28"/>
          <w:szCs w:val="28"/>
          <w:rtl w:val="1"/>
        </w:rPr>
        <w:t>רשימת מקורות</w:t>
      </w:r>
    </w:p>
    <w:p>
      <w:pPr>
        <w:bidi w:val="1"/>
        <w:spacing w:line="360" w:lineRule="auto" w:after="200"/>
        <w:ind w:left="720" w:hanging="720"/>
        <w:jc w:val="both"/>
      </w:pPr>
      <w:r>
        <w:rPr>
          <w:rFonts w:ascii="David" w:hAnsi="David" w:cs="David"/>
          <w:b w:val="0"/>
          <w:i w:val="0"/>
          <w:sz w:val="24"/>
          <w:szCs w:val="24"/>
          <w:rtl w:val="1"/>
        </w:rPr>
        <w:t xml:space="preserve">הולר, ר', וורנר, ש' (2025). תפיסות ושיקולים של עובדות סוציאליות בתהליכי מינוי של אפוטרופסות וקבלת החלטות נתמכת בקרב אנשים עם מוגבלויות: המלצות להכשרה ולמדיניות. </w:t>
      </w:r>
      <w:r>
        <w:rPr>
          <w:rFonts w:ascii="David" w:hAnsi="David" w:cs="David"/>
          <w:b w:val="0"/>
          <w:i/>
          <w:sz w:val="24"/>
          <w:szCs w:val="24"/>
          <w:rtl w:val="1"/>
        </w:rPr>
        <w:t>ביטחון סוציאלי, 124</w:t>
      </w:r>
      <w:r>
        <w:rPr>
          <w:rFonts w:ascii="David" w:hAnsi="David" w:cs="David"/>
          <w:b w:val="0"/>
          <w:i w:val="0"/>
          <w:sz w:val="24"/>
          <w:szCs w:val="24"/>
          <w:rtl w:val="1"/>
        </w:rPr>
        <w:t>, 75-104.</w:t>
      </w:r>
      <w:r>
        <w:rPr>
          <w:rFonts w:ascii="David" w:hAnsi="David" w:cs="David"/>
          <w:b w:val="0"/>
          <w:i w:val="0"/>
          <w:sz w:val="24"/>
          <w:szCs w:val="24"/>
          <w:rtl w:val="1"/>
        </w:rPr>
        <w:t xml:space="preserve"> </w:t>
      </w:r>
      <w:hyperlink r:id="rId9">
        <w:r>
          <w:rPr>
            <w:rFonts w:ascii="David" w:hAnsi="David" w:cs="David"/>
            <w:sz w:val="24"/>
            <w:szCs w:val="24"/>
            <w:color w:val="0563C1"/>
            <w:u w:val="single"/>
            <w:rtl w:val="1"/>
          </w:rPr>
          <w:t xml:space="preserve">https://www.btl.gov.il/Publications/Social_Security/124/Documents/holer30.pdf</w:t>
        </w:r>
      </w:hyperlink>
    </w:p>
    <w:p>
      <w:pPr>
        <w:bidi w:val="1"/>
        <w:spacing w:line="360" w:lineRule="auto" w:after="200"/>
        <w:ind w:left="720" w:hanging="720"/>
        <w:jc w:val="both"/>
      </w:pPr>
      <w:r>
        <w:rPr>
          <w:rFonts w:ascii="David" w:hAnsi="David" w:cs="David"/>
          <w:b w:val="0"/>
          <w:i w:val="0"/>
          <w:sz w:val="24"/>
          <w:szCs w:val="24"/>
          <w:rtl w:val="1"/>
        </w:rPr>
        <w:t xml:space="preserve">רודריגז ברנע, ע' (2025). "התנהגות כקול": סקירת בעיות רפואיות נלוות המתבטאות בהתנהגויות מאתגרות בקרב ילדים עם אוטיזם וההתערבויות הטיפוליות. </w:t>
      </w:r>
      <w:r>
        <w:rPr>
          <w:rFonts w:ascii="David" w:hAnsi="David" w:cs="David"/>
          <w:b w:val="0"/>
          <w:i/>
          <w:sz w:val="24"/>
          <w:szCs w:val="24"/>
          <w:rtl w:val="1"/>
        </w:rPr>
        <w:t>מוגבלות וחברה: מחקר ופרקטיקה, 5</w:t>
      </w:r>
      <w:r>
        <w:rPr>
          <w:rFonts w:ascii="David" w:hAnsi="David" w:cs="David"/>
          <w:b w:val="0"/>
          <w:i w:val="0"/>
          <w:sz w:val="24"/>
          <w:szCs w:val="24"/>
          <w:rtl w:val="1"/>
        </w:rPr>
        <w:t>, 101-132.</w:t>
      </w:r>
      <w:r>
        <w:rPr>
          <w:rFonts w:ascii="David" w:hAnsi="David" w:cs="David"/>
          <w:b w:val="0"/>
          <w:i w:val="0"/>
          <w:sz w:val="24"/>
          <w:szCs w:val="24"/>
          <w:rtl w:val="1"/>
        </w:rPr>
        <w:t xml:space="preserve"> </w:t>
      </w:r>
      <w:hyperlink r:id="rId10">
        <w:r>
          <w:rPr>
            <w:rFonts w:ascii="David" w:hAnsi="David" w:cs="David"/>
            <w:sz w:val="24"/>
            <w:szCs w:val="24"/>
            <w:color w:val="0563C1"/>
            <w:u w:val="single"/>
            <w:rtl w:val="1"/>
          </w:rPr>
          <w:t xml:space="preserve">https://kb.beitissie.org.il/digital/%D7%9E%D7%95%D7%92%D7%91%D7%9C%D7%95%D7%AA-%D7%95%D7%97%D7%91%D7%A8%D7%94_%D7%9E%D7%94%D7%93%D7%95%D7%A8%D7%94-%D7%93%D7%99%D7%92%D7%99%D7%98%D7%9C%D7%99%D7%AA_%D7%92%D7%99%D7%9C%D7%99%D7%95%D7%9F-5/</w:t>
        </w:r>
      </w:hyperlink>
    </w:p>
    <w:p>
      <w:pPr>
        <w:bidi w:val="1"/>
        <w:spacing w:line="360" w:lineRule="auto" w:after="200"/>
        <w:ind w:left="720" w:hanging="720"/>
        <w:jc w:val="both"/>
      </w:pPr>
      <w:r>
        <w:rPr>
          <w:rFonts w:ascii="David" w:hAnsi="David" w:cs="David"/>
          <w:b w:val="0"/>
          <w:i w:val="0"/>
          <w:sz w:val="24"/>
          <w:szCs w:val="24"/>
          <w:rtl w:val="1"/>
        </w:rPr>
        <w:t xml:space="preserve">Hughes, K., Bellis, M. A., Jones, L., Wood, S., Bates, G., Eckley, L., … Officer, A. (2012). Prevalence and risk of violence against adults with disabilities: A systematic review and meta-analysis of observational studies. </w:t>
      </w:r>
      <w:r>
        <w:rPr>
          <w:rFonts w:ascii="David" w:hAnsi="David" w:cs="David"/>
          <w:b w:val="0"/>
          <w:i/>
          <w:sz w:val="24"/>
          <w:szCs w:val="24"/>
          <w:rtl w:val="1"/>
        </w:rPr>
        <w:t>The Lancet, 379</w:t>
      </w:r>
      <w:r>
        <w:rPr>
          <w:rFonts w:ascii="David" w:hAnsi="David" w:cs="David"/>
          <w:b w:val="0"/>
          <w:i w:val="0"/>
          <w:sz w:val="24"/>
          <w:szCs w:val="24"/>
          <w:rtl w:val="1"/>
        </w:rPr>
        <w:t>(9826), 1621-1629.</w:t>
      </w:r>
      <w:r>
        <w:rPr>
          <w:rFonts w:ascii="David" w:hAnsi="David" w:cs="David"/>
          <w:b w:val="0"/>
          <w:i w:val="0"/>
          <w:sz w:val="24"/>
          <w:szCs w:val="24"/>
          <w:rtl w:val="1"/>
        </w:rPr>
        <w:t xml:space="preserve"> </w:t>
      </w:r>
      <w:hyperlink r:id="rId11">
        <w:r>
          <w:rPr>
            <w:rFonts w:ascii="David" w:hAnsi="David" w:cs="David"/>
            <w:sz w:val="24"/>
            <w:szCs w:val="24"/>
            <w:color w:val="0563C1"/>
            <w:u w:val="single"/>
            <w:rtl w:val="1"/>
          </w:rPr>
          <w:t xml:space="preserve">https://doi.org/10.1016/S0140-6736(11)61851-5</w:t>
        </w:r>
      </w:hyperlink>
    </w:p>
    <w:p>
      <w:pPr>
        <w:bidi w:val="1"/>
        <w:spacing w:line="360" w:lineRule="auto" w:after="200"/>
        <w:ind w:left="720" w:hanging="720"/>
        <w:jc w:val="both"/>
      </w:pPr>
      <w:r>
        <w:rPr>
          <w:rFonts w:ascii="David" w:hAnsi="David" w:cs="David"/>
          <w:b w:val="0"/>
          <w:i w:val="0"/>
          <w:sz w:val="24"/>
          <w:szCs w:val="24"/>
          <w:rtl w:val="1"/>
        </w:rPr>
        <w:t xml:space="preserve">Ryan, J., Brown, H. M., Borden, A., Devlin, C., Kedmy, A., Lee, A., … Thompson-Hodgetts, S. (2024). Being able to be myself: Understanding autonomy and autonomy-support from the perspectives of autistic adults with intellectual disabilities. </w:t>
      </w:r>
      <w:r>
        <w:rPr>
          <w:rFonts w:ascii="David" w:hAnsi="David" w:cs="David"/>
          <w:b w:val="0"/>
          <w:i/>
          <w:sz w:val="24"/>
          <w:szCs w:val="24"/>
          <w:rtl w:val="1"/>
        </w:rPr>
        <w:t>Autism, 28</w:t>
      </w:r>
      <w:r>
        <w:rPr>
          <w:rFonts w:ascii="David" w:hAnsi="David" w:cs="David"/>
          <w:b w:val="0"/>
          <w:i w:val="0"/>
          <w:sz w:val="24"/>
          <w:szCs w:val="24"/>
          <w:rtl w:val="1"/>
        </w:rPr>
        <w:t>(12), 3138-3150.</w:t>
      </w:r>
      <w:r>
        <w:rPr>
          <w:rFonts w:ascii="David" w:hAnsi="David" w:cs="David"/>
          <w:b w:val="0"/>
          <w:i w:val="0"/>
          <w:sz w:val="24"/>
          <w:szCs w:val="24"/>
          <w:rtl w:val="1"/>
        </w:rPr>
        <w:t xml:space="preserve"> </w:t>
      </w:r>
      <w:hyperlink r:id="rId12">
        <w:r>
          <w:rPr>
            <w:rFonts w:ascii="David" w:hAnsi="David" w:cs="David"/>
            <w:sz w:val="24"/>
            <w:szCs w:val="24"/>
            <w:color w:val="0563C1"/>
            <w:u w:val="single"/>
            <w:rtl w:val="1"/>
          </w:rPr>
          <w:t xml:space="preserve">https://doi.org/10.1177/13623613241254432</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tl.gov.il/Publications/Social_Security/124/Documents/holer30.pdf" TargetMode="External"/><Relationship Id="rId10" Type="http://schemas.openxmlformats.org/officeDocument/2006/relationships/hyperlink" Target="https://kb.beitissie.org.il/digital/%D7%9E%D7%95%D7%92%D7%91%D7%9C%D7%95%D7%AA-%D7%95%D7%97%D7%91%D7%A8%D7%94_%D7%9E%D7%94%D7%93%D7%95%D7%A8%D7%94-%D7%93%D7%99%D7%92%D7%99%D7%98%D7%9C%D7%99%D7%AA_%D7%92%D7%99%D7%9C%D7%99%D7%95%D7%9F-5/" TargetMode="External"/><Relationship Id="rId11" Type="http://schemas.openxmlformats.org/officeDocument/2006/relationships/hyperlink" Target="https://doi.org/10.1016/S0140-6736(11)61851-5" TargetMode="External"/><Relationship Id="rId12" Type="http://schemas.openxmlformats.org/officeDocument/2006/relationships/hyperlink" Target="https://doi.org/10.1177/136236132412544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