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both"/>
      </w:pPr>
    </w:p>
    <w:p>
      <w:pPr>
        <w:spacing w:after="240"/>
        <w:jc w:val="center"/>
      </w:pPr>
      <w:r>
        <w:drawing>
          <wp:inline xmlns:a="http://schemas.openxmlformats.org/drawingml/2006/main" xmlns:pic="http://schemas.openxmlformats.org/drawingml/2006/picture">
            <wp:extent cx="2377440" cy="1166909"/>
            <wp:docPr id="1" name="Picture 1"/>
            <wp:cNvGraphicFramePr>
              <a:graphicFrameLocks noChangeAspect="1"/>
            </wp:cNvGraphicFramePr>
            <a:graphic>
              <a:graphicData uri="http://schemas.openxmlformats.org/drawingml/2006/picture">
                <pic:pic>
                  <pic:nvPicPr>
                    <pic:cNvPr id="0" name="40093ad3-IMG_5776.png"/>
                    <pic:cNvPicPr/>
                  </pic:nvPicPr>
                  <pic:blipFill>
                    <a:blip r:embed="rId9"/>
                    <a:stretch>
                      <a:fillRect/>
                    </a:stretch>
                  </pic:blipFill>
                  <pic:spPr>
                    <a:xfrm>
                      <a:off x="0" y="0"/>
                      <a:ext cx="2377440" cy="1166909"/>
                    </a:xfrm>
                    <a:prstGeom prst="rect"/>
                  </pic:spPr>
                </pic:pic>
              </a:graphicData>
            </a:graphic>
          </wp:inline>
        </w:drawing>
      </w:r>
    </w:p>
    <w:p>
      <w:pPr>
        <w:bidi w:val="1"/>
        <w:spacing w:line="360" w:lineRule="auto" w:after="80"/>
        <w:jc w:val="center"/>
      </w:pPr>
      <w:r>
        <w:rPr>
          <w:rFonts w:ascii="David" w:hAnsi="David" w:cs="David"/>
          <w:b w:val="0"/>
          <w:i w:val="0"/>
          <w:sz w:val="26"/>
          <w:szCs w:val="26"/>
          <w:rtl w:val="1"/>
        </w:rPr>
        <w:t>הקריה האקדמית אונו | הפקולטה למנהל עסקים</w:t>
      </w:r>
    </w:p>
    <w:p>
      <w:pPr>
        <w:bidi w:val="1"/>
        <w:spacing w:line="360" w:lineRule="auto" w:after="120"/>
        <w:jc w:val="center"/>
      </w:pPr>
      <w:r>
        <w:rPr>
          <w:rFonts w:ascii="David" w:hAnsi="David" w:cs="David"/>
          <w:b/>
          <w:i w:val="0"/>
          <w:sz w:val="48"/>
          <w:szCs w:val="48"/>
          <w:rtl w:val="1"/>
        </w:rPr>
        <w:t>תוכנית דוברות והסברה</w:t>
      </w:r>
    </w:p>
    <w:p>
      <w:pPr>
        <w:bidi w:val="1"/>
        <w:spacing w:line="360" w:lineRule="auto" w:after="80"/>
        <w:jc w:val="center"/>
      </w:pPr>
      <w:r>
        <w:rPr>
          <w:rFonts w:ascii="David" w:hAnsi="David" w:cs="David"/>
          <w:b/>
          <w:i w:val="0"/>
          <w:sz w:val="28"/>
          <w:szCs w:val="28"/>
          <w:rtl w:val="1"/>
        </w:rPr>
        <w:t>עבודה מסכמת בקורס: הסברה ודוברות בארגונים ומחוץ להם</w:t>
      </w:r>
    </w:p>
    <w:p>
      <w:pPr>
        <w:bidi w:val="1"/>
        <w:spacing w:line="360" w:lineRule="auto" w:after="40"/>
        <w:jc w:val="center"/>
      </w:pPr>
      <w:r>
        <w:rPr>
          <w:rFonts w:ascii="David" w:hAnsi="David" w:cs="David"/>
          <w:b w:val="0"/>
          <w:i w:val="0"/>
          <w:sz w:val="26"/>
          <w:szCs w:val="26"/>
          <w:rtl w:val="1"/>
        </w:rPr>
        <w:t>מרצה: נורית דאבוש</w:t>
      </w:r>
    </w:p>
    <w:p>
      <w:pPr>
        <w:bidi w:val="1"/>
        <w:spacing w:line="360" w:lineRule="auto" w:after="480"/>
        <w:jc w:val="center"/>
      </w:pPr>
      <w:r>
        <w:rPr>
          <w:rFonts w:ascii="David" w:hAnsi="David" w:cs="David"/>
          <w:b w:val="0"/>
          <w:i w:val="0"/>
          <w:sz w:val="26"/>
          <w:szCs w:val="26"/>
          <w:rtl w:val="1"/>
        </w:rPr>
        <w:t>שנת הלימודים תשפ"ו</w:t>
      </w:r>
    </w:p>
    <w:p>
      <w:pPr>
        <w:bidi w:val="1"/>
        <w:spacing w:line="360" w:lineRule="auto" w:after="480"/>
        <w:jc w:val="center"/>
      </w:pPr>
      <w:r>
        <w:rPr>
          <w:rFonts w:ascii="David" w:hAnsi="David" w:cs="David"/>
          <w:b w:val="0"/>
          <w:i w:val="0"/>
          <w:sz w:val="26"/>
          <w:szCs w:val="26"/>
          <w:rtl w:val="1"/>
        </w:rPr>
        <w:t>הלקוח: עמותת "מרחב", עמותה לילדים ולנוער בסיכון</w:t>
      </w:r>
    </w:p>
    <w:p>
      <w:pPr>
        <w:bidi w:val="1"/>
        <w:spacing w:line="360" w:lineRule="auto" w:after="40"/>
        <w:jc w:val="center"/>
      </w:pPr>
      <w:r>
        <w:rPr>
          <w:rFonts w:ascii="David" w:hAnsi="David" w:cs="David"/>
          <w:b w:val="0"/>
          <w:i w:val="0"/>
          <w:sz w:val="26"/>
          <w:szCs w:val="26"/>
          <w:rtl w:val="1"/>
        </w:rPr>
        <w:t>מגישה: ___________________</w:t>
      </w:r>
    </w:p>
    <w:p>
      <w:pPr>
        <w:bidi w:val="1"/>
        <w:spacing w:line="360" w:lineRule="auto" w:after="40"/>
        <w:jc w:val="center"/>
      </w:pPr>
      <w:r>
        <w:rPr>
          <w:rFonts w:ascii="David" w:hAnsi="David" w:cs="David"/>
          <w:b w:val="0"/>
          <w:i w:val="0"/>
          <w:sz w:val="26"/>
          <w:szCs w:val="26"/>
          <w:rtl w:val="1"/>
        </w:rPr>
        <w:t>ת.ז: ___________________</w:t>
      </w:r>
    </w:p>
    <w:p>
      <w:pPr>
        <w:bidi w:val="1"/>
        <w:spacing w:line="360" w:lineRule="auto" w:after="40"/>
        <w:jc w:val="center"/>
      </w:pPr>
      <w:r>
        <w:rPr>
          <w:rFonts w:ascii="David" w:hAnsi="David" w:cs="David"/>
          <w:b w:val="0"/>
          <w:i w:val="0"/>
          <w:sz w:val="26"/>
          <w:szCs w:val="26"/>
          <w:rtl w:val="1"/>
        </w:rPr>
        <w:t>תאריך: ___________________</w:t>
      </w:r>
    </w:p>
    <w:p>
      <w:r>
        <w:br w:type="page"/>
      </w:r>
    </w:p>
    <w:p>
      <w:pPr>
        <w:bidi w:val="1"/>
        <w:spacing w:line="360" w:lineRule="auto" w:after="200"/>
        <w:jc w:val="right"/>
      </w:pPr>
      <w:r>
        <w:rPr>
          <w:rFonts w:ascii="David" w:hAnsi="David" w:cs="David"/>
          <w:b/>
          <w:i w:val="0"/>
          <w:sz w:val="30"/>
          <w:szCs w:val="30"/>
          <w:rtl w:val="1"/>
        </w:rPr>
        <w:t>מבוא: על הלקוח ועל התוכנית</w:t>
      </w:r>
    </w:p>
    <w:p>
      <w:pPr>
        <w:bidi w:val="1"/>
        <w:spacing w:line="360" w:lineRule="auto" w:after="160"/>
        <w:jc w:val="both"/>
      </w:pPr>
      <w:r>
        <w:rPr>
          <w:rFonts w:ascii="David" w:hAnsi="David" w:cs="David"/>
          <w:b w:val="0"/>
          <w:i w:val="0"/>
          <w:sz w:val="24"/>
          <w:szCs w:val="24"/>
          <w:rtl w:val="1"/>
        </w:rPr>
        <w:t>בחרתי לבנות תוכנית דוברות והסברה עבור עמותת "מרחב", עמותה שפועלת בנגב עם ילדים ובני נוער במצבי סיכון. העמותה מפעילה מרכזי יום, ליווי אישי ותוכניות מניעה לנשירה, לאלימות ולהתמכרויות, ומגיעה מדי שנה למאות בני נוער. בשטח היא חזקה, אבל בזירה הציבורית היא כמעט שקופה. מעט אנשים מכירים אותה, התקציב שלה תלוי בתרומות ונע בין שנה לשנה, והמונח "נוער בסיכון" עצמו נושא סטיגמה שמקשה על גיוס תמיכה. מכאן צמחה התוכנית הזאת, שבנויה על שלושה רבדים שנלמדו בקורס, הרובד האסטרטגי, הרובד הטקטי במסלול יחסי הציבור, וההיערכות לניהול משבר קטגורי.</w:t>
      </w:r>
    </w:p>
    <w:p>
      <w:r>
        <w:br w:type="page"/>
      </w:r>
    </w:p>
    <w:p>
      <w:pPr>
        <w:bidi w:val="1"/>
        <w:spacing w:line="360" w:lineRule="auto" w:after="200"/>
        <w:jc w:val="right"/>
      </w:pPr>
      <w:r>
        <w:rPr>
          <w:rFonts w:ascii="David" w:hAnsi="David" w:cs="David"/>
          <w:b/>
          <w:i w:val="0"/>
          <w:sz w:val="30"/>
          <w:szCs w:val="30"/>
          <w:rtl w:val="1"/>
        </w:rPr>
        <w:t>רובד א: המרכיב האסטרטגי</w:t>
      </w:r>
    </w:p>
    <w:p>
      <w:pPr>
        <w:bidi w:val="1"/>
        <w:spacing w:line="360" w:lineRule="auto" w:after="160"/>
        <w:jc w:val="both"/>
      </w:pPr>
      <w:r>
        <w:rPr>
          <w:rFonts w:ascii="David" w:hAnsi="David" w:cs="David"/>
          <w:b w:val="0"/>
          <w:i w:val="0"/>
          <w:sz w:val="24"/>
          <w:szCs w:val="24"/>
          <w:rtl w:val="1"/>
        </w:rPr>
        <w:t>הרובד הזה נבנה על פי עקרונות העולם החדש של הדוברות שנלמדו בקורס, שלפיהם כל מהלך תקשורתי מתחיל בהגדרה מדויקת של נקודת המוצא, המטרה, הקהל, העיתוי, השחקנים והמסרים, עוד לפני שנוגעים ביוזמות עצמן.</w:t>
      </w:r>
    </w:p>
    <w:p>
      <w:pPr>
        <w:bidi w:val="1"/>
        <w:spacing w:line="360" w:lineRule="auto" w:after="120"/>
        <w:jc w:val="right"/>
      </w:pPr>
      <w:r>
        <w:rPr>
          <w:rFonts w:ascii="David" w:hAnsi="David" w:cs="David"/>
          <w:b/>
          <w:i w:val="0"/>
          <w:sz w:val="26"/>
          <w:szCs w:val="26"/>
          <w:rtl w:val="1"/>
        </w:rPr>
        <w:t>נקודת המוצא: תשקיף, עמדות ועובדות</w:t>
      </w:r>
    </w:p>
    <w:p>
      <w:pPr>
        <w:bidi w:val="1"/>
        <w:spacing w:line="360" w:lineRule="auto" w:after="160"/>
        <w:jc w:val="both"/>
      </w:pPr>
      <w:r>
        <w:rPr>
          <w:rFonts w:ascii="David" w:hAnsi="David" w:cs="David"/>
          <w:b w:val="0"/>
          <w:i w:val="0"/>
          <w:sz w:val="24"/>
          <w:szCs w:val="24"/>
          <w:rtl w:val="1"/>
        </w:rPr>
        <w:t>העובדות ראשית. לעמותת מרחב יש עשור של עבודה, צוות מקצועי, ותוצאות מוכחות בשטח, ירידה בנשירה ובמעורבות בעבריינות בקרב מי שהשתתפו בתוכניות. לצד זה, המודעות הציבורית אליה נמוכה, הנוכחות הדיגיטלית שלה דלה, ומרבית התקציב מגיע ממספר קטן של תורמים, מה שהופך אותה לפגיעה. העמדות בשטח מפוצלות. יש אהדה לילדים, אבל יש גם חשד וסטיגמה כלפי "נוער בסיכון", שנתפס לא פעם כאיום ולא כמי שזקוק להזדמנות. זו נקודת המוצא שממנה אני יוצאת.</w:t>
      </w:r>
    </w:p>
    <w:p>
      <w:pPr>
        <w:bidi w:val="1"/>
        <w:spacing w:line="360" w:lineRule="auto" w:after="120"/>
        <w:jc w:val="right"/>
      </w:pPr>
      <w:r>
        <w:rPr>
          <w:rFonts w:ascii="David" w:hAnsi="David" w:cs="David"/>
          <w:b/>
          <w:i w:val="0"/>
          <w:sz w:val="26"/>
          <w:szCs w:val="26"/>
          <w:rtl w:val="1"/>
        </w:rPr>
        <w:t>ניתוח SWOT</w:t>
      </w:r>
    </w:p>
    <w:tbl>
      <w:tblPr>
        <w:tblStyle w:val="TableGrid"/>
        <w:bidiVisual/>
        <w:tblW w:type="auto" w:w="0"/>
        <w:jc w:val="right"/>
        <w:tblLook w:firstColumn="1" w:firstRow="1" w:lastColumn="0" w:lastRow="0" w:noHBand="0" w:noVBand="1" w:val="04A0"/>
      </w:tblPr>
      <w:tblGrid>
        <w:gridCol w:w="4680"/>
        <w:gridCol w:w="4680"/>
      </w:tblGrid>
      <w:tr>
        <w:tc>
          <w:tcPr>
            <w:tcW w:type="dxa" w:w="1872"/>
          </w:tcPr>
          <w:p>
            <w:pPr>
              <w:bidi w:val="1"/>
              <w:jc w:val="right"/>
            </w:pPr>
            <w:r/>
            <w:r>
              <w:rPr>
                <w:rFonts w:ascii="David" w:hAnsi="David" w:cs="David"/>
                <w:b/>
                <w:i w:val="0"/>
                <w:sz w:val="22"/>
                <w:szCs w:val="22"/>
                <w:rtl w:val="1"/>
              </w:rPr>
              <w:t>רכיב</w:t>
            </w:r>
          </w:p>
        </w:tc>
        <w:tc>
          <w:tcPr>
            <w:tcW w:type="dxa" w:w="6768"/>
          </w:tcPr>
          <w:p>
            <w:pPr>
              <w:bidi w:val="1"/>
              <w:jc w:val="right"/>
            </w:pPr>
            <w:r/>
            <w:r>
              <w:rPr>
                <w:rFonts w:ascii="David" w:hAnsi="David" w:cs="David"/>
                <w:b/>
                <w:i w:val="0"/>
                <w:sz w:val="22"/>
                <w:szCs w:val="22"/>
                <w:rtl w:val="1"/>
              </w:rPr>
              <w:t>תוכן</w:t>
            </w:r>
          </w:p>
        </w:tc>
      </w:tr>
      <w:tr>
        <w:tc>
          <w:tcPr>
            <w:tcW w:type="dxa" w:w="1872"/>
          </w:tcPr>
          <w:p>
            <w:pPr>
              <w:bidi w:val="1"/>
              <w:jc w:val="right"/>
            </w:pPr>
            <w:r/>
            <w:r>
              <w:rPr>
                <w:rFonts w:ascii="David" w:hAnsi="David" w:cs="David"/>
                <w:b w:val="0"/>
                <w:i w:val="0"/>
                <w:sz w:val="22"/>
                <w:szCs w:val="22"/>
                <w:rtl w:val="1"/>
              </w:rPr>
              <w:t>חוזקות</w:t>
            </w:r>
          </w:p>
        </w:tc>
        <w:tc>
          <w:tcPr>
            <w:tcW w:type="dxa" w:w="6768"/>
          </w:tcPr>
          <w:p>
            <w:pPr>
              <w:bidi w:val="1"/>
              <w:jc w:val="right"/>
            </w:pPr>
            <w:r/>
            <w:r>
              <w:rPr>
                <w:rFonts w:ascii="David" w:hAnsi="David" w:cs="David"/>
                <w:b w:val="0"/>
                <w:i w:val="0"/>
                <w:sz w:val="22"/>
                <w:szCs w:val="22"/>
                <w:rtl w:val="1"/>
              </w:rPr>
              <w:t>עשור של ניסיון, צוות מקצועי, תוצאות מוכחות בשטח, וסיפורי בוגרים אותנטיים ומרגשים.</w:t>
            </w:r>
          </w:p>
        </w:tc>
      </w:tr>
      <w:tr>
        <w:tc>
          <w:tcPr>
            <w:tcW w:type="dxa" w:w="1872"/>
          </w:tcPr>
          <w:p>
            <w:pPr>
              <w:bidi w:val="1"/>
              <w:jc w:val="right"/>
            </w:pPr>
            <w:r/>
            <w:r>
              <w:rPr>
                <w:rFonts w:ascii="David" w:hAnsi="David" w:cs="David"/>
                <w:b w:val="0"/>
                <w:i w:val="0"/>
                <w:sz w:val="22"/>
                <w:szCs w:val="22"/>
                <w:rtl w:val="1"/>
              </w:rPr>
              <w:t>חולשות</w:t>
            </w:r>
          </w:p>
        </w:tc>
        <w:tc>
          <w:tcPr>
            <w:tcW w:type="dxa" w:w="6768"/>
          </w:tcPr>
          <w:p>
            <w:pPr>
              <w:bidi w:val="1"/>
              <w:jc w:val="right"/>
            </w:pPr>
            <w:r/>
            <w:r>
              <w:rPr>
                <w:rFonts w:ascii="David" w:hAnsi="David" w:cs="David"/>
                <w:b w:val="0"/>
                <w:i w:val="0"/>
                <w:sz w:val="22"/>
                <w:szCs w:val="22"/>
                <w:rtl w:val="1"/>
              </w:rPr>
              <w:t>מודעות ציבורית נמוכה, נוכחות דיגיטלית דלה, ותלות בתקציב לא יציב שמגיע ממעט תורמים.</w:t>
            </w:r>
          </w:p>
        </w:tc>
      </w:tr>
      <w:tr>
        <w:tc>
          <w:tcPr>
            <w:tcW w:type="dxa" w:w="1872"/>
          </w:tcPr>
          <w:p>
            <w:pPr>
              <w:bidi w:val="1"/>
              <w:jc w:val="right"/>
            </w:pPr>
            <w:r/>
            <w:r>
              <w:rPr>
                <w:rFonts w:ascii="David" w:hAnsi="David" w:cs="David"/>
                <w:b w:val="0"/>
                <w:i w:val="0"/>
                <w:sz w:val="22"/>
                <w:szCs w:val="22"/>
                <w:rtl w:val="1"/>
              </w:rPr>
              <w:t>הזדמנויות</w:t>
            </w:r>
          </w:p>
        </w:tc>
        <w:tc>
          <w:tcPr>
            <w:tcW w:type="dxa" w:w="6768"/>
          </w:tcPr>
          <w:p>
            <w:pPr>
              <w:bidi w:val="1"/>
              <w:jc w:val="right"/>
            </w:pPr>
            <w:r/>
            <w:r>
              <w:rPr>
                <w:rFonts w:ascii="David" w:hAnsi="David" w:cs="David"/>
                <w:b w:val="0"/>
                <w:i w:val="0"/>
                <w:sz w:val="22"/>
                <w:szCs w:val="22"/>
                <w:rtl w:val="1"/>
              </w:rPr>
              <w:t>עניין תקשורתי בנוער בפתיחת השנה, מגמת אחריות תאגידית, ופוטנציאל לא ממומש ברשתות ובשותפויות.</w:t>
            </w:r>
          </w:p>
        </w:tc>
      </w:tr>
      <w:tr>
        <w:tc>
          <w:tcPr>
            <w:tcW w:type="dxa" w:w="1872"/>
          </w:tcPr>
          <w:p>
            <w:pPr>
              <w:bidi w:val="1"/>
              <w:jc w:val="right"/>
            </w:pPr>
            <w:r/>
            <w:r>
              <w:rPr>
                <w:rFonts w:ascii="David" w:hAnsi="David" w:cs="David"/>
                <w:b w:val="0"/>
                <w:i w:val="0"/>
                <w:sz w:val="22"/>
                <w:szCs w:val="22"/>
                <w:rtl w:val="1"/>
              </w:rPr>
              <w:t>איומים</w:t>
            </w:r>
          </w:p>
        </w:tc>
        <w:tc>
          <w:tcPr>
            <w:tcW w:type="dxa" w:w="6768"/>
          </w:tcPr>
          <w:p>
            <w:pPr>
              <w:bidi w:val="1"/>
              <w:jc w:val="right"/>
            </w:pPr>
            <w:r/>
            <w:r>
              <w:rPr>
                <w:rFonts w:ascii="David" w:hAnsi="David" w:cs="David"/>
                <w:b w:val="0"/>
                <w:i w:val="0"/>
                <w:sz w:val="22"/>
                <w:szCs w:val="22"/>
                <w:rtl w:val="1"/>
              </w:rPr>
              <w:t>סטיגמה כלפי נוער בסיכון, ביקורת ציבורית על התנהלות עמותות, ותחרות על תשומת לב ועל תרומות.</w:t>
            </w:r>
          </w:p>
        </w:tc>
      </w:tr>
    </w:tbl>
    <w:p>
      <w:pPr>
        <w:bidi w:val="1"/>
        <w:spacing w:line="360" w:lineRule="auto" w:after="80"/>
        <w:jc w:val="both"/>
      </w:pPr>
    </w:p>
    <w:p>
      <w:pPr>
        <w:bidi w:val="1"/>
        <w:spacing w:line="360" w:lineRule="auto" w:after="120"/>
        <w:jc w:val="right"/>
      </w:pPr>
      <w:r>
        <w:rPr>
          <w:rFonts w:ascii="David" w:hAnsi="David" w:cs="David"/>
          <w:b/>
          <w:i w:val="0"/>
          <w:sz w:val="26"/>
          <w:szCs w:val="26"/>
          <w:rtl w:val="1"/>
        </w:rPr>
        <w:t>המטרה התקשורתית</w:t>
      </w:r>
    </w:p>
    <w:p>
      <w:pPr>
        <w:bidi w:val="1"/>
        <w:spacing w:line="360" w:lineRule="auto" w:after="160"/>
        <w:jc w:val="both"/>
      </w:pPr>
      <w:r>
        <w:rPr>
          <w:rFonts w:ascii="David" w:hAnsi="David" w:cs="David"/>
          <w:b w:val="0"/>
          <w:i w:val="0"/>
          <w:sz w:val="24"/>
          <w:szCs w:val="24"/>
          <w:rtl w:val="1"/>
        </w:rPr>
        <w:t>המטרה שהצבתי איננה סתם "יותר חשיפה". היא יעד מוגדר וניתן למדידה. בתוך תקופת הקמפיין, מאוגוסט ועד סוף ספטמבר, אני רוצה לחזק את האמון והמוניטין של העמותה כדי להרחיב את מעגל התורמים, ובמקביל למסגר מחדש את המושג "נוער בסיכון", מאיום שמפחדים ממנו לנוער עם פוטנציאל שכדאי להשקיע בו. את ההתקדמות אמדוד בגידול במספר התורמים ובהיקף התרומות, בהיקף החשיפה התקשורתית ובמעורבות ברשתות, ובטון השיח הציבורי סביב הנושא. בלי שינוי התפיסה הזה, כל קמפיין גיוס ייתקל בקיר.</w:t>
      </w:r>
    </w:p>
    <w:p>
      <w:pPr>
        <w:bidi w:val="1"/>
        <w:spacing w:line="360" w:lineRule="auto" w:after="120"/>
        <w:jc w:val="right"/>
      </w:pPr>
      <w:r>
        <w:rPr>
          <w:rFonts w:ascii="David" w:hAnsi="David" w:cs="David"/>
          <w:b/>
          <w:i w:val="0"/>
          <w:sz w:val="26"/>
          <w:szCs w:val="26"/>
          <w:rtl w:val="1"/>
        </w:rPr>
        <w:t>קהל המטרה</w:t>
      </w:r>
    </w:p>
    <w:p>
      <w:pPr>
        <w:bidi w:val="1"/>
        <w:spacing w:line="360" w:lineRule="auto" w:after="160"/>
        <w:jc w:val="both"/>
      </w:pPr>
      <w:r>
        <w:rPr>
          <w:rFonts w:ascii="David" w:hAnsi="David" w:cs="David"/>
          <w:b w:val="0"/>
          <w:i w:val="0"/>
          <w:sz w:val="24"/>
          <w:szCs w:val="24"/>
          <w:rtl w:val="1"/>
        </w:rPr>
        <w:t>קהל היעד המרכזי הוא תורמים פוטנציאליים, פרטיים ועסקיים במסגרת אחריות תאגידית, יחד עם הציבור הרחב שמעצב את האקלים הציבורי. סביבם יש קהלים משניים חשובים לא פחות, מקבלי החלטות ברשויות המקומיות ובמשרד הרווחה, הורים בקהילה, ובני הנוער עצמם. כלי התקשורת הם קהל מתווך, לא מטרה בפני עצמה, אלא הדרך להגיע לכל השאר.</w:t>
      </w:r>
    </w:p>
    <w:p>
      <w:pPr>
        <w:bidi w:val="1"/>
        <w:spacing w:line="360" w:lineRule="auto" w:after="160"/>
        <w:jc w:val="both"/>
      </w:pPr>
      <w:r>
        <w:rPr>
          <w:rFonts w:ascii="David" w:hAnsi="David" w:cs="David"/>
          <w:b w:val="0"/>
          <w:i w:val="0"/>
          <w:sz w:val="24"/>
          <w:szCs w:val="24"/>
          <w:rtl w:val="1"/>
        </w:rPr>
        <w:t>כדי לדבר עם כל קהל בשפה שלו, פילחתי אותם לפי מה שמניע כל אחד. התורם הפרטי מגיב לסיפור האישי ולתחושה שהתרומה שלו משנה חיים ממש. התורם העסקי מחפש שותפות שמייצרת גם ערך מיתוגי ואחריות תאגידית. מקבל ההחלטות ברשות רוצה לראות נתונים ושיתוף פעולה מוסדי. וההורים והנוער עצמם צריכים קודם כול לחוש שהעמותה רואה אותם בכבוד, ולא כבעיה שצריך לפתור. לכל קהל מותאם דגש אחר מתוך אותם מסרי עוגן.</w:t>
      </w:r>
    </w:p>
    <w:p>
      <w:pPr>
        <w:bidi w:val="1"/>
        <w:spacing w:line="360" w:lineRule="auto" w:after="120"/>
        <w:jc w:val="right"/>
      </w:pPr>
      <w:r>
        <w:rPr>
          <w:rFonts w:ascii="David" w:hAnsi="David" w:cs="David"/>
          <w:b/>
          <w:i w:val="0"/>
          <w:sz w:val="26"/>
          <w:szCs w:val="26"/>
          <w:rtl w:val="1"/>
        </w:rPr>
        <w:t>העיתוי: היום הקובע</w:t>
      </w:r>
    </w:p>
    <w:p>
      <w:pPr>
        <w:bidi w:val="1"/>
        <w:spacing w:line="360" w:lineRule="auto" w:after="160"/>
        <w:jc w:val="both"/>
      </w:pPr>
      <w:r>
        <w:rPr>
          <w:rFonts w:ascii="David" w:hAnsi="David" w:cs="David"/>
          <w:b w:val="0"/>
          <w:i w:val="0"/>
          <w:sz w:val="24"/>
          <w:szCs w:val="24"/>
          <w:rtl w:val="1"/>
        </w:rPr>
        <w:t>בחרתי לקבע את התוכנית סביב פתיחת שנת הלימודים בספטמבר. זה היום הקובע. זו התקופה שבה נושא הנוער חוזר לכותרות, שבה הורים ומורים ערניים לנשירה, ושבה קל יותר לחבר בין הסיפור של מרחב לבין מה שמעסיק את הציבור. בניית התוכנית לאורך ציר הזמן הזה נותנת לה נקודת שיא טבעית ולא מלאכותית.</w:t>
      </w:r>
    </w:p>
    <w:p>
      <w:pPr>
        <w:bidi w:val="1"/>
        <w:spacing w:line="360" w:lineRule="auto" w:after="120"/>
        <w:jc w:val="right"/>
      </w:pPr>
      <w:r>
        <w:rPr>
          <w:rFonts w:ascii="David" w:hAnsi="David" w:cs="David"/>
          <w:b/>
          <w:i w:val="0"/>
          <w:sz w:val="26"/>
          <w:szCs w:val="26"/>
          <w:rtl w:val="1"/>
        </w:rPr>
        <w:t>מיפוי השחקנים המשפיעים</w:t>
      </w:r>
    </w:p>
    <w:p>
      <w:pPr>
        <w:bidi w:val="1"/>
        <w:spacing w:line="360" w:lineRule="auto" w:after="160"/>
        <w:jc w:val="both"/>
      </w:pPr>
      <w:r>
        <w:rPr>
          <w:rFonts w:ascii="David" w:hAnsi="David" w:cs="David"/>
          <w:b w:val="0"/>
          <w:i w:val="0"/>
          <w:sz w:val="24"/>
          <w:szCs w:val="24"/>
          <w:rtl w:val="1"/>
        </w:rPr>
        <w:t>מצאתי שלושה מעגלים. הראשון הוא בעלי הברית, משרד הרווחה והרשויות המקומיות, תורמים קיימים, בוגרי התוכנית שהם השגרירים האמינים ביותר, ומשפיענים וכלי תקשורת שאכפת להם מהנושא. השני הוא גורמי הסיכון, קולות ביקורתיים כלפי התנהלות עמותות בכלל, וסטיגמות חברתיות שמזינות התנגדות. השלישי הוא הציבור הרחב, שעדיין לא גיבש עמדה וזה בדיוק הקהל שאפשר להזיז. מיפוי כזה קובע במי משקיעים ומול מי נערכים.</w:t>
      </w:r>
    </w:p>
    <w:p>
      <w:pPr>
        <w:bidi w:val="1"/>
        <w:spacing w:line="360" w:lineRule="auto" w:after="120"/>
        <w:jc w:val="right"/>
      </w:pPr>
      <w:r>
        <w:rPr>
          <w:rFonts w:ascii="David" w:hAnsi="David" w:cs="David"/>
          <w:b/>
          <w:i w:val="0"/>
          <w:sz w:val="26"/>
          <w:szCs w:val="26"/>
          <w:rtl w:val="1"/>
        </w:rPr>
        <w:t>מסרי העוגן</w:t>
      </w:r>
    </w:p>
    <w:p>
      <w:pPr>
        <w:bidi w:val="1"/>
        <w:spacing w:line="360" w:lineRule="auto" w:after="160"/>
        <w:jc w:val="both"/>
      </w:pPr>
      <w:r>
        <w:rPr>
          <w:rFonts w:ascii="David" w:hAnsi="David" w:cs="David"/>
          <w:b w:val="0"/>
          <w:i w:val="0"/>
          <w:sz w:val="24"/>
          <w:szCs w:val="24"/>
          <w:rtl w:val="1"/>
        </w:rPr>
        <w:t>המסר הרציונלי אומר שהשקעה בנוער בסיכון משתלמת לכולם. כל שקל שמושקע במניעה חוסך הרבה יותר בהמשך, בטיפול, ברווחה ובמערכת המשפט, והנתונים של העמותה מראים ירידה ממשית בנשירה ובמעורבות בעבריינות. זה המסר שמדבר אל השכל של התורם ושל מקבל ההחלטות.</w:t>
      </w:r>
    </w:p>
    <w:p>
      <w:pPr>
        <w:bidi w:val="1"/>
        <w:spacing w:line="360" w:lineRule="auto" w:after="160"/>
        <w:jc w:val="both"/>
      </w:pPr>
      <w:r>
        <w:rPr>
          <w:rFonts w:ascii="David" w:hAnsi="David" w:cs="David"/>
          <w:b w:val="0"/>
          <w:i w:val="0"/>
          <w:sz w:val="24"/>
          <w:szCs w:val="24"/>
          <w:rtl w:val="1"/>
        </w:rPr>
        <w:t>המסר האמוציונלי הוא סיפור של אדם אחד. נער או נערה שהיו על סף נפילה, ומישהו האמין בהם. "מישהו האמין בי" הוא המשפט שמחזיק את כל הקמפיין, כי הוא מדבר על שייכות, על תקווה ועל הזדמנות שנייה, ולא על סטטיסטיקה. השילוב בין שני המסרים, הראש והלב, הוא הבסיס לכל המהלך האסטרטגי.</w:t>
      </w:r>
    </w:p>
    <w:p>
      <w:pPr>
        <w:bidi w:val="1"/>
        <w:spacing w:line="360" w:lineRule="auto" w:after="160"/>
        <w:jc w:val="both"/>
      </w:pPr>
      <w:r>
        <w:rPr>
          <w:rFonts w:ascii="David" w:hAnsi="David" w:cs="David"/>
          <w:b w:val="0"/>
          <w:i w:val="0"/>
          <w:sz w:val="24"/>
          <w:szCs w:val="24"/>
          <w:rtl w:val="1"/>
        </w:rPr>
        <w:t>הבחירה למקם את הקהל במרכז ולנהל איתו דיאלוג ולא רק להעביר אליו מסר נשענת גם על מה שנלמד. מחקר שבחן עמותות לילדים ונוער בסיכון מצא שהצלחתן ברשתות תלויה ביכולת לאזן בין הרצון להרחיב חשיפה לבין שמירה על ערכים, על אתיקה ועל הקשר האישי עם הקהל, וזה בדיוק המתח שהתוכנית שלי מנסה לנהל (אלוש גלם ואחרים, 2025).</w:t>
      </w:r>
    </w:p>
    <w:p>
      <w:r>
        <w:br w:type="page"/>
      </w:r>
    </w:p>
    <w:p>
      <w:pPr>
        <w:bidi w:val="1"/>
        <w:spacing w:line="360" w:lineRule="auto" w:after="200"/>
        <w:jc w:val="right"/>
      </w:pPr>
      <w:r>
        <w:rPr>
          <w:rFonts w:ascii="David" w:hAnsi="David" w:cs="David"/>
          <w:b/>
          <w:i w:val="0"/>
          <w:sz w:val="30"/>
          <w:szCs w:val="30"/>
          <w:rtl w:val="1"/>
        </w:rPr>
        <w:t>רובד ב: המערך הטקטי (מסלול יחסי הציבור)</w:t>
      </w:r>
    </w:p>
    <w:p>
      <w:pPr>
        <w:bidi w:val="1"/>
        <w:spacing w:line="360" w:lineRule="auto" w:after="160"/>
        <w:jc w:val="both"/>
      </w:pPr>
      <w:r>
        <w:rPr>
          <w:rFonts w:ascii="David" w:hAnsi="David" w:cs="David"/>
          <w:b w:val="0"/>
          <w:i w:val="0"/>
          <w:sz w:val="24"/>
          <w:szCs w:val="24"/>
          <w:rtl w:val="1"/>
        </w:rPr>
        <w:t>את האסטרטגיה תרגמתי לארבע יוזמות יחסי ציבור, שתיים במדיה הדיגיטלית ושתיים במדיה המסורתית. כל אחת מתוארת כאן בהרחבה, עם המטרה, הקהל, והדרך שבה היא מגישה את מסרי העוגן. החלוקה הזאת נשענת על מה שנלמד בקורס, גם על המעבר מתקשורת מסורתית לרשתות החברתיות והשפעתן על הדוברות, וגם על פרק יחסי הדוברות מול התקשורת, שעסק בעבודה עם עיתונאים, בכתיבת הודעות לעיתונות ובארגון מסיבות עיתונאים.</w:t>
      </w:r>
    </w:p>
    <w:p>
      <w:pPr>
        <w:bidi w:val="1"/>
        <w:spacing w:line="360" w:lineRule="auto" w:after="120"/>
        <w:jc w:val="right"/>
      </w:pPr>
      <w:r>
        <w:rPr>
          <w:rFonts w:ascii="David" w:hAnsi="David" w:cs="David"/>
          <w:b/>
          <w:i w:val="0"/>
          <w:sz w:val="26"/>
          <w:szCs w:val="26"/>
          <w:rtl w:val="1"/>
        </w:rPr>
        <w:t>מדיה דיגיטלית, יוזמה 1: קמפיין הסיפורים "מישהו האמין בי"</w:t>
      </w:r>
    </w:p>
    <w:p>
      <w:pPr>
        <w:bidi w:val="1"/>
        <w:spacing w:line="360" w:lineRule="auto" w:after="160"/>
        <w:jc w:val="both"/>
      </w:pPr>
      <w:r>
        <w:rPr>
          <w:rFonts w:ascii="David" w:hAnsi="David" w:cs="David"/>
          <w:b w:val="0"/>
          <w:i w:val="0"/>
          <w:sz w:val="24"/>
          <w:szCs w:val="24"/>
          <w:rtl w:val="1"/>
        </w:rPr>
        <w:t>הלב של הזירה הדיגיטלית הוא סדרת סרטונים קצרים, דקה כל אחד, של בוגרי העמותה. כל סרטון מספר סיפור אישי אחד, מהרגע הקשה ועד להווה, ונחתם באותו משפט, מישהו האמין בי. הסרטונים מופצים באינסטגרם, בטיקטוק ובפייסבוק לאורך חודש ספטמבר, עם האשטאג אחיד וקריאה ברורה לפעולה, לשתף ולתרום. אני משלבת גם משפיענים שהנושא קרוב לליבם, כדי להרחיב את ההגעה מעבר לעוקבים של העמותה. היוזמה הזאת מגישה את המסר האמוציונלי במלואו, ופונה לציבור הרחב ולתורמים הפרטיים.</w:t>
      </w:r>
    </w:p>
    <w:p>
      <w:pPr>
        <w:bidi w:val="1"/>
        <w:spacing w:line="360" w:lineRule="auto" w:after="160"/>
        <w:jc w:val="both"/>
      </w:pPr>
      <w:r>
        <w:rPr>
          <w:rFonts w:ascii="David" w:hAnsi="David" w:cs="David"/>
          <w:b w:val="0"/>
          <w:i w:val="0"/>
          <w:sz w:val="24"/>
          <w:szCs w:val="24"/>
          <w:rtl w:val="1"/>
        </w:rPr>
        <w:t>הבחירה בסיפור אישי וגולמי ולא במסר מלוטש איננה מקרית. מחקר שבחן מעורבות של עמותות בפלטפורמות כמו טיקטוק מצא שדווקא תוכן אותנטי ואישי, שמותאם לשפה של הפלטפורמה ולא משוכפל ממנה, הוא שמייצר חיבור אמיתי עם הקהל ומעורבות גבוהה יותר (DeMasters et al., 2024).</w:t>
      </w:r>
    </w:p>
    <w:p>
      <w:pPr>
        <w:bidi w:val="1"/>
        <w:spacing w:line="360" w:lineRule="auto" w:after="120"/>
        <w:jc w:val="right"/>
      </w:pPr>
      <w:r>
        <w:rPr>
          <w:rFonts w:ascii="David" w:hAnsi="David" w:cs="David"/>
          <w:b/>
          <w:i w:val="0"/>
          <w:sz w:val="26"/>
          <w:szCs w:val="26"/>
          <w:rtl w:val="1"/>
        </w:rPr>
        <w:t>מדיה דיגיטלית, יוזמה 2: "יומן שטח" ודוח השפעה פתוח</w:t>
      </w:r>
    </w:p>
    <w:p>
      <w:pPr>
        <w:bidi w:val="1"/>
        <w:spacing w:line="360" w:lineRule="auto" w:after="160"/>
        <w:jc w:val="both"/>
      </w:pPr>
      <w:r>
        <w:rPr>
          <w:rFonts w:ascii="David" w:hAnsi="David" w:cs="David"/>
          <w:b w:val="0"/>
          <w:i w:val="0"/>
          <w:sz w:val="24"/>
          <w:szCs w:val="24"/>
          <w:rtl w:val="1"/>
        </w:rPr>
        <w:t>היוזמה השנייה עונה על צורך אחר, אמון. פתחתי באתר ובעמודים החברתיים ערוץ שקוף שנקרא יומן שטח, שבו העמותה מפרסמת מדי שבוע הצצה אמיתית לעבודה, ולצידו דוח השפעה אינטראקטיבי שמראה לאן הולך כל שקל ומה הוא משנה. התורמים מוזמנים לשאול, להגיב ולקבל מענה ישיר, כך שהתקשורת היא דו-כיוונית ולא רק הכרזה. הבחירה בגישה הדיאלוגית והשקופה הזאת נשענת על ממצא שלפיו דווקא השקיפות והקשב לקהל הם שמבססים את האמון בעמותות שפועלות עם אוכלוסיות רגישות (אלוש גלם ואחרים, 2025).</w:t>
      </w:r>
    </w:p>
    <w:p>
      <w:pPr>
        <w:bidi w:val="1"/>
        <w:spacing w:line="360" w:lineRule="auto" w:after="160"/>
        <w:jc w:val="both"/>
      </w:pPr>
      <w:r>
        <w:rPr>
          <w:rFonts w:ascii="David" w:hAnsi="David" w:cs="David"/>
          <w:b w:val="0"/>
          <w:i w:val="0"/>
          <w:sz w:val="24"/>
          <w:szCs w:val="24"/>
          <w:rtl w:val="1"/>
        </w:rPr>
        <w:t>יומן השטח הוא גם כלי לבניית מערכת יחסים, לא רק להעברת מידע. מחקר שבחן כיצד ארגונים ללא מטרות רווח משתמשים בפייסבוק מצא שיחסי הציבור עברו מהתמקדות ביעילות המסר להתמקדות בניהול מערכות יחסים, ושדווקא תוכן שבונה קהילה ומזמין דיאלוג, ולא תוכן חד-כיווני שרק מיידע, הוא שמחזק את הקשר עם הקהל (Oliński &amp; Szamrowski, 2021).</w:t>
      </w:r>
    </w:p>
    <w:p>
      <w:pPr>
        <w:bidi w:val="1"/>
        <w:spacing w:line="360" w:lineRule="auto" w:after="120"/>
        <w:jc w:val="right"/>
      </w:pPr>
      <w:r>
        <w:rPr>
          <w:rFonts w:ascii="David" w:hAnsi="David" w:cs="David"/>
          <w:b/>
          <w:i w:val="0"/>
          <w:sz w:val="26"/>
          <w:szCs w:val="26"/>
          <w:rtl w:val="1"/>
        </w:rPr>
        <w:t>מדיה מסורתית, יוזמה 1: הודעה לעיתונות וכתבת עומק סביב היום הקובע</w:t>
      </w:r>
    </w:p>
    <w:p>
      <w:pPr>
        <w:bidi w:val="1"/>
        <w:spacing w:line="360" w:lineRule="auto" w:after="160"/>
        <w:jc w:val="both"/>
      </w:pPr>
      <w:r>
        <w:rPr>
          <w:rFonts w:ascii="David" w:hAnsi="David" w:cs="David"/>
          <w:b w:val="0"/>
          <w:i w:val="0"/>
          <w:sz w:val="24"/>
          <w:szCs w:val="24"/>
          <w:rtl w:val="1"/>
        </w:rPr>
        <w:t>במדיה המסורתית פתחתי בהודעה לעיתונות שמתוזמנת לפתיחת שנת הלימודים, ומגובה בכתבת עומק או ריאיון בכלי תקשורת ארצי ומקומי. ההודעה משלבת את שני המסרים, הנתונים על החיסכון והתועלת לצד סיפור אישי של בוגר, ומציעה לעיתונאים זווית מוכנה, אנושית ומגובה בעובדות. המטרה כאן היא להגיע למקבלי ההחלטות ולתורמים העסקיים, שנחשפים דווקא לערוצים האלה, ולמצב את מרחב כמקור סמכות מקצועי בתחום.</w:t>
      </w:r>
    </w:p>
    <w:p>
      <w:pPr>
        <w:bidi w:val="1"/>
        <w:spacing w:line="360" w:lineRule="auto" w:after="120"/>
        <w:jc w:val="right"/>
      </w:pPr>
      <w:r>
        <w:rPr>
          <w:rFonts w:ascii="David" w:hAnsi="David" w:cs="David"/>
          <w:b/>
          <w:i w:val="0"/>
          <w:sz w:val="26"/>
          <w:szCs w:val="26"/>
          <w:rtl w:val="1"/>
        </w:rPr>
        <w:t>מדיה מסורתית, יוזמה 2: אירוע השקה ומפגש עיתונאים</w:t>
      </w:r>
    </w:p>
    <w:p>
      <w:pPr>
        <w:bidi w:val="1"/>
        <w:spacing w:line="360" w:lineRule="auto" w:after="160"/>
        <w:jc w:val="both"/>
      </w:pPr>
      <w:r>
        <w:rPr>
          <w:rFonts w:ascii="David" w:hAnsi="David" w:cs="David"/>
          <w:b w:val="0"/>
          <w:i w:val="0"/>
          <w:sz w:val="24"/>
          <w:szCs w:val="24"/>
          <w:rtl w:val="1"/>
        </w:rPr>
        <w:t>היוזמה הרביעית היא אירוע ציבורי בפתיחת השנה, מעין מפגש עיתונאים שהוא גם השקה של היעד השנתי. על הבמה יעמדו יחד נציג רשות, איש מקצוע מהעמותה, ובוגר שיספר את סיפורו. האירוע מייצר תמונה תקשורתית חזקה, מחבר בין השחקנים המשפיעים שמיפיתי, ונותן לכלי התקשורת אירוע חי לסקר. הוא גם מאותת לתורמים שמרחב היא שחקן רציני עם גב ציבורי, ולא עמותה קטנה ובודדה.</w:t>
      </w:r>
    </w:p>
    <w:p>
      <w:pPr>
        <w:bidi w:val="1"/>
        <w:spacing w:line="360" w:lineRule="auto" w:after="120"/>
        <w:jc w:val="right"/>
      </w:pPr>
      <w:r>
        <w:rPr>
          <w:rFonts w:ascii="David" w:hAnsi="David" w:cs="David"/>
          <w:b/>
          <w:i w:val="0"/>
          <w:sz w:val="26"/>
          <w:szCs w:val="26"/>
          <w:rtl w:val="1"/>
        </w:rPr>
        <w:t>לוח זמנים ומדדי הצלחה</w:t>
      </w:r>
    </w:p>
    <w:p>
      <w:pPr>
        <w:bidi w:val="1"/>
        <w:spacing w:line="360" w:lineRule="auto" w:after="160"/>
        <w:jc w:val="both"/>
      </w:pPr>
      <w:r>
        <w:rPr>
          <w:rFonts w:ascii="David" w:hAnsi="David" w:cs="David"/>
          <w:b w:val="0"/>
          <w:i w:val="0"/>
          <w:sz w:val="24"/>
          <w:szCs w:val="24"/>
          <w:rtl w:val="1"/>
        </w:rPr>
        <w:t>ארבע היוזמות רצות במקביל לאורך אוגוסט וספטמבר. קמפיין הסושיאל פרוס על כל התקופה, וההשקה במדיה המסורתית והאירוע ממוקדים לשבוע פתיחת השנה, נקודת השיא של התוכנית. את ההצלחה אני מודדת בכמה מדדים פשוטים, היקף ואיכות החשיפה התקשורתית, מדדי מעורבות ברשתות כמו שיתופים, תגובות וצפיות מלאות, מספר התורמים החדשים והיקף התרומות, ולאורך זמן גם שינוי בטון של השיח סביב נוער בסיכון. מדידה שוטפת לאורך הדרך מאפשרת לתקן תוך כדי תנועה, ולא רק להסתכל אחורה בסוף.</w:t>
      </w:r>
    </w:p>
    <w:p>
      <w:r>
        <w:br w:type="page"/>
      </w:r>
    </w:p>
    <w:p>
      <w:pPr>
        <w:bidi w:val="1"/>
        <w:spacing w:line="360" w:lineRule="auto" w:after="200"/>
        <w:jc w:val="right"/>
      </w:pPr>
      <w:r>
        <w:rPr>
          <w:rFonts w:ascii="David" w:hAnsi="David" w:cs="David"/>
          <w:b/>
          <w:i w:val="0"/>
          <w:sz w:val="30"/>
          <w:szCs w:val="30"/>
          <w:rtl w:val="1"/>
        </w:rPr>
        <w:t>רובד ג: ניהול משבר קטגורי</w:t>
      </w:r>
    </w:p>
    <w:p>
      <w:pPr>
        <w:bidi w:val="1"/>
        <w:spacing w:line="360" w:lineRule="auto" w:after="160"/>
        <w:jc w:val="both"/>
      </w:pPr>
      <w:r>
        <w:rPr>
          <w:rFonts w:ascii="David" w:hAnsi="David" w:cs="David"/>
          <w:b w:val="0"/>
          <w:i w:val="0"/>
          <w:sz w:val="24"/>
          <w:szCs w:val="24"/>
          <w:rtl w:val="1"/>
        </w:rPr>
        <w:t>ניהול משברים תקשורתיים היה אחד הנושאים המרכזיים בקורס, בפרק האסטרטגיות התקשורתיות בעידן הדיגיטלי, וכאן אני מיישמת אותו על מקרה קונקרטי של עמותת מרחב.</w:t>
      </w:r>
    </w:p>
    <w:p>
      <w:pPr>
        <w:bidi w:val="1"/>
        <w:spacing w:line="360" w:lineRule="auto" w:after="160"/>
        <w:jc w:val="both"/>
      </w:pPr>
      <w:r>
        <w:rPr>
          <w:rFonts w:ascii="David" w:hAnsi="David" w:cs="David"/>
          <w:b w:val="0"/>
          <w:i w:val="0"/>
          <w:sz w:val="24"/>
          <w:szCs w:val="24"/>
          <w:rtl w:val="1"/>
        </w:rPr>
        <w:t>לעמותה שעובדת עם קטינים במצבי סיכון יש משבר קטגורי אחד שצריך להיערך אליו מראש, פגיעה באמון בעקבות אירוע חמור שמערב חניך. התרחיש שאני נערכת אליו הוא פרסום על מקרה של פגיעה, הזנחה או כשל פיקוח באחת המסגרות, שמתפוצץ בתקשורת וברשתות. משבר כזה מאיים ישירות על הנכס היקר ביותר של העמותה, האמון של הציבור ושל התורמים.</w:t>
      </w:r>
    </w:p>
    <w:p>
      <w:pPr>
        <w:bidi w:val="1"/>
        <w:spacing w:line="360" w:lineRule="auto" w:after="160"/>
        <w:jc w:val="both"/>
      </w:pPr>
      <w:r>
        <w:rPr>
          <w:rFonts w:ascii="David" w:hAnsi="David" w:cs="David"/>
          <w:b w:val="0"/>
          <w:i w:val="0"/>
          <w:sz w:val="24"/>
          <w:szCs w:val="24"/>
          <w:rtl w:val="1"/>
        </w:rPr>
        <w:t>ההיערכות מתחילה הרבה לפני המשבר. הקמתי צוות משבר קבוע וקבעתי דובר יחיד ומוסמך, כדי שלא ייצאו מהעמותה קולות סותרים. הכנתי מראש הצהרת החזקה, כמה משפטים ראשונים שמבטאים אחריות, אמפתיה ומחויבות לבדיקה, שאפשר לפרסם בתוך דקות. הגדרתי מי מנטר את הרשתות ואת התקשורת מסביב לשעון, ומיפיתי מראש תרחישים אפשריים עם תגובה מדורגת לכל אחד. ההיערכות המוקדמת הזאת היא ההבדל בין תגובה שקולה לבין גמגום מול מצלמה.</w:t>
      </w:r>
    </w:p>
    <w:p>
      <w:pPr>
        <w:bidi w:val="1"/>
        <w:spacing w:line="360" w:lineRule="auto" w:after="160"/>
        <w:jc w:val="both"/>
      </w:pPr>
      <w:r>
        <w:rPr>
          <w:rFonts w:ascii="David" w:hAnsi="David" w:cs="David"/>
          <w:b w:val="0"/>
          <w:i w:val="0"/>
          <w:sz w:val="24"/>
          <w:szCs w:val="24"/>
          <w:rtl w:val="1"/>
        </w:rPr>
        <w:t>הכלים המקצועיים שבחרתי נשענים על מה שמזוהה בספרות כליבה של תקשורת משבר. סקירה ביבליומטרית מקיפה שמיפתה כחמישה עשורים של מחקר בתחום מצאה שאחת התמות המרכזיות היא הקשר בין תקשורת משבר לרשתות החברתיות, לצד תמות של מנהיגות בעת משבר ושל בנייה וניהול של מוניטין, ושהרשתות הפכו לזירה שבה משברים מתפרצים ומנוהלים כיום (Upadhyay &amp; Upadhyay, 2023).</w:t>
      </w:r>
    </w:p>
    <w:p>
      <w:pPr>
        <w:bidi w:val="1"/>
        <w:spacing w:line="360" w:lineRule="auto" w:after="160"/>
        <w:jc w:val="both"/>
      </w:pPr>
      <w:r>
        <w:rPr>
          <w:rFonts w:ascii="David" w:hAnsi="David" w:cs="David"/>
          <w:b w:val="0"/>
          <w:i w:val="0"/>
          <w:sz w:val="24"/>
          <w:szCs w:val="24"/>
          <w:rtl w:val="1"/>
        </w:rPr>
        <w:t>מחקר ממוקד יותר על תקשורת משבר ברשתות מצא שהאמון של הציבור בזמן משבר מושפע מארבעה מאפיינים של התקשורת, שקיפות, מהירות, אמפתיה ובהירות, ושהמשבר מתנהל בזירה רטורית שבה הארגון, כלי התקשורת והציבור מייצרים יחד את המסרים ומגיבים זה לזה (MacKay et al., 2021).</w:t>
      </w:r>
    </w:p>
    <w:p>
      <w:pPr>
        <w:bidi w:val="1"/>
        <w:spacing w:line="360" w:lineRule="auto" w:after="160"/>
        <w:jc w:val="both"/>
      </w:pPr>
      <w:r>
        <w:rPr>
          <w:rFonts w:ascii="David" w:hAnsi="David" w:cs="David"/>
          <w:b w:val="0"/>
          <w:i w:val="0"/>
          <w:sz w:val="24"/>
          <w:szCs w:val="24"/>
          <w:rtl w:val="1"/>
        </w:rPr>
        <w:t>על בסיס זה בניתי את עקרונות התגובה של מרחב, מהירות, שקיפות, אמפתיה ובהירות. התגובה תהיה מנוסחת בשפה אנושית ולא בהתגוננות משפטית קרה. הדובר יאמר את מה שידוע, יכיר ברגש, ויתחייב לבדוק, במקום לחכות שהתמונה תתבהר בזמן שהרשתות כבר רותחות. כשהזירה משותפת, השתיקה של הארגון פשוט מפנה את הבמה לאחרים.</w:t>
      </w:r>
    </w:p>
    <w:p>
      <w:pPr>
        <w:bidi w:val="1"/>
        <w:spacing w:line="360" w:lineRule="auto" w:after="160"/>
        <w:jc w:val="both"/>
      </w:pPr>
      <w:r>
        <w:rPr>
          <w:rFonts w:ascii="David" w:hAnsi="David" w:cs="David"/>
          <w:b w:val="0"/>
          <w:i w:val="0"/>
          <w:sz w:val="24"/>
          <w:szCs w:val="24"/>
          <w:rtl w:val="1"/>
        </w:rPr>
        <w:t>אחרי שהסערה שוככת מגיע השלב שקל לשכוח, שיקום התדמית. בניית מוניטין וניהולו הם אחד הצירים המרכזיים שהמחקר בתחום מזהה בתקשורת המשבר (Upadhyay &amp; Upadhyay, 2023).</w:t>
      </w:r>
    </w:p>
    <w:p>
      <w:pPr>
        <w:bidi w:val="1"/>
        <w:spacing w:line="360" w:lineRule="auto" w:after="160"/>
        <w:jc w:val="both"/>
      </w:pPr>
      <w:r>
        <w:rPr>
          <w:rFonts w:ascii="David" w:hAnsi="David" w:cs="David"/>
          <w:b w:val="0"/>
          <w:i w:val="0"/>
          <w:sz w:val="24"/>
          <w:szCs w:val="24"/>
          <w:rtl w:val="1"/>
        </w:rPr>
        <w:t>כאן העמותה מראה מה למדה ומה שינתה, מפרסמת את המסקנות ואת הצעדים המתקנים, וחוזרת לספר את הסיפור החיובי שלה דרך אותם ערוצים דיגיטליים ומסורתיים שבניתי. משבר מנוהל היטב יכול אפילו לחזק את האמון, אם הציבור רואה ארגון שלוקח אחריות ולא מתחמק.</w:t>
      </w:r>
    </w:p>
    <w:p>
      <w:pPr>
        <w:bidi w:val="1"/>
        <w:spacing w:line="360" w:lineRule="auto" w:after="120"/>
        <w:jc w:val="right"/>
      </w:pPr>
      <w:r>
        <w:rPr>
          <w:rFonts w:ascii="David" w:hAnsi="David" w:cs="David"/>
          <w:b/>
          <w:i w:val="0"/>
          <w:sz w:val="26"/>
          <w:szCs w:val="26"/>
          <w:rtl w:val="1"/>
        </w:rPr>
        <w:t>צוות המשבר וחלוקת התפקידים</w:t>
      </w:r>
    </w:p>
    <w:p>
      <w:pPr>
        <w:bidi w:val="1"/>
        <w:spacing w:line="360" w:lineRule="auto" w:after="160"/>
        <w:jc w:val="both"/>
      </w:pPr>
      <w:r>
        <w:rPr>
          <w:rFonts w:ascii="David" w:hAnsi="David" w:cs="David"/>
          <w:b w:val="0"/>
          <w:i w:val="0"/>
          <w:sz w:val="24"/>
          <w:szCs w:val="24"/>
          <w:rtl w:val="1"/>
        </w:rPr>
        <w:t>צוות המשבר קטן ומוגדר מראש. מנכ"לית העמותה מובילה ומקבלת את ההחלטות הגדולות, הדובר היחיד מדבר החוצה, איש מקצוע מהתחום הטיפולי מוודא שהתגובה לא פוגעת בחניכים או בתהליך השיקומי, ואחראי ניטור עוקב אחר הרשתות ואחר התקשורת. כל שאר אנשי העמותה יודעים דבר אחד, להפנות כל פנייה תקשורתית לדובר ולא להגיב בעצמם.</w:t>
      </w:r>
    </w:p>
    <w:p>
      <w:pPr>
        <w:bidi w:val="1"/>
        <w:spacing w:line="360" w:lineRule="auto" w:after="120"/>
        <w:jc w:val="right"/>
      </w:pPr>
      <w:r>
        <w:rPr>
          <w:rFonts w:ascii="David" w:hAnsi="David" w:cs="David"/>
          <w:b/>
          <w:i w:val="0"/>
          <w:sz w:val="26"/>
          <w:szCs w:val="26"/>
          <w:rtl w:val="1"/>
        </w:rPr>
        <w:t>מיפוי תרחישים ותגובה ראשונית</w:t>
      </w:r>
    </w:p>
    <w:tbl>
      <w:tblPr>
        <w:tblStyle w:val="TableGrid"/>
        <w:bidiVisual/>
        <w:tblW w:type="auto" w:w="0"/>
        <w:jc w:val="right"/>
        <w:tblLook w:firstColumn="1" w:firstRow="1" w:lastColumn="0" w:lastRow="0" w:noHBand="0" w:noVBand="1" w:val="04A0"/>
      </w:tblPr>
      <w:tblGrid>
        <w:gridCol w:w="4680"/>
        <w:gridCol w:w="4680"/>
      </w:tblGrid>
      <w:tr>
        <w:tc>
          <w:tcPr>
            <w:tcW w:type="dxa" w:w="3744"/>
          </w:tcPr>
          <w:p>
            <w:pPr>
              <w:bidi w:val="1"/>
              <w:jc w:val="right"/>
            </w:pPr>
            <w:r/>
            <w:r>
              <w:rPr>
                <w:rFonts w:ascii="David" w:hAnsi="David" w:cs="David"/>
                <w:b/>
                <w:i w:val="0"/>
                <w:sz w:val="22"/>
                <w:szCs w:val="22"/>
                <w:rtl w:val="1"/>
              </w:rPr>
              <w:t>תרחיש אפשרי</w:t>
            </w:r>
          </w:p>
        </w:tc>
        <w:tc>
          <w:tcPr>
            <w:tcW w:type="dxa" w:w="4896"/>
          </w:tcPr>
          <w:p>
            <w:pPr>
              <w:bidi w:val="1"/>
              <w:jc w:val="right"/>
            </w:pPr>
            <w:r/>
            <w:r>
              <w:rPr>
                <w:rFonts w:ascii="David" w:hAnsi="David" w:cs="David"/>
                <w:b/>
                <w:i w:val="0"/>
                <w:sz w:val="22"/>
                <w:szCs w:val="22"/>
                <w:rtl w:val="1"/>
              </w:rPr>
              <w:t>תגובה ראשונית</w:t>
            </w:r>
          </w:p>
        </w:tc>
      </w:tr>
      <w:tr>
        <w:tc>
          <w:tcPr>
            <w:tcW w:type="dxa" w:w="3744"/>
          </w:tcPr>
          <w:p>
            <w:pPr>
              <w:bidi w:val="1"/>
              <w:jc w:val="right"/>
            </w:pPr>
            <w:r/>
            <w:r>
              <w:rPr>
                <w:rFonts w:ascii="David" w:hAnsi="David" w:cs="David"/>
                <w:b w:val="0"/>
                <w:i w:val="0"/>
                <w:sz w:val="22"/>
                <w:szCs w:val="22"/>
                <w:rtl w:val="1"/>
              </w:rPr>
              <w:t>חשד לפגיעה או הזנחה של חניך במסגרת</w:t>
            </w:r>
          </w:p>
        </w:tc>
        <w:tc>
          <w:tcPr>
            <w:tcW w:type="dxa" w:w="4896"/>
          </w:tcPr>
          <w:p>
            <w:pPr>
              <w:bidi w:val="1"/>
              <w:jc w:val="right"/>
            </w:pPr>
            <w:r/>
            <w:r>
              <w:rPr>
                <w:rFonts w:ascii="David" w:hAnsi="David" w:cs="David"/>
                <w:b w:val="0"/>
                <w:i w:val="0"/>
                <w:sz w:val="22"/>
                <w:szCs w:val="22"/>
                <w:rtl w:val="1"/>
              </w:rPr>
              <w:t>הצהרת החזקה תוך שעה, נטילת אחריות ואמפתיה, פתיחת בדיקה ושיתוף פעולה עם הרשויות.</w:t>
            </w:r>
          </w:p>
        </w:tc>
      </w:tr>
      <w:tr>
        <w:tc>
          <w:tcPr>
            <w:tcW w:type="dxa" w:w="3744"/>
          </w:tcPr>
          <w:p>
            <w:pPr>
              <w:bidi w:val="1"/>
              <w:jc w:val="right"/>
            </w:pPr>
            <w:r/>
            <w:r>
              <w:rPr>
                <w:rFonts w:ascii="David" w:hAnsi="David" w:cs="David"/>
                <w:b w:val="0"/>
                <w:i w:val="0"/>
                <w:sz w:val="22"/>
                <w:szCs w:val="22"/>
                <w:rtl w:val="1"/>
              </w:rPr>
              <w:t>האשמה בניהול כספי לא תקין</w:t>
            </w:r>
          </w:p>
        </w:tc>
        <w:tc>
          <w:tcPr>
            <w:tcW w:type="dxa" w:w="4896"/>
          </w:tcPr>
          <w:p>
            <w:pPr>
              <w:bidi w:val="1"/>
              <w:jc w:val="right"/>
            </w:pPr>
            <w:r/>
            <w:r>
              <w:rPr>
                <w:rFonts w:ascii="David" w:hAnsi="David" w:cs="David"/>
                <w:b w:val="0"/>
                <w:i w:val="0"/>
                <w:sz w:val="22"/>
                <w:szCs w:val="22"/>
                <w:rtl w:val="1"/>
              </w:rPr>
              <w:t>שקיפות מלאה, פרסום נתונים ודוח כספי, והזמנה לבדיקה חיצונית בלתי תלויה.</w:t>
            </w:r>
          </w:p>
        </w:tc>
      </w:tr>
      <w:tr>
        <w:tc>
          <w:tcPr>
            <w:tcW w:type="dxa" w:w="3744"/>
          </w:tcPr>
          <w:p>
            <w:pPr>
              <w:bidi w:val="1"/>
              <w:jc w:val="right"/>
            </w:pPr>
            <w:r/>
            <w:r>
              <w:rPr>
                <w:rFonts w:ascii="David" w:hAnsi="David" w:cs="David"/>
                <w:b w:val="0"/>
                <w:i w:val="0"/>
                <w:sz w:val="22"/>
                <w:szCs w:val="22"/>
                <w:rtl w:val="1"/>
              </w:rPr>
              <w:t>פרסום שלילי או מידע כוזב ברשתות</w:t>
            </w:r>
          </w:p>
        </w:tc>
        <w:tc>
          <w:tcPr>
            <w:tcW w:type="dxa" w:w="4896"/>
          </w:tcPr>
          <w:p>
            <w:pPr>
              <w:bidi w:val="1"/>
              <w:jc w:val="right"/>
            </w:pPr>
            <w:r/>
            <w:r>
              <w:rPr>
                <w:rFonts w:ascii="David" w:hAnsi="David" w:cs="David"/>
                <w:b w:val="0"/>
                <w:i w:val="0"/>
                <w:sz w:val="22"/>
                <w:szCs w:val="22"/>
                <w:rtl w:val="1"/>
              </w:rPr>
              <w:t>תיקון עובדתי מהיר ומנומס, פנייה ישירה למפרסם, וגיוס בוגרים ושותפים כשגרירים אמינים.</w:t>
            </w:r>
          </w:p>
        </w:tc>
      </w:tr>
      <w:tr>
        <w:tc>
          <w:tcPr>
            <w:tcW w:type="dxa" w:w="3744"/>
          </w:tcPr>
          <w:p>
            <w:pPr>
              <w:bidi w:val="1"/>
              <w:jc w:val="right"/>
            </w:pPr>
            <w:r/>
            <w:r>
              <w:rPr>
                <w:rFonts w:ascii="David" w:hAnsi="David" w:cs="David"/>
                <w:b w:val="0"/>
                <w:i w:val="0"/>
                <w:sz w:val="22"/>
                <w:szCs w:val="22"/>
                <w:rtl w:val="1"/>
              </w:rPr>
              <w:t>דליפת מידע אישי על חניך</w:t>
            </w:r>
          </w:p>
        </w:tc>
        <w:tc>
          <w:tcPr>
            <w:tcW w:type="dxa" w:w="4896"/>
          </w:tcPr>
          <w:p>
            <w:pPr>
              <w:bidi w:val="1"/>
              <w:jc w:val="right"/>
            </w:pPr>
            <w:r/>
            <w:r>
              <w:rPr>
                <w:rFonts w:ascii="David" w:hAnsi="David" w:cs="David"/>
                <w:b w:val="0"/>
                <w:i w:val="0"/>
                <w:sz w:val="22"/>
                <w:szCs w:val="22"/>
                <w:rtl w:val="1"/>
              </w:rPr>
              <w:t>עצירה מיידית של הדליפה, יידוע הנפגעים, טיפול טכני ומשפטי, והכרה כנה באחריות.</w:t>
            </w:r>
          </w:p>
        </w:tc>
      </w:tr>
    </w:tbl>
    <w:p>
      <w:pPr>
        <w:bidi w:val="1"/>
        <w:spacing w:line="360" w:lineRule="auto" w:after="80"/>
        <w:jc w:val="both"/>
      </w:pPr>
    </w:p>
    <w:p>
      <w:r>
        <w:br w:type="page"/>
      </w:r>
    </w:p>
    <w:p>
      <w:pPr>
        <w:bidi w:val="1"/>
        <w:spacing w:line="360" w:lineRule="auto" w:after="200"/>
        <w:jc w:val="right"/>
      </w:pPr>
      <w:r>
        <w:rPr>
          <w:rFonts w:ascii="David" w:hAnsi="David" w:cs="David"/>
          <w:b/>
          <w:i w:val="0"/>
          <w:sz w:val="30"/>
          <w:szCs w:val="30"/>
          <w:rtl w:val="1"/>
        </w:rPr>
        <w:t>סיכום</w:t>
      </w:r>
    </w:p>
    <w:p>
      <w:pPr>
        <w:bidi w:val="1"/>
        <w:spacing w:line="360" w:lineRule="auto" w:after="160"/>
        <w:jc w:val="both"/>
      </w:pPr>
      <w:r>
        <w:rPr>
          <w:rFonts w:ascii="David" w:hAnsi="David" w:cs="David"/>
          <w:b w:val="0"/>
          <w:i w:val="0"/>
          <w:sz w:val="24"/>
          <w:szCs w:val="24"/>
          <w:rtl w:val="1"/>
        </w:rPr>
        <w:t>התוכנית הזאת מחברת בין שלושה רבדים לכדי מהלך אחד. האסטרטגיה קובעת לאן הולכים ולמה, הטקטיקה מתרגמת את זה ליוזמות יחסי ציבור קונקרטיות בדיגיטל ובמדיה המסורתית, וההיערכות למשבר שומרת על מה שנבנה ברגע שהדברים מסתבכים. בבסיס הכול עומדת ההבנה שדוברות טובה של עמותת מרחב איננה רק להישמע, אלא לבנות אמון לאורך זמן, כזה שיחזיק גם ביום קשה.</w:t>
      </w:r>
    </w:p>
    <w:p>
      <w:r>
        <w:br w:type="page"/>
      </w:r>
    </w:p>
    <w:p>
      <w:pPr>
        <w:bidi w:val="1"/>
        <w:spacing w:line="360" w:lineRule="auto" w:after="200"/>
        <w:jc w:val="right"/>
      </w:pPr>
      <w:r>
        <w:rPr>
          <w:rFonts w:ascii="David" w:hAnsi="David" w:cs="David"/>
          <w:b/>
          <w:i w:val="0"/>
          <w:sz w:val="30"/>
          <w:szCs w:val="30"/>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אלוש גלם, ר', אבידר, ר', ומגן, כ' (2025). דילמות דיגיטליות של עמותות לילדים ונוער בסיכון בהפעלת עקרונות דיאלוגיים. </w:t>
      </w:r>
      <w:r>
        <w:rPr>
          <w:rFonts w:ascii="David" w:hAnsi="David" w:cs="David"/>
          <w:b w:val="0"/>
          <w:i/>
          <w:sz w:val="24"/>
          <w:szCs w:val="24"/>
          <w:rtl w:val="1"/>
        </w:rPr>
        <w:t>מסגרות מדיה, 27</w:t>
      </w:r>
      <w:r>
        <w:rPr>
          <w:rFonts w:ascii="David" w:hAnsi="David" w:cs="David"/>
          <w:b w:val="0"/>
          <w:i w:val="0"/>
          <w:sz w:val="24"/>
          <w:szCs w:val="24"/>
          <w:rtl w:val="1"/>
        </w:rPr>
        <w:t>, 13-41.</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https://mediaframes.sapir.ac.il/wp-content/uploads/2025/04/Digital-dilemmas.pdf</w:t>
        </w:r>
      </w:hyperlink>
    </w:p>
    <w:p>
      <w:pPr>
        <w:bidi w:val="1"/>
        <w:spacing w:line="360" w:lineRule="auto" w:after="200"/>
        <w:ind w:left="720" w:hanging="720"/>
        <w:jc w:val="both"/>
      </w:pPr>
      <w:r>
        <w:rPr>
          <w:rFonts w:ascii="David" w:hAnsi="David" w:cs="David"/>
          <w:b w:val="0"/>
          <w:i w:val="0"/>
          <w:sz w:val="24"/>
          <w:szCs w:val="24"/>
          <w:rtl w:val="1"/>
        </w:rPr>
        <w:t xml:space="preserve">Upadhyay, S., &amp; Upadhyay, N. (2023). Mapping crisis communication in the communication research: What we know and what we don't know. </w:t>
      </w:r>
      <w:r>
        <w:rPr>
          <w:rFonts w:ascii="David" w:hAnsi="David" w:cs="David"/>
          <w:b w:val="0"/>
          <w:i/>
          <w:sz w:val="24"/>
          <w:szCs w:val="24"/>
          <w:rtl w:val="1"/>
        </w:rPr>
        <w:t>Humanities and Social Sciences Communications, 10</w:t>
      </w:r>
      <w:r>
        <w:rPr>
          <w:rFonts w:ascii="David" w:hAnsi="David" w:cs="David"/>
          <w:b w:val="0"/>
          <w:i w:val="0"/>
          <w:sz w:val="24"/>
          <w:szCs w:val="24"/>
          <w:rtl w:val="1"/>
        </w:rPr>
        <w:t>, 615.</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https://doi.org/10.1057/s41599-023-02069-z</w:t>
        </w:r>
      </w:hyperlink>
    </w:p>
    <w:p>
      <w:pPr>
        <w:bidi w:val="1"/>
        <w:spacing w:line="360" w:lineRule="auto" w:after="200"/>
        <w:ind w:left="720" w:hanging="720"/>
        <w:jc w:val="both"/>
      </w:pPr>
      <w:r>
        <w:rPr>
          <w:rFonts w:ascii="David" w:hAnsi="David" w:cs="David"/>
          <w:b w:val="0"/>
          <w:i w:val="0"/>
          <w:sz w:val="24"/>
          <w:szCs w:val="24"/>
          <w:rtl w:val="1"/>
        </w:rPr>
        <w:t xml:space="preserve">Oliński, M., &amp; Szamrowski, P. (2021). Facebook as an engagement tool: How are public benefit organizations building relationships with their public? </w:t>
      </w:r>
      <w:r>
        <w:rPr>
          <w:rFonts w:ascii="David" w:hAnsi="David" w:cs="David"/>
          <w:b w:val="0"/>
          <w:i/>
          <w:sz w:val="24"/>
          <w:szCs w:val="24"/>
          <w:rtl w:val="1"/>
        </w:rPr>
        <w:t>PLOS ONE, 16</w:t>
      </w:r>
      <w:r>
        <w:rPr>
          <w:rFonts w:ascii="David" w:hAnsi="David" w:cs="David"/>
          <w:b w:val="0"/>
          <w:i w:val="0"/>
          <w:sz w:val="24"/>
          <w:szCs w:val="24"/>
          <w:rtl w:val="1"/>
        </w:rPr>
        <w:t>(9), e0256880.</w:t>
      </w:r>
      <w:r>
        <w:rPr>
          <w:rFonts w:ascii="David" w:hAnsi="David" w:cs="David"/>
          <w:b w:val="0"/>
          <w:i w:val="0"/>
          <w:sz w:val="24"/>
          <w:szCs w:val="24"/>
          <w:rtl w:val="1"/>
        </w:rPr>
        <w:t xml:space="preserve"> </w:t>
      </w:r>
      <w:hyperlink r:id="rId12">
        <w:r>
          <w:rPr>
            <w:rFonts w:ascii="David" w:hAnsi="David" w:cs="David"/>
            <w:sz w:val="24"/>
            <w:szCs w:val="24"/>
            <w:color w:val="0563C1"/>
            <w:u w:val="single"/>
            <w:rtl w:val="1"/>
          </w:rPr>
          <w:t xml:space="preserve">https://doi.org/10.1371/journal.pone.0256880</w:t>
        </w:r>
      </w:hyperlink>
    </w:p>
    <w:p>
      <w:pPr>
        <w:bidi w:val="1"/>
        <w:spacing w:line="360" w:lineRule="auto" w:after="200"/>
        <w:ind w:left="720" w:hanging="720"/>
        <w:jc w:val="both"/>
      </w:pPr>
      <w:r>
        <w:rPr>
          <w:rFonts w:ascii="David" w:hAnsi="David" w:cs="David"/>
          <w:b w:val="0"/>
          <w:i w:val="0"/>
          <w:sz w:val="24"/>
          <w:szCs w:val="24"/>
          <w:rtl w:val="1"/>
        </w:rPr>
        <w:t xml:space="preserve">MacKay, M., Colangeli, T., Gillis, D., McWhirter, J., &amp; Papadopoulos, A. (2021). Examining social media crisis communication during early COVID-19 from public health and news media for quality, content, and corresponding public sentiment. </w:t>
      </w:r>
      <w:r>
        <w:rPr>
          <w:rFonts w:ascii="David" w:hAnsi="David" w:cs="David"/>
          <w:b w:val="0"/>
          <w:i/>
          <w:sz w:val="24"/>
          <w:szCs w:val="24"/>
          <w:rtl w:val="1"/>
        </w:rPr>
        <w:t>International Journal of Environmental Research and Public Health, 18</w:t>
      </w:r>
      <w:r>
        <w:rPr>
          <w:rFonts w:ascii="David" w:hAnsi="David" w:cs="David"/>
          <w:b w:val="0"/>
          <w:i w:val="0"/>
          <w:sz w:val="24"/>
          <w:szCs w:val="24"/>
          <w:rtl w:val="1"/>
        </w:rPr>
        <w:t>(15), 7986.</w:t>
      </w:r>
      <w:r>
        <w:rPr>
          <w:rFonts w:ascii="David" w:hAnsi="David" w:cs="David"/>
          <w:b w:val="0"/>
          <w:i w:val="0"/>
          <w:sz w:val="24"/>
          <w:szCs w:val="24"/>
          <w:rtl w:val="1"/>
        </w:rPr>
        <w:t xml:space="preserve"> </w:t>
      </w:r>
      <w:hyperlink r:id="rId13">
        <w:r>
          <w:rPr>
            <w:rFonts w:ascii="David" w:hAnsi="David" w:cs="David"/>
            <w:sz w:val="24"/>
            <w:szCs w:val="24"/>
            <w:color w:val="0563C1"/>
            <w:u w:val="single"/>
            <w:rtl w:val="1"/>
          </w:rPr>
          <w:t xml:space="preserve">https://doi.org/10.3390/ijerph18157986</w:t>
        </w:r>
      </w:hyperlink>
    </w:p>
    <w:p>
      <w:pPr>
        <w:bidi w:val="1"/>
        <w:spacing w:line="360" w:lineRule="auto" w:after="200"/>
        <w:ind w:left="720" w:hanging="720"/>
        <w:jc w:val="both"/>
      </w:pPr>
      <w:r>
        <w:rPr>
          <w:rFonts w:ascii="David" w:hAnsi="David" w:cs="David"/>
          <w:b w:val="0"/>
          <w:i w:val="0"/>
          <w:sz w:val="24"/>
          <w:szCs w:val="24"/>
          <w:rtl w:val="1"/>
        </w:rPr>
        <w:t xml:space="preserve">DeMasters, C., Morgan, K., Schwoerer, K., &amp; Wiley, K. (2024). Forging connections: Nonprofits, TikTok, and authentic engagement, a mixed-methods study. </w:t>
      </w:r>
      <w:r>
        <w:rPr>
          <w:rFonts w:ascii="David" w:hAnsi="David" w:cs="David"/>
          <w:b w:val="0"/>
          <w:i/>
          <w:sz w:val="24"/>
          <w:szCs w:val="24"/>
          <w:rtl w:val="1"/>
        </w:rPr>
        <w:t>Journal of Public and Nonprofit Affairs, 10</w:t>
      </w:r>
      <w:r>
        <w:rPr>
          <w:rFonts w:ascii="David" w:hAnsi="David" w:cs="David"/>
          <w:b w:val="0"/>
          <w:i w:val="0"/>
          <w:sz w:val="24"/>
          <w:szCs w:val="24"/>
          <w:rtl w:val="1"/>
        </w:rPr>
        <w:t>(1), 27-51.</w:t>
      </w:r>
      <w:r>
        <w:rPr>
          <w:rFonts w:ascii="David" w:hAnsi="David" w:cs="David"/>
          <w:b w:val="0"/>
          <w:i w:val="0"/>
          <w:sz w:val="24"/>
          <w:szCs w:val="24"/>
          <w:rtl w:val="1"/>
        </w:rPr>
        <w:t xml:space="preserve"> </w:t>
      </w:r>
      <w:hyperlink r:id="rId14">
        <w:r>
          <w:rPr>
            <w:rFonts w:ascii="David" w:hAnsi="David" w:cs="David"/>
            <w:sz w:val="24"/>
            <w:szCs w:val="24"/>
            <w:color w:val="0563C1"/>
            <w:u w:val="single"/>
            <w:rtl w:val="1"/>
          </w:rPr>
          <w:t xml:space="preserve">https://doi.org/10.20899/jpna.dky82f18</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mediaframes.sapir.ac.il/wp-content/uploads/2025/04/Digital-dilemmas.pdf" TargetMode="External"/><Relationship Id="rId11" Type="http://schemas.openxmlformats.org/officeDocument/2006/relationships/hyperlink" Target="https://doi.org/10.1057/s41599-023-02069-z" TargetMode="External"/><Relationship Id="rId12" Type="http://schemas.openxmlformats.org/officeDocument/2006/relationships/hyperlink" Target="https://doi.org/10.1371/journal.pone.0256880" TargetMode="External"/><Relationship Id="rId13" Type="http://schemas.openxmlformats.org/officeDocument/2006/relationships/hyperlink" Target="https://doi.org/10.3390/ijerph18157986" TargetMode="External"/><Relationship Id="rId14" Type="http://schemas.openxmlformats.org/officeDocument/2006/relationships/hyperlink" Target="https://doi.org/10.20899/jpna.dky82f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