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בהכשרה להוראה,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שני שאלונים: שאלון החוללות העצמית הכללית (NGSE) ושאלון תחושת המסוגלות של המורה (TSES). השערת המחקר, לפיה חוויית שליטה תעלה את תחושת המסוגלות יותר מן החשיפה העקיפה, אוששה באופן חלקי בשני המדדים. בחוללות העצמית הכללית נמצא הבדל מובהק בין הקבוצות, F(2,30)=5.18, p=.012, η²=.26, כך שקבוצת חוויית השליטה (M=4.05, SD=0.57) דיווחה על חוללות גבוהה יותר מקבוצת הביקורת (M=3.30, SD=0.55). גם בתחושת המסוגלות של המורה נמצא הבדל מובהק, F(2,30)=3.69, p=.037, η²=.20, באותו כיוון. בשני המדדים קבוצת החשיפה העקיפה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בזמנים קשים. אנשים בעלי חוללות גבוהה נוטים להתמיד ולהשקיע מאמץ רב יותר, בעוד שאנשים בעלי חוללות נמוכה עלולים להימנע ממשימות שהם חשים שאינם מסוגלים לבצע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 Artino, 2012).</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המשיכו לתמוך בתוקף ובמהימנות של הכלי. כך, תיקוף עדכני של הגרסה האיטלקית של ה-NGSE, שנערך על 811 משתתפים, אישר מבנה חד-גורמי, התאמה טובה של המודל לנתונים ומהימנות גבוהה, וחיזק את יישום השאלון בשפות ובתרבויות שונות (Rossi et al., 2025).</w:t>
      </w:r>
    </w:p>
    <w:p>
      <w:pPr>
        <w:bidi/>
        <w:spacing w:after="160" w:before="0" w:line="360"/>
        <w:jc w:val="both"/>
      </w:pPr>
      <w:r>
        <w:rPr>
          <w:rFonts w:ascii="David" w:cs="David" w:eastAsia="David" w:hAnsi="David"/>
          <w:b w:val="false"/>
          <w:bCs w:val="false"/>
          <w:i w:val="false"/>
          <w:iCs w:val="false"/>
          <w:color w:val="000000"/>
          <w:sz w:val="24"/>
          <w:szCs w:val="24"/>
          <w:rtl/>
        </w:rPr>
        <w:t xml:space="preserve">לצד המדד הכללי פותחו גם מדדים ספציפיים לתחומים מסוימים. בתחום ההוראה, הכלי הנפוץ ביותר הוא שאלון תחושת המסוגלות של המורה (TSES), הבוחן את אמונת המורה ביכולתו להשפיע בשלושה תחומים: מעורבות תלמידים, אסטרטגיות הוראה וניהול כיתה. הכלי מעוגן בתיאוריה של בנדורה ומשמש הן עם מורים בפועל והן עם סטודנטים בהכשרה להוראה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ההקשר החינוכי ממחיש היטב את חשיבות הנושא. תחושת המסוגלות של מורים ושל סטודנטים בהכשרה להוראה נמצאה קשורה למחויבות למקצוע, להכלה, לאמפתיה כלפי תלמידים ולהתמודדות עם שחיקה, ותחושת מסוגלות כללית גבוהה מהווה בסיס לתחושת המסוגלות המקצועית שתתפתח בהמשך. עם זאת, רוב המחקרים בתחום הם מתאמיים, ומעטים בחנו בתנאי ניסוי האם ניתן להעלות את תחושת המסוגלות של סטודנטים להוראה, ואיזה מקור עושה זאת ביעילות רבה יותר.</w:t>
      </w:r>
    </w:p>
    <w:p>
      <w:pPr>
        <w:bidi/>
        <w:spacing w:after="160" w:before="0" w:line="360"/>
        <w:jc w:val="both"/>
      </w:pPr>
      <w:r>
        <w:rPr>
          <w:rFonts w:ascii="David" w:cs="David" w:eastAsia="David" w:hAnsi="David"/>
          <w:b w:val="false"/>
          <w:bCs w:val="false"/>
          <w:i w:val="false"/>
          <w:iCs w:val="false"/>
          <w:color w:val="000000"/>
          <w:sz w:val="24"/>
          <w:szCs w:val="24"/>
          <w:rtl/>
        </w:rPr>
        <w:t xml:space="preserve">לפיכך, המחקר הנוכחי מבקש לבחון בתנאי מעבדה מבוקרים האם אינדוקציה קצרה מספיקה כדי להעלות את תחושת המסוגלות בקרב סטודנטים בהכשרה להוראה, ואיזה מבין שני מקורות החוללות, חוויית שליטה או חשיפה עקיפה, אפקטיבי יותר, בהשוואה לתנאי ביקורת נייטרלי. המשתנה הבלתי-תלוי במחקר הוא סוג מקור החוללות, בעל שלוש רמות (חוויית שליטה, חשיפה עקיפה וביקורת), והמשתנה התלוי הוא תחושת המסוגלות, שנמדדה בשני מדדים: חוללות עצמית כללית (NGSE) ותחושת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בהתאם לטענת בנדורה שחוויות שליטה הן המקור החזק ביותר, השערת המחקר הייתה שבשני המדדים קבוצת חוויית השליטה תדווח על המסוגלות הגבוהה ביותר, שקבוצת החשיפה העקיפה תדווח על מסוגלות גבוהה מן הביקורת אך נמוכה מחוויית השליטה, ושקבוצת הביקורת תדווח על המסוגלות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בהכשרה להוראה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עוצבה על בסיס מקורות החוללות של בנדורה (1997), ובפרט חוויות השליטה והחוויות העקיפות, וכן על בסיס פרדיגמת ההיזכרות בהצלחה (recall success) שנחקרה כאמצעי להעלאת ציפיות להצלחה. יש לציין כי השפעת ההיזכרות אינה אוטומטית ונמצאה תלויה בגורמים כמו קלות שליפת ההצלחה וייחוסה לגורמים יציבים (Abdulla &amp; Woods, 2025). 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bidi/>
        <w:spacing w:after="160" w:before="0" w:line="360"/>
        <w:jc w:val="both"/>
      </w:pPr>
      <w:r>
        <w:rPr>
          <w:rFonts w:ascii="David" w:cs="David" w:eastAsia="David" w:hAnsi="David"/>
          <w:b/>
          <w:bCs/>
          <w:i w:val="false"/>
          <w:iCs w:val="false"/>
          <w:color w:val="000000"/>
          <w:sz w:val="24"/>
          <w:szCs w:val="24"/>
          <w:rtl/>
        </w:rPr>
        <w:t xml:space="preserve">שאלון תחושת המסוגלות של המורה (TSES). </w:t>
      </w:r>
      <w:r>
        <w:rPr>
          <w:rFonts w:ascii="David" w:cs="David" w:eastAsia="David" w:hAnsi="David"/>
          <w:b w:val="false"/>
          <w:bCs w:val="false"/>
          <w:i w:val="false"/>
          <w:iCs w:val="false"/>
          <w:color w:val="000000"/>
          <w:sz w:val="24"/>
          <w:szCs w:val="24"/>
          <w:rtl/>
        </w:rPr>
        <w:t xml:space="preserve">למדידת תחושת המסוגלות בהקשר ההוראה נעשה שימוש בגרסה הקצרה של שאלון תחושת המסוגלות של המורה (Tschannen-Moran &amp; Woolfolk Hoy, 2001), הכוללת שנים-עשר היגדים בשלושה תת-סולמות: מעורבות תלמידים, אסטרטגיות הוראה וניהול כיתה. ההיגדים מדורגים בסולם בן תשע דרגות, מ-1 (כלל לא) עד 9 (במידה רבה מאוד). לדוגמה: "עד כמה תוכל/י לספק הסבר חלופי או דוגמה נוספת כאשר תלמידים מתקשים להבין?". ציון המסוגלות חושב כממוצע שנים-עשר ההיגדים, ולשאלון נמצאה מהימנות גבוהה (אלפא של קרונבך = .91) (ראו נספח 4).</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שני שאלוני המסוגלות, שאלון החוללות העצמית הכללית ושאלון תחושת המסוגלות של המורה.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pStyle w:val="Heading2"/>
        <w:bidi/>
        <w:spacing w:after="100" w:before="180"/>
        <w:jc w:val="right"/>
      </w:pPr>
      <w:r>
        <w:rPr>
          <w:rFonts w:ascii="David" w:cs="David" w:eastAsia="David" w:hAnsi="David"/>
          <w:b/>
          <w:bCs/>
          <w:i w:val="false"/>
          <w:iCs w:val="false"/>
          <w:color w:val="000000"/>
          <w:sz w:val="26"/>
          <w:szCs w:val="26"/>
          <w:rtl/>
        </w:rPr>
        <w:t xml:space="preserve">ניתוחים מקדימים</w:t>
      </w:r>
    </w:p>
    <w:p>
      <w:pPr>
        <w:bidi/>
        <w:spacing w:after="160" w:before="0" w:line="360"/>
        <w:jc w:val="both"/>
      </w:pPr>
      <w:r>
        <w:rPr>
          <w:rFonts w:ascii="David" w:cs="David" w:eastAsia="David" w:hAnsi="David"/>
          <w:b w:val="false"/>
          <w:bCs w:val="false"/>
          <w:i w:val="false"/>
          <w:iCs w:val="false"/>
          <w:color w:val="000000"/>
          <w:sz w:val="24"/>
          <w:szCs w:val="24"/>
          <w:rtl/>
        </w:rPr>
        <w:t xml:space="preserve">תחילה נבדקו הנתונים לקראת הניתוח. משתתפים שלא השלימו את שני השאלונים לא נכללו במדגם הסופי, ולכן לא נותרו נתונים חסרים. התפלגות הציונים בשני המדדים נבחנה, וערכי הצידוד (skewness) והגבנוניות (kurtosis) נמצאו בטווח המקובל (בין 1- ל-1), כך שהונחה התפלגות נורמלית מספקת לשימוש במבחנים פרמטריים. מהימנות שני השאלונים, כפי שדווחה בפרק הכלים, הייתה גבוהה (NGSE: α=.87; TSES: α=.91). כל הניתוחים בוצעו בתוכנת SPSS, ורמת המובהקות נקבעה על α=.05.</w:t>
      </w:r>
    </w:p>
    <w:p>
      <w:pPr>
        <w:pStyle w:val="Heading2"/>
        <w:bidi/>
        <w:spacing w:after="100" w:before="180"/>
        <w:jc w:val="right"/>
      </w:pPr>
      <w:r>
        <w:rPr>
          <w:rFonts w:ascii="David" w:cs="David" w:eastAsia="David" w:hAnsi="David"/>
          <w:b/>
          <w:bCs/>
          <w:i w:val="false"/>
          <w:iCs w:val="false"/>
          <w:color w:val="000000"/>
          <w:sz w:val="26"/>
          <w:szCs w:val="26"/>
          <w:rtl/>
        </w:rPr>
        <w:t xml:space="preserve">חוללות עצמית 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הכללית חושב כממוצע שמונת ההיגדים בשאלון עבור כל נבדק. משתתפי קבוצת חוויית השליטה קודדו כ-1, משתתפי קבוצת החשיפה העקיפה כ-2, ומשתתפי קבוצת הביקורת כ-3. ממוצעים וסטיות תקן של רמת החוללות בכל קבוצה מוצגים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הכללית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בטרם ניתוח השונות נבדקה הנחת שוויון השונויות באמצעות מבחן Levene, שלא נמצא מובהק, F(2,30)=0.34, p=.71, ולכן ההנחה לא הופרה. לבחינת השערת המחקר בוצע ניתוח שונות חד-גורמי בין נבדקים (One-Way ANOVA), שהעלה הבדל מובהק בין שלוש הקבוצות ברמת החוללות העצמית, F(2,30)=5.18, p=.012. גודל האפקט, אטא בריבוע, היה η²=.26, המצביע על אפקט גדול על-פי אמות המידה של כהן, שלפיהן ערך של η²=.14 נחשב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קבוצת חוויית השליטה (M=4.05, SD=0.57) דיווחה על חוללות גבוהה יותר מקבוצת הביקורת (M=3.30, SD=0.55), בהפרש ממוצעים של 0.75, הפרש שהיה מובהק (p=.008, 95% CI [0.17, 1.33]). לעומת זאת, ההפרש בין קבוצת החשיפה העקיפה (M=3.70, SD=0.52) לבין קבוצת הביקורת, שעמד על 0.40, לא הגיע למובהקות (p=.21, 95% CI [-0.18, 0.98]), וכך גם ההפרש בין חוויית השליטה לחשיפה העקיפה, שעמד על 0.35 (p=.30, 95% CI [-0.23, 0.93]). ממצאים אלו מוצגים באיור 1.</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תחושת המסוגלות של המורה (TSES)</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המסוגלות של המורה חושבה כממוצע שנים-עשר ההיגדים בשאלון. ממוצעים וסטיות תקן בכל קבוצה מוצגים בטבלה 2, ומהם עולה כי הממוצע עלה בהדרגה מקבוצת הביקורת, דרך החשיפה העקיפה, ועד חוויית השליטה.</w:t>
      </w:r>
    </w:p>
    <w:p>
      <w:pPr>
        <w:bidi/>
        <w:spacing w:after="80" w:before="80"/>
        <w:jc w:val="center"/>
      </w:pPr>
      <w:r>
        <w:rPr>
          <w:rFonts w:ascii="David" w:cs="David" w:eastAsia="David" w:hAnsi="David"/>
          <w:b/>
          <w:bCs/>
          <w:i w:val="false"/>
          <w:iCs w:val="false"/>
          <w:color w:val="000000"/>
          <w:sz w:val="24"/>
          <w:szCs w:val="24"/>
          <w:rtl/>
        </w:rPr>
        <w:t xml:space="preserve">טבלה 2</w:t>
      </w:r>
      <w:r>
        <w:rPr>
          <w:rFonts w:ascii="David" w:cs="David" w:eastAsia="David" w:hAnsi="David"/>
          <w:b w:val="false"/>
          <w:bCs w:val="false"/>
          <w:i w:val="false"/>
          <w:iCs w:val="false"/>
          <w:color w:val="000000"/>
          <w:sz w:val="24"/>
          <w:szCs w:val="24"/>
          <w:rtl/>
        </w:rPr>
        <w:t xml:space="preserve">: ממוצעים וסטיות תקן של תחושת המסוגלות של המורה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6.98</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0.76</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6.55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0.74</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6.10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0.78</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גם עבור מדד זה לא הופרה הנחת שוויון השונויות (Levene: F(2,30)=0.47, p=.63). ניתוח שונות חד-גורמי בין נבדקים העלה הבדל מובהק בין הקבוצות בתחושת המסוגלות של המורה, F(2,30)=3.69, p=.037, η²=.20, גודל אפקט בינוני עד גדול.</w:t>
      </w:r>
    </w:p>
    <w:p>
      <w:pPr>
        <w:bidi/>
        <w:spacing w:after="160" w:before="0" w:line="360"/>
        <w:jc w:val="both"/>
      </w:pPr>
      <w:r>
        <w:rPr>
          <w:rFonts w:ascii="David" w:cs="David" w:eastAsia="David" w:hAnsi="David"/>
          <w:b w:val="false"/>
          <w:bCs w:val="false"/>
          <w:i w:val="false"/>
          <w:iCs w:val="false"/>
          <w:color w:val="000000"/>
          <w:sz w:val="24"/>
          <w:szCs w:val="24"/>
          <w:rtl/>
        </w:rPr>
        <w:t xml:space="preserve">השוואות Tukey HSD הראו שקבוצת חוויית השליטה (M=6.98, SD=0.76) דיווחה על תחושת מסוגלות גבוהה יותר מקבוצת הביקורת (M=6.10, SD=0.78), בהפרש של 0.88 שהיה מובהק (p=.034, 95% CI [0.08, 1.68]). ההפרש בין קבוצת החשיפה העקיפה (M=6.55, SD=0.74) לבין הביקורת, שעמד על 0.45, לא היה מובהק (p=.32), וגם ההפרש בין חוויית השליטה לחשיפה העקיפה, שעמד על 0.43, לא הגיע למובהקות (p=.35). דפוס דומה, של עלייה מן הביקורת אל חוויית השליטה, נמצא בכל שלושת תת-הסולמות של השאלון (מעורבות תלמידים, אסטרטגיות הוראה וניהול כיתה), והבולט שבהם היה בתת-הסולם של אסטרטגיות ההוראה. ממצאי מדד זה מוצגים באיור 2.</w:t>
      </w:r>
    </w:p>
    <w:p>
      <w:pPr>
        <w:bidi/>
        <w:spacing w:after="60" w:before="120"/>
        <w:jc w:val="center"/>
      </w:pPr>
      <w:r>
        <w:drawing>
          <wp:inline distT="0" distB="0" distL="0" distR="0">
            <wp:extent cx="390525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28956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2</w:t>
      </w:r>
      <w:r>
        <w:rPr>
          <w:rFonts w:ascii="David" w:cs="David" w:eastAsia="David" w:hAnsi="David"/>
          <w:b w:val="false"/>
          <w:bCs w:val="false"/>
          <w:i w:val="false"/>
          <w:iCs w:val="false"/>
          <w:color w:val="000000"/>
          <w:sz w:val="24"/>
          <w:szCs w:val="24"/>
          <w:rtl/>
        </w:rPr>
        <w:t xml:space="preserve">: ממוצעי תחושת המסוגלות של המורה לפי קבוצה. קווי השגיאה מייצגים רווח סמך של 95%.</w:t>
      </w:r>
    </w:p>
    <w:p>
      <w:pPr>
        <w:pStyle w:val="Heading2"/>
        <w:bidi/>
        <w:spacing w:after="100" w:before="180"/>
        <w:jc w:val="right"/>
      </w:pPr>
      <w:r>
        <w:rPr>
          <w:rFonts w:ascii="David" w:cs="David" w:eastAsia="David" w:hAnsi="David"/>
          <w:b/>
          <w:bCs/>
          <w:i w:val="false"/>
          <w:iCs w:val="false"/>
          <w:color w:val="000000"/>
          <w:sz w:val="26"/>
          <w:szCs w:val="26"/>
          <w:rtl/>
        </w:rPr>
        <w:t xml:space="preserve">הקשר בין שני מדדי המסוגלות</w:t>
      </w:r>
    </w:p>
    <w:p>
      <w:pPr>
        <w:bidi/>
        <w:spacing w:after="160" w:before="0" w:line="360"/>
        <w:jc w:val="both"/>
      </w:pPr>
      <w:r>
        <w:rPr>
          <w:rFonts w:ascii="David" w:cs="David" w:eastAsia="David" w:hAnsi="David"/>
          <w:b w:val="false"/>
          <w:bCs w:val="false"/>
          <w:i w:val="false"/>
          <w:iCs w:val="false"/>
          <w:color w:val="000000"/>
          <w:sz w:val="24"/>
          <w:szCs w:val="24"/>
          <w:rtl/>
        </w:rPr>
        <w:t xml:space="preserve">לבסוף נבחן הקשר בין שני מדדי המסוגלות באמצעות מתאם פירסון. נמצא מתאם חיובי בינוני-גבוה בין החוללות העצמית הכללית לבין תחושת המסוגלות של המורה, r(31)=.52, p=.002, כך שככל שתחושת החוללות הכללית של המשתתף גבוהה יותר, כך נטתה להיות גבוהה יותר גם תחושת המסוגלות שלו בהקשר ההוראה. מתאם זה עולה בקנה אחד עם התפיסה שמסוגלות עצמית כללית מהווה בסיס למסוגלות ספציפית לתחום.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המסוגלות של סטודנטים בהכשרה להוראה, בשני מדדים: חוללות עצמית כללית ותחושת המסוגלות של המורה. ההשערה אוששה באופן חלקי בשני המדדים. בשניהם קבוצת חוויית השליטה דיווחה על המסוגלות הגבוהה ביותר ונבדלה באופן מובהק מקבוצת הביקורת, בעוד שקבוצת החשיפה העקיפה נמצאה בתווך אך לא נבדלה מהביקורת באופן מובהק. עם זאת, גודל האפקט בתחושת המסוגלות של המורה היה מעט קטן יותר מזה שנמצא בחוללות הכללית.</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המסוגלות, בשני המדדים,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 העובדה שהאפקט על תחושת המסוגלות של המורה היה מעט חלש יותר מתיישבת עם התפיסה שמסוגלות ספציפית לתחום ההוראה מעוגנת יותר בהתנסות ההוראה עצמה, ולכן פחות רגישה לאינדוקציה קצרה וכללית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חשוב לציין שגם השפעתה של ההיזכרות בהצלחה אינה מובטחת. עבודתם של אבדולה ווודס (Abdulla &amp; Woods, 2025) מראה כי אפקט ההיזכרות על הציפיות תלוי בקלות שבה נשלפת ההצלחה מהזיכרון ובאופן שבו היא מיוחסת, ולכן ייתכן שחלק מהמשתתפים בתנאי חוויית השליטה הפיקו מהמניפולציה יותר מאחרים. שילוב של מבחן מניפולציה ושל מדדים למשתנים אלה במחקרי המשך יוכל להבהיר נקודה זו.</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מדובר במדגם נוחות קטן (N=33) המורכב מסטודנטים בהכשרה להוראה בלבד, ולכן ההכללה לאוכלוסייה הרחבה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בהכשרת מורים ובהקשרים חינוכיים. חיזוק תחושת המסוגלות של סטודנטים להוראה כבר בשלב ההכשרה עשוי לתרום בהמשך לתחושת המסוגלות המקצועית שלהם, למחויבותם למקצוע ולהתמודדותם עם שחיקה.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Abdulla, A., &amp; Woods, R. (2025). “I did it before, so I can do it again(?)”: Recalling success, expectations of future success and the impact of ease-of-retrieval and attributions. </w:t>
      </w:r>
      <w:r>
        <w:rPr>
          <w:rFonts w:ascii="David" w:cs="David" w:eastAsia="David" w:hAnsi="David"/>
          <w:i/>
          <w:iCs/>
          <w:sz w:val="24"/>
          <w:szCs w:val="24"/>
        </w:rPr>
        <w:t xml:space="preserve">Psychological Research, 89</w:t>
      </w:r>
      <w:r>
        <w:rPr>
          <w:rFonts w:ascii="David" w:cs="David" w:eastAsia="David" w:hAnsi="David"/>
          <w:i w:val="false"/>
          <w:iCs w:val="false"/>
          <w:sz w:val="24"/>
          <w:szCs w:val="24"/>
        </w:rPr>
        <w:t xml:space="preserve">, Article 117. https://doi.org/10.1007/s00426-025-02136-x</w:t>
      </w:r>
    </w:p>
    <w:p>
      <w:pPr>
        <w:spacing w:after="140" w:line="360"/>
        <w:ind w:left="720" w:hanging="720"/>
        <w:jc w:val="left"/>
      </w:pPr>
      <w:r>
        <w:rPr>
          <w:rFonts w:ascii="David" w:cs="David" w:eastAsia="David" w:hAnsi="David"/>
          <w:i w:val="false"/>
          <w:iCs w:val="false"/>
          <w:sz w:val="24"/>
          <w:szCs w:val="24"/>
        </w:rPr>
        <w:t xml:space="preserve">Artino, A. R. (2012). Academic self-efficacy: From educational theory to instructional practice. </w:t>
      </w:r>
      <w:r>
        <w:rPr>
          <w:rFonts w:ascii="David" w:cs="David" w:eastAsia="David" w:hAnsi="David"/>
          <w:i/>
          <w:iCs/>
          <w:sz w:val="24"/>
          <w:szCs w:val="24"/>
        </w:rPr>
        <w:t xml:space="preserve">Perspectives on Medical Education, 1</w:t>
      </w:r>
      <w:r>
        <w:rPr>
          <w:rFonts w:ascii="David" w:cs="David" w:eastAsia="David" w:hAnsi="David"/>
          <w:i w:val="false"/>
          <w:iCs w:val="false"/>
          <w:sz w:val="24"/>
          <w:szCs w:val="24"/>
        </w:rPr>
        <w:t xml:space="preserve">(2), 76-85. https://doi.org/10.1007/s40037-012-0012-5</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Rossi, A. A., Mannarini, S., Taccini, F., Castelnuovo, G., &amp; Pietrabissa, G. (2025). The Italian version of the New General Self-Efficacy Scale (NGSES): Structural validity, psychometric properties, and measurement invariance. </w:t>
      </w:r>
      <w:r>
        <w:rPr>
          <w:rFonts w:ascii="David" w:cs="David" w:eastAsia="David" w:hAnsi="David"/>
          <w:i/>
          <w:iCs/>
          <w:sz w:val="24"/>
          <w:szCs w:val="24"/>
        </w:rPr>
        <w:t xml:space="preserve">Journal of Clinical Medicine, 14</w:t>
      </w:r>
      <w:r>
        <w:rPr>
          <w:rFonts w:ascii="David" w:cs="David" w:eastAsia="David" w:hAnsi="David"/>
          <w:i w:val="false"/>
          <w:iCs w:val="false"/>
          <w:sz w:val="24"/>
          <w:szCs w:val="24"/>
        </w:rPr>
        <w:t xml:space="preserve">(6), 1988. https://doi.org/10.3390/jcm14061988</w:t>
      </w:r>
    </w:p>
    <w:p>
      <w:pPr>
        <w:spacing w:after="140" w:line="360"/>
        <w:ind w:left="720" w:hanging="720"/>
        <w:jc w:val="left"/>
      </w:pP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 https://doi.org/10.1016/S0742-051X(01)00036-1</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00" w:before="0" w:line="360"/>
        <w:jc w:val="both"/>
      </w:pPr>
      <w:r>
        <w:rPr>
          <w:rFonts w:ascii="David" w:cs="David" w:eastAsia="David" w:hAnsi="David"/>
          <w:b/>
          <w:bCs/>
          <w:i w:val="false"/>
          <w:iCs w:val="false"/>
          <w:color w:val="000000"/>
          <w:sz w:val="24"/>
          <w:szCs w:val="24"/>
          <w:rtl/>
        </w:rPr>
        <w:t xml:space="preserve">בסיס המניפולציה: </w:t>
      </w:r>
      <w:r>
        <w:rPr>
          <w:rFonts w:ascii="David" w:cs="David" w:eastAsia="David" w:hAnsi="David"/>
          <w:b w:val="false"/>
          <w:bCs w:val="false"/>
          <w:i w:val="false"/>
          <w:iCs w:val="false"/>
          <w:color w:val="000000"/>
          <w:sz w:val="24"/>
          <w:szCs w:val="24"/>
          <w:rtl/>
        </w:rPr>
        <w:t xml:space="preserve">שלוש הרמות מבוססות על תיאוריית בנדורה (Bandura, 1997) בדבר מקורות החוללות העצמית. תנאי הניסוי מפעיל חוויית שליטה (התנסות בהצלחה), תנאי ההשוואה מפעיל חוויה עקיפה (התבוננות במודל מצליח), ותנאי הביקורת נייטרלי. תנאי חוויית השליטה נשען גם על פרדיגמת ההיזכרות בהצלחה, שנחקרה כאמצעי להעלאת ציפיות להצלחה, אם כי השפעתה נמצאה מותנית בקלות השליפה ובאופן ייחוס ההצלחה (Abdulla &amp; Woods, 2025).</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החוללות העצמית הכללית (New General Self-Efficacy Scale) פותח ותוקף בעברית ובאנגלית על ידי צ'ן, גאלי ואדן (Chen, Gully, &amp; Eden, 2001), מתוך ביקורת על כלים קודמים למדידת חוללות כללית. השאלון כולל שמונה היגדים המדורגים בסולם ליקרט בן חמש דרגות, מ-1 (מתנגד מאוד) עד 5 (מסכים מאוד), וציון החוללות מחושב כממוצע הפריטים. במחקרי התיקוף נמצאה עקיבות פנימית גבוהה (α בין .85 ל-.90), ובמחקר הנוכחי נמצאה מהימנות טובה של α=.87.</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w:t>
      </w:r>
    </w:p>
    <w:p>
      <w:r>
        <w:br w:type="page"/>
      </w:r>
    </w:p>
    <w:p>
      <w:pPr>
        <w:pStyle w:val="Heading2"/>
        <w:bidi/>
        <w:spacing w:after="100" w:before="180"/>
        <w:jc w:val="right"/>
      </w:pPr>
      <w:r>
        <w:rPr>
          <w:rFonts w:ascii="David" w:cs="David" w:eastAsia="David" w:hAnsi="David"/>
          <w:b/>
          <w:bCs/>
          <w:i w:val="false"/>
          <w:iCs w:val="false"/>
          <w:color w:val="000000"/>
          <w:sz w:val="26"/>
          <w:szCs w:val="26"/>
          <w:rtl/>
        </w:rPr>
        <w:t xml:space="preserve">נספח 4 - שאלון תחושת המסוגלות של המורה (TSES; Tschannen-Moran &amp; Woolfolk Hoy, 2001)</w:t>
      </w:r>
    </w:p>
    <w:p>
      <w:pPr>
        <w:bidi/>
        <w:spacing w:after="160" w:before="0" w:line="360"/>
        <w:jc w:val="both"/>
      </w:pPr>
      <w:r>
        <w:rPr>
          <w:rFonts w:ascii="David" w:cs="David" w:eastAsia="David" w:hAnsi="David"/>
          <w:b w:val="false"/>
          <w:bCs w:val="false"/>
          <w:i w:val="false"/>
          <w:iCs w:val="false"/>
          <w:color w:val="000000"/>
          <w:sz w:val="24"/>
          <w:szCs w:val="24"/>
          <w:rtl/>
        </w:rPr>
        <w:t xml:space="preserve">לכל היגד סמן/י את המספר המתאר עד כמה את/ה מסוגל/ת לעשות זאת, בסולם שבין 1 (כלל לא) ל-9 (במידה רבה מאוד).</w:t>
      </w:r>
    </w:p>
    <w:p>
      <w:pPr>
        <w:bidi/>
        <w:spacing w:after="100" w:before="0" w:line="360"/>
        <w:jc w:val="both"/>
      </w:pPr>
      <w:r>
        <w:rPr>
          <w:rFonts w:ascii="David" w:cs="David" w:eastAsia="David" w:hAnsi="David"/>
          <w:b w:val="false"/>
          <w:bCs w:val="false"/>
          <w:i/>
          <w:iCs/>
          <w:color w:val="000000"/>
          <w:sz w:val="24"/>
          <w:szCs w:val="24"/>
          <w:rtl/>
        </w:rPr>
        <w:t xml:space="preserve">סולם התשובות: 1 = כלל לא, 3 = במידה מועטה, 5 = במידה מסוימת, 7 = במידה רבה, 9 = במידה רבה מאוד.</w:t>
      </w:r>
    </w:p>
    <w:p>
      <w:pPr>
        <w:bidi/>
        <w:spacing w:after="60" w:before="0" w:line="360"/>
        <w:jc w:val="both"/>
      </w:pPr>
      <w:r>
        <w:rPr>
          <w:rFonts w:ascii="David" w:cs="David" w:eastAsia="David" w:hAnsi="David"/>
          <w:b/>
          <w:bCs/>
          <w:i w:val="false"/>
          <w:iCs w:val="false"/>
          <w:color w:val="000000"/>
          <w:sz w:val="24"/>
          <w:szCs w:val="24"/>
          <w:rtl/>
        </w:rPr>
        <w:t xml:space="preserve">מעורבות תלמידים</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שאינם מגלים עניין בלימודים להתעניין בהם?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להאמין שהם מסוגלים להצליח בלימודים?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לעזור לתלמידים להעריך את הלמידה?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לסייע למשפחות בעזרה לילדיהן להצליח בלימודים?        1  2  3  4  5  6  7  8  9</w:t>
      </w:r>
    </w:p>
    <w:p>
      <w:pPr>
        <w:bidi/>
        <w:spacing w:after="60" w:before="80" w:line="360"/>
        <w:jc w:val="both"/>
      </w:pPr>
      <w:r>
        <w:rPr>
          <w:rFonts w:ascii="David" w:cs="David" w:eastAsia="David" w:hAnsi="David"/>
          <w:b/>
          <w:bCs/>
          <w:i w:val="false"/>
          <w:iCs w:val="false"/>
          <w:color w:val="000000"/>
          <w:sz w:val="24"/>
          <w:szCs w:val="24"/>
          <w:rtl/>
        </w:rPr>
        <w:t xml:space="preserve">אסטרטגיות הוראה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לנסח שאלות טובות עבור תלמידיך?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להשתמש במגוון דרכי הערכה?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לספק הסבר חלופי או דוגמה נוספת כאשר תלמידים מתקשים להבין?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ליישם דרכי הוראה חלופיות בכיתתך?        1  2  3  4  5  6  7  8  9</w:t>
      </w:r>
    </w:p>
    <w:p>
      <w:pPr>
        <w:bidi/>
        <w:spacing w:after="60" w:before="80" w:line="360"/>
        <w:jc w:val="both"/>
      </w:pPr>
      <w:r>
        <w:rPr>
          <w:rFonts w:ascii="David" w:cs="David" w:eastAsia="David" w:hAnsi="David"/>
          <w:b/>
          <w:bCs/>
          <w:i w:val="false"/>
          <w:iCs w:val="false"/>
          <w:color w:val="000000"/>
          <w:sz w:val="24"/>
          <w:szCs w:val="24"/>
          <w:rtl/>
        </w:rPr>
        <w:t xml:space="preserve">ניהול כיתה</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לשלוט בהתנהגות משבשת בכיתה?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לגרום לתלמידים לציית לכללי הכיתה?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עד כמה תוכל/י להרגיע תלמיד/ה משבש/ת או רועש/ת?        1  2  3  4  5  6  7  8  9</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באיזו מידה תוכל/י לבסס מערכת ניהול כיתה עם כל קבוצת תלמידים?        1  2  3  4  5  6  7  8  9</w:t>
      </w:r>
    </w:p>
    <w:p>
      <w:pPr>
        <w:bidi/>
        <w:spacing w:after="160" w:before="120" w:line="360"/>
        <w:jc w:val="both"/>
      </w:pPr>
      <w:r>
        <w:rPr>
          <w:rFonts w:ascii="David" w:cs="David" w:eastAsia="David" w:hAnsi="David"/>
          <w:b/>
          <w:bCs/>
          <w:i w:val="false"/>
          <w:iCs w:val="false"/>
          <w:color w:val="000000"/>
          <w:sz w:val="24"/>
          <w:szCs w:val="24"/>
          <w:rtl/>
        </w:rPr>
        <w:t xml:space="preserve">על השאלון ומקורו: </w:t>
      </w:r>
      <w:r>
        <w:rPr>
          <w:rFonts w:ascii="David" w:cs="David" w:eastAsia="David" w:hAnsi="David"/>
          <w:b w:val="false"/>
          <w:bCs w:val="false"/>
          <w:i w:val="false"/>
          <w:iCs w:val="false"/>
          <w:color w:val="000000"/>
          <w:sz w:val="24"/>
          <w:szCs w:val="24"/>
          <w:rtl/>
        </w:rPr>
        <w:t xml:space="preserve">שאלון תחושת המסוגלות של המורה (Teachers' Sense of Efficacy Scale) פותח על ידי טשאנן-מורן ו-וולפוק הוי (Tschannen-Moran &amp; Woolfolk Hoy, 2001), ומעוגן בתיאוריה החברתית-קוגניטיבית של בנדורה. הגרסה הקצרה כוללת שנים-עשר היגדים בשלושה תת-סולמות: מעורבות תלמידים, אסטרטגיות הוראה וניהול כיתה, המדורגים בסולם בן תשע דרגות. הכלי הפך למדד הנפוץ ביותר לתחושת המסוגלות של מורים ומתאים גם לסטודנטים בהכשרה להוראה. במחקר הנוכחי נמצאה מהימנות של α=.91.</w:t>
      </w:r>
    </w:p>
    <w:p>
      <w:pPr>
        <w:bidi/>
        <w:spacing w:after="160" w:before="0" w:line="360"/>
        <w:jc w:val="both"/>
      </w:pPr>
      <w:r>
        <w:rPr>
          <w:rFonts w:ascii="David" w:cs="David" w:eastAsia="David" w:hAnsi="David"/>
          <w:b/>
          <w:bCs/>
          <w:i w:val="false"/>
          <w:iCs w:val="false"/>
          <w:color w:val="000000"/>
          <w:sz w:val="24"/>
          <w:szCs w:val="24"/>
          <w:rtl/>
        </w:rPr>
        <w:t xml:space="preserve">מקור: </w:t>
      </w:r>
      <w:r>
        <w:rPr>
          <w:rFonts w:ascii="David" w:cs="David" w:eastAsia="David" w:hAnsi="David"/>
          <w:i w:val="false"/>
          <w:iCs w:val="false"/>
          <w:sz w:val="24"/>
          <w:szCs w:val="24"/>
        </w:rPr>
        <w:t xml:space="preserve">Tschannen-Moran, M., &amp; Woolfolk Hoy, A. (2001). Teacher efficacy: Capturing an elusive construct. </w:t>
      </w:r>
      <w:r>
        <w:rPr>
          <w:rFonts w:ascii="David" w:cs="David" w:eastAsia="David" w:hAnsi="David"/>
          <w:i/>
          <w:iCs/>
          <w:sz w:val="24"/>
          <w:szCs w:val="24"/>
        </w:rPr>
        <w:t xml:space="preserve">Teaching and Teacher Education, 17</w:t>
      </w:r>
      <w:r>
        <w:rPr>
          <w:rFonts w:ascii="David" w:cs="David" w:eastAsia="David" w:hAnsi="David"/>
          <w:i w:val="false"/>
          <w:iCs w:val="false"/>
          <w:sz w:val="24"/>
          <w:szCs w:val="24"/>
        </w:rPr>
        <w:t xml:space="preserve">(7), 783-805.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13a59162631ed6d7541b1a7ea512e480c5249c.jpg"/><Relationship Id="rId9" Type="http://schemas.openxmlformats.org/officeDocument/2006/relationships/image" Target="media/c901c12da345ee0631c5753ee5dd0f978deb4d6d.png"/><Relationship Id="rId10" Type="http://schemas.openxmlformats.org/officeDocument/2006/relationships/image" Target="media/5dc292dbc3b63c0dd2ef34a8ab8d82eee1fd8a7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2026-07-27T10:41:34.541Z</dcterms:created>
  <dcterms:modified xsi:type="dcterms:W3CDTF">2026-07-27T10:41:34.541Z</dcterms:modified>
</cp:coreProperties>
</file>

<file path=docProps/custom.xml><?xml version="1.0" encoding="utf-8"?>
<Properties xmlns="http://schemas.openxmlformats.org/officeDocument/2006/custom-properties" xmlns:vt="http://schemas.openxmlformats.org/officeDocument/2006/docPropsVTypes"/>
</file>