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pPr>
        <w:bidi/>
        <w:spacing w:after="120" w:line="360"/>
        <w:jc w:val="center"/>
      </w:pPr>
      <w:r>
        <w:rPr>
          <w:rFonts w:ascii="David" w:cs="David" w:eastAsia="David" w:hAnsi="David"/>
          <w:sz w:val="24"/>
          <w:szCs w:val="24"/>
          <w:rtl/>
        </w:rPr>
        <w:t xml:space="preserve">מרצה: ד"ר יוחנן ועקנין</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ageBreakBefore/>
        <w:bidi/>
        <w:spacing w:after="24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עבודתו של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שתיאר את "כאבי המאסר": אובדן החירות, אובדן טובין ושירותים, אובדן קשרים אינטימיים, אובדן האוטונומיה ואובדן תחושת הביטחון. סייקס ראה בכאבים אלו לא רק אי-נוחות אלא איום על תפיסת העצמי של האסיר, וטען שחיי האגף הם תגובה קולקטיבית לאיום זה. מודל המחסור שנגזר מעבודתו מניח שהתנהגות האסיר היא תוצאה ישירה של סביבת בית הסוהר, ולכן תנאי כליאה נוקשים צפויים להוליד התנהגות שלילית יותר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חמשת הכאבים הללו הם הבסיס שממנו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הראו שהשפעות המאסר אינן אחידות: תקופת הקליטה היא הפגיעה ביותר, והמצוקה הנפשית מרוכזת בשבועות הראשונים.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הוסיפה מסגרת מושגית שקראה לה "הביצוע המוסרי" של בית הסוהר, שכולל כבוד, אנושיות, יחסים עם הסגל, הוגנות וביטחון, ומצאה שממדים אלו נבדלים בין מוסדות ומתואמים עם רמת המצוקה של האסירים.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סף אמפירי: בבתי סוהר שבהם ציון היחסים בין סגל לאסירים נמוך מ</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שיעורי האלימות, הפגיעה העצמית והמוות נמצאו גבוהים באופן מובהק. בהולנד מצאו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באמצעות סקר "החיים במשמורת" שממנו נגזר גם השאלון הישראלי, שממדי האקלים של בית הסוהר, ובראשם היחסים עם הסגל, קשורים לרווחתם הנפשית של האסירים.</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בייארסברגן ואחרים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ראיינו </w:t>
      </w:r>
      <w:r>
        <w:rPr>
          <w:rFonts w:ascii="Times New Roman" w:cs="Times New Roman" w:eastAsia="Times New Roman" w:hAnsi="Times New Roman"/>
          <w:sz w:val="24"/>
          <w:szCs w:val="24"/>
        </w:rPr>
        <w:t xml:space="preserve">824</w:t>
      </w:r>
      <w:r>
        <w:rPr>
          <w:rFonts w:ascii="David" w:cs="David" w:eastAsia="David" w:hAnsi="David"/>
          <w:sz w:val="24"/>
          <w:szCs w:val="24"/>
          <w:rtl/>
        </w:rPr>
        <w:t xml:space="preserve"> אסירים גברים שלושה שבועות ושלושה חודשים לאחר קליטתם, ומצאו שתפיסה של יחס הוגן מצד הסוהרים בזמן הראשון ניבאה פחות בעיות נפשיות בזמן השני. באוסטרליה הראו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שצדק פרוצדורלי קשור לרווחה נפשית גבוהה יותר לאורך זמן, ושהקשר עובר בחלקו דרך איכות היחסים עם הסגל, ואילו תחושת הביטחון בבית הסוהר לא ניבאה רווחה לאורך זמן. גם בבתי מעצר בארצות הברית נמצא שתפיסה גבוהה של צדק פרוצדורלי קשורה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כיוון ההשפעה במחקרים אלו הוא מיחס הסגל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המודל המבוסס-תהליך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הוא הבסיס התאורטי של רוב מחקרי הלגיטימיות בכליאה. טיילר הראה, בתחילה ביחס למשטרה ולבתי המשפט, שאנשים מצייתים לחוק בעיקר משום שהם תופסים את הרשות כלגיטימית, ושהלגיטימיות נבנית דרך צדק פרוצדורלי: מתן קול, ניטרליות בקבלת החלטות, יחס מכבד ותחושה שהרשות פועלת בתום לב.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העבירו את המודל אל בית הסוהר וטענו שדווקא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שני ממצאים נוספים חשובים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הוסיפו שהלגיטימיות שנבנית בבית הסוהר "נשפכת" החוצה: אסירים שחשו שהסגל נהג בהם בהוגנות תפסו גם את קצין המבחן שלהם כהוגן יותר, וסיכוייהם להיות מורשעים שוב בתוך שנה היו נמוכים יותר.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1"/>
        <w:pageBreakBefore/>
        <w:bidi/>
        <w:spacing w:after="240" w:before="0" w:line="360"/>
        <w:jc w:val="right"/>
      </w:pPr>
      <w:r>
        <w:rPr>
          <w:rFonts w:ascii="David" w:cs="David" w:eastAsia="David" w:hAnsi="David"/>
          <w:b/>
          <w:bCs/>
          <w:sz w:val="32"/>
          <w:szCs w:val="32"/>
          <w:rtl/>
        </w:rPr>
        <w:t xml:space="preserve">שאלת המחקר והשערת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שפותח ונבדק בבתי הסוהר בהולנד וכולל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w:t>
      </w:r>
      <w:r>
        <w:rPr>
          <w:rFonts w:ascii="Times New Roman" w:cs="Times New Roman" w:eastAsia="Times New Roman" w:hAnsi="Times New Roman"/>
          <w:sz w:val="24"/>
          <w:szCs w:val="24"/>
        </w:rPr>
        <w:t xml:space="preserve">-21</w:t>
      </w:r>
      <w:r>
        <w:rPr>
          <w:rFonts w:ascii="David" w:cs="David" w:eastAsia="David" w:hAnsi="David"/>
          <w:sz w:val="24"/>
          <w:szCs w:val="24"/>
          <w:rtl/>
        </w:rPr>
        <w:t xml:space="preserve"> נושאים, עם מהימנויות של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0.90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מרכיבים של צדק פרוצדורלי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נגישות ומתן קול, יחס מכבד, והוגנות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ורגרסיה ליניארית עדיין תקפים, אך כדי להיות בטוחות חושב לצד מתאם פירסון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עבודתו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על מתן קול כמרכיב הצדק הפרוצדורלי, ועם הממצא ההולנדי שלפיו יחסי הסגל הם ממד האקלים הקשור ביותר לרווחה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פער בגודל כזה בין קבוצות שנבדלות רק בתפיסת הסגל דומה בעוצמתו לפער שמצאו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בין בתי סוהר שמעל ומתחת לסף היחסים שזיהו.</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שלפיו הציות לסמכות נובע מתפיסתה כלגיטימית, ועל ספרות ההסתגלות למאסר שתיארה את הפגיעה ברווחה הנפשית כחלק בלתי נפרד מחוויית הכליאה </w:t>
      </w:r>
      <w:r>
        <w:rPr>
          <w:rFonts w:ascii="Times New Roman" w:cs="Times New Roman" w:eastAsia="Times New Roman" w:hAnsi="Times New Roman"/>
          <w:sz w:val="24"/>
          <w:szCs w:val="24"/>
        </w:rPr>
        <w:t xml:space="preserve">(Sykes, 1958; Liebling &amp; Maruna, 2005)</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ההולנדי, שבו יחס הוגן מצד הסוהרים ניבא פחות בעיות נפשיות בהמשך המאסר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ועם המחקר האוסטרלי, שבו צדק פרוצדורלי ניבא רווחה גבוהה יותר דרך איכות היחסים עם הסגל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הממצא שיחסי אמון עם הסגל הם המרכיב שמלווה את האסיר גם אחרי השחרור </w:t>
      </w:r>
      <w:r>
        <w:rPr>
          <w:rFonts w:ascii="Times New Roman" w:cs="Times New Roman" w:eastAsia="Times New Roman" w:hAnsi="Times New Roman"/>
          <w:sz w:val="24"/>
          <w:szCs w:val="24"/>
        </w:rPr>
        <w:t xml:space="preserve">(Horowitz &amp; Hyatt,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הממצא מתיישב גם עם הטענה של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שממדים כמו כבוד, אנושיות ויחסים עם הסגל מתואמים עם רמת המצוקה של האסירים,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הסף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האמריקני שלפיו צדק פרוצדורלי קשור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מצביע על אותו כיוון.</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ממצאי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בדבר ה"שפיכה" של הלגיטימיות אל מחוץ לחומות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המחקרים ההולנדי והאוסטרלי הראו שאפשר לענות על שאלה זו רק במערך אורך עם שתי מדידות לפחות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בן צבי, ק' וכרמל, ת'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אלימות כלואה: הקשר בין רמת צפיפות בבתי סוהר פליליים בישראל לרמת האלימות הפיזית. צוהר לבית הסוהר,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28-44.</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spacing w:after="120" w:line="360"/>
        <w:ind w:left="709" w:hanging="709"/>
        <w:jc w:val="left"/>
      </w:pPr>
      <w:r>
        <w:rPr>
          <w:rFonts w:ascii="Times New Roman" w:cs="Times New Roman" w:eastAsia="Times New Roman" w:hAnsi="Times New Roman"/>
          <w:i w:val="false"/>
          <w:iCs w:val="false"/>
          <w:sz w:val="24"/>
          <w:szCs w:val="24"/>
        </w:rPr>
        <w:t xml:space="preserve">Abderhalden, F. P., &amp; Alward, L. (2024). Jailed individuals' perceptions of procedural justice and suicidal ideation: An empirical examination. </w:t>
      </w:r>
      <w:r>
        <w:rPr>
          <w:rFonts w:ascii="Times New Roman" w:cs="Times New Roman" w:eastAsia="Times New Roman" w:hAnsi="Times New Roman"/>
          <w:i/>
          <w:iCs/>
          <w:sz w:val="24"/>
          <w:szCs w:val="24"/>
        </w:rPr>
        <w:t xml:space="preserve">Crime &amp; Delinquency, 70</w:t>
      </w:r>
      <w:r>
        <w:rPr>
          <w:rFonts w:ascii="Times New Roman" w:cs="Times New Roman" w:eastAsia="Times New Roman" w:hAnsi="Times New Roman"/>
          <w:i w:val="false"/>
          <w:iCs w:val="false"/>
          <w:sz w:val="24"/>
          <w:szCs w:val="24"/>
        </w:rPr>
        <w:t xml:space="preserve">(2), 414-440. https://doi.org/10.1177/00111287221106942</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Eichelsheim, V. I., van der Laan, P. H., &amp; Nieuwbeerta, P. (2014). Procedural justice and prisoners' mental health problems: A longitudinal study. </w:t>
      </w:r>
      <w:r>
        <w:rPr>
          <w:rFonts w:ascii="Times New Roman" w:cs="Times New Roman" w:eastAsia="Times New Roman" w:hAnsi="Times New Roman"/>
          <w:i/>
          <w:iCs/>
          <w:sz w:val="24"/>
          <w:szCs w:val="24"/>
        </w:rPr>
        <w:t xml:space="preserve">Criminal Behaviour and Mental Health, 24</w:t>
      </w:r>
      <w:r>
        <w:rPr>
          <w:rFonts w:ascii="Times New Roman" w:cs="Times New Roman" w:eastAsia="Times New Roman" w:hAnsi="Times New Roman"/>
          <w:i w:val="false"/>
          <w:iCs w:val="false"/>
          <w:sz w:val="24"/>
          <w:szCs w:val="24"/>
        </w:rPr>
        <w:t xml:space="preserve">(2), 100-112. https://doi.org/10.1002/cbm.1881</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Horowitz, V. L., &amp; Hyatt, J. M. (2025). Trusting relationships in prison and well-being after release. </w:t>
      </w:r>
      <w:r>
        <w:rPr>
          <w:rFonts w:ascii="Times New Roman" w:cs="Times New Roman" w:eastAsia="Times New Roman" w:hAnsi="Times New Roman"/>
          <w:i/>
          <w:iCs/>
          <w:sz w:val="24"/>
          <w:szCs w:val="24"/>
        </w:rPr>
        <w:t xml:space="preserve">International Journal of Law, Crime and Justice, 82</w:t>
      </w:r>
      <w:r>
        <w:rPr>
          <w:rFonts w:ascii="Times New Roman" w:cs="Times New Roman" w:eastAsia="Times New Roman" w:hAnsi="Times New Roman"/>
          <w:i w:val="false"/>
          <w:iCs w:val="false"/>
          <w:sz w:val="24"/>
          <w:szCs w:val="24"/>
        </w:rPr>
        <w:t xml:space="preserve">, Article 100755. https://www.sciencedirect.com/science/article/pii/S2666560325001513</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(2004). </w:t>
      </w:r>
      <w:r>
        <w:rPr>
          <w:rFonts w:ascii="Times New Roman" w:cs="Times New Roman" w:eastAsia="Times New Roman" w:hAnsi="Times New Roman"/>
          <w:i/>
          <w:iCs/>
          <w:sz w:val="24"/>
          <w:szCs w:val="24"/>
        </w:rPr>
        <w:t xml:space="preserve">Prisons and their moral performance: A study of values, quality, and prison life</w:t>
      </w:r>
      <w:r>
        <w:rPr>
          <w:rFonts w:ascii="Times New Roman" w:cs="Times New Roman" w:eastAsia="Times New Roman" w:hAnsi="Times New Roman"/>
          <w:i w:val="false"/>
          <w:iCs w:val="false"/>
          <w:sz w:val="24"/>
          <w:szCs w:val="24"/>
        </w:rPr>
        <w:t xml:space="preserve">. Oxford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&amp; Maruna, S. (Eds.). (2005). </w:t>
      </w:r>
      <w:r>
        <w:rPr>
          <w:rFonts w:ascii="Times New Roman" w:cs="Times New Roman" w:eastAsia="Times New Roman" w:hAnsi="Times New Roman"/>
          <w:i/>
          <w:iCs/>
          <w:sz w:val="24"/>
          <w:szCs w:val="24"/>
        </w:rPr>
        <w:t xml:space="preserve">The effects of imprisonment</w:t>
      </w:r>
      <w:r>
        <w:rPr>
          <w:rFonts w:ascii="Times New Roman" w:cs="Times New Roman" w:eastAsia="Times New Roman" w:hAnsi="Times New Roman"/>
          <w:i w:val="false"/>
          <w:iCs w:val="false"/>
          <w:sz w:val="24"/>
          <w:szCs w:val="24"/>
        </w:rPr>
        <w:t xml:space="preserve">. Willan.</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w:t>
      </w:r>
      <w:r>
        <w:rPr>
          <w:rFonts w:ascii="Times New Roman" w:cs="Times New Roman" w:eastAsia="Times New Roman" w:hAnsi="Times New Roman"/>
          <w:i w:val="false"/>
          <w:iCs w:val="false"/>
          <w:sz w:val="24"/>
          <w:szCs w:val="24"/>
        </w:rPr>
        <w:t xml:space="preserve">. Advance online publication.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Sykes, G. M. (1958). </w:t>
      </w:r>
      <w:r>
        <w:rPr>
          <w:rFonts w:ascii="Times New Roman" w:cs="Times New Roman" w:eastAsia="Times New Roman" w:hAnsi="Times New Roman"/>
          <w:i/>
          <w:iCs/>
          <w:sz w:val="24"/>
          <w:szCs w:val="24"/>
        </w:rPr>
        <w:t xml:space="preserve">The society of captives: A study of a maximum security prison</w:t>
      </w:r>
      <w:r>
        <w:rPr>
          <w:rFonts w:ascii="Times New Roman" w:cs="Times New Roman" w:eastAsia="Times New Roman" w:hAnsi="Times New Roman"/>
          <w:i w:val="false"/>
          <w:iCs w:val="false"/>
          <w:sz w:val="24"/>
          <w:szCs w:val="24"/>
        </w:rPr>
        <w:t xml:space="preserve">. Princeton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Tyler, T. R. (1990). </w:t>
      </w:r>
      <w:r>
        <w:rPr>
          <w:rFonts w:ascii="Times New Roman" w:cs="Times New Roman" w:eastAsia="Times New Roman" w:hAnsi="Times New Roman"/>
          <w:i/>
          <w:iCs/>
          <w:sz w:val="24"/>
          <w:szCs w:val="24"/>
        </w:rPr>
        <w:t xml:space="preserve">Why people obey the law</w:t>
      </w:r>
      <w:r>
        <w:rPr>
          <w:rFonts w:ascii="Times New Roman" w:cs="Times New Roman" w:eastAsia="Times New Roman" w:hAnsi="Times New Roman"/>
          <w:i w:val="false"/>
          <w:iCs w:val="false"/>
          <w:sz w:val="24"/>
          <w:szCs w:val="24"/>
        </w:rPr>
        <w:t xml:space="preserve">. Yale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spacing w:after="120" w:line="360"/>
        <w:ind w:left="709" w:hanging="709"/>
        <w:jc w:val="left"/>
      </w:pPr>
      <w:r>
        <w:rPr>
          <w:rFonts w:ascii="Times New Roman" w:cs="Times New Roman" w:eastAsia="Times New Roman" w:hAnsi="Times New Roman"/>
          <w:i w:val="false"/>
          <w:iCs w:val="false"/>
          <w:sz w:val="24"/>
          <w:szCs w:val="24"/>
        </w:rPr>
        <w:t xml:space="preserve">van Hall, M., Baker, T., Nieuwbeerta, P., &amp; Dirkzwager, A. J. E. (2025). Procedural justice spill-over and recidivism after release from prison. </w:t>
      </w:r>
      <w:r>
        <w:rPr>
          <w:rFonts w:ascii="Times New Roman" w:cs="Times New Roman" w:eastAsia="Times New Roman" w:hAnsi="Times New Roman"/>
          <w:i/>
          <w:iCs/>
          <w:sz w:val="24"/>
          <w:szCs w:val="24"/>
        </w:rPr>
        <w:t xml:space="preserve">Crime &amp; Delinquency</w:t>
      </w:r>
      <w:r>
        <w:rPr>
          <w:rFonts w:ascii="Times New Roman" w:cs="Times New Roman" w:eastAsia="Times New Roman" w:hAnsi="Times New Roman"/>
          <w:i w:val="false"/>
          <w:iCs w:val="false"/>
          <w:sz w:val="24"/>
          <w:szCs w:val="24"/>
        </w:rPr>
        <w:t xml:space="preserve">. Advance online publication. https://doi.org/10.1177/00111287241248104</w:t>
      </w:r>
    </w:p>
    <w:p>
      <w:pPr>
        <w:pStyle w:val="Heading1"/>
        <w:pageBreakBefore/>
        <w:bidi/>
        <w:spacing w:after="240" w:before="0" w:line="360"/>
        <w:jc w:val="right"/>
      </w:pPr>
      <w:r>
        <w:rPr>
          <w:rFonts w:ascii="David" w:cs="David" w:eastAsia="David" w:hAnsi="David"/>
          <w:b/>
          <w:bCs/>
          <w:sz w:val="32"/>
          <w:szCs w:val="32"/>
          <w:rtl/>
        </w:rPr>
        <w:t xml:space="preserve">נספח</w:t>
      </w:r>
    </w:p>
    <w:p>
      <w:pPr>
        <w:pStyle w:val="Heading2"/>
        <w:keepNext/>
        <w:bidi/>
        <w:spacing w:after="120" w:before="240" w:line="360"/>
        <w:jc w:val="right"/>
      </w:pPr>
      <w:r>
        <w:rPr>
          <w:rFonts w:ascii="David" w:cs="David" w:eastAsia="David" w:hAnsi="David"/>
          <w:b/>
          <w:bCs/>
          <w:sz w:val="28"/>
          <w:szCs w:val="28"/>
          <w:rtl/>
        </w:rPr>
        <w:t xml:space="preserve">נספח: פלטי 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2026-09-09T13:22:37.959Z</dcterms:created>
  <dcterms:modified xsi:type="dcterms:W3CDTF">2026-09-09T13:22:37.986Z</dcterms:modified>
</cp:coreProperties>
</file>

<file path=docProps/custom.xml><?xml version="1.0" encoding="utf-8"?>
<Properties xmlns="http://schemas.openxmlformats.org/officeDocument/2006/custom-properties" xmlns:vt="http://schemas.openxmlformats.org/officeDocument/2006/docPropsVTypes"/>
</file>