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bidi/>
        <w:spacing w:after="120" w:before="240" w:line="480"/>
        <w:jc w:val="center"/>
      </w:pPr>
      <w:r>
        <w:rPr>
          <w:rFonts w:ascii="Times New Roman" w:cs="David" w:eastAsia="Times New Roman" w:hAnsi="Times New Roman"/>
          <w:b/>
          <w:bCs/>
          <w:sz w:val="36"/>
          <w:szCs w:val="40"/>
          <w:rtl/>
        </w:rPr>
        <w:t xml:space="preserve">נספח א': מתווה הריאיון החצי-מובנה</w:t>
      </w:r>
    </w:p>
    <w:p>
      <w:pPr>
        <w:bidi/>
        <w:spacing w:after="120" w:before="0" w:line="480"/>
        <w:jc w:val="both"/>
      </w:pPr>
      <w:r>
        <w:rPr>
          <w:rFonts w:ascii="Times New Roman" w:cs="David" w:eastAsia="Times New Roman" w:hAnsi="Times New Roman"/>
          <w:b w:val="false"/>
          <w:i w:val="false"/>
          <w:iCs w:val="false"/>
          <w:sz w:val="24"/>
          <w:szCs w:val="24"/>
          <w:rtl/>
        </w:rPr>
        <w:t xml:space="preserve">כלי המחקר הוא ריאיון חצי-מובנה, ובאמצעותו נאספו הנתונים משמונה אנשי חינוך: מחנכות ומחנכי כיתה ויועצות חינוכיות בבתי ספר יסודיים ועל-יסודיים בישראל, שעבדו עם תלמידים במהלך שנת הלימודים שאחרי 7 באוקטובר 2023. המתווה נבנה בעקבות המסגרת של הוראה מודעת טראומה, ובה זיהוי תגובות דחק בכיתה, ויסות ושגרה, יחסי מורה ותלמיד, וטראומה משנית של אנשי החינוך (Lane et al., 2025). שלושת צירי הריאיון מקבילים לשלוש שאלות המחקר.</w:t>
      </w:r>
    </w:p>
    <w:p>
      <w:pPr>
        <w:bidi/>
        <w:spacing w:after="120" w:before="0" w:line="480"/>
        <w:jc w:val="both"/>
      </w:pPr>
      <w:r>
        <w:rPr>
          <w:rFonts w:ascii="Times New Roman" w:cs="David" w:eastAsia="Times New Roman" w:hAnsi="Times New Roman"/>
          <w:b w:val="false"/>
          <w:i w:val="false"/>
          <w:iCs w:val="false"/>
          <w:sz w:val="24"/>
          <w:szCs w:val="24"/>
          <w:rtl/>
        </w:rPr>
        <w:t xml:space="preserve">המתווה כולל שאלת פתיחה, ארבע עשרה שאלות ממוקדות בשלושה צירים, ושאלות המשך שהמראיינת משתמשת בהן לפי הצורך. סדר השאלות גמיש. כאשר מרואיין מקדים ועונה על שאלה מאוחרת, המראיינת אינה חוזרת עליה אלא מעמיקה בה. משך ריאיון משוער: 45 עד 60 דקות. הראיונות מוקלטים באישור המרואיינים ומתומללים בתוך 48 שעות. שמות המרואיינים, בתי הספר והתלמידים המוזכרים בדבריהם מוחלפים בכינויים בשלב התמלול.</w:t>
      </w:r>
    </w:p>
    <w:p>
      <w:pPr>
        <w:pStyle w:val="Heading2"/>
        <w:keepNext/>
        <w:bidi/>
        <w:spacing w:after="120" w:before="200" w:line="480"/>
        <w:jc w:val="right"/>
      </w:pPr>
      <w:r>
        <w:rPr>
          <w:rFonts w:ascii="Times New Roman" w:cs="David" w:eastAsia="Times New Roman" w:hAnsi="Times New Roman"/>
          <w:b/>
          <w:bCs/>
          <w:sz w:val="32"/>
          <w:szCs w:val="36"/>
          <w:rtl/>
        </w:rPr>
        <w:t xml:space="preserve">הנחיות למראיינת</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rPr>
        <w:t xml:space="preserve">לפתוח בשיחה קצרה ולא בשאלון. הפתיח נקרא בקול, והמרואיין מאשר בעל פה שהוא מבין ומסכים.</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rPr>
        <w:t xml:space="preserve">לשאול שאלה אחת בכל פעם. אם המרואיין שותק, להמתין. שתיקה של כמה שניות מובילה לרוב לפירוט.</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rPr>
        <w:t xml:space="preserve">לבקש דוגמה קונקרטית לכל אמירה כללית: "מתי זה קרה לאחרונה?", "מה בדיוק אמרת?".</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rPr>
        <w:t xml:space="preserve">לא להציע פרשנות ולא להעריך את התשובה. לא "זה נשמע כמו טראומה" אלא "ספר לי עוד על הרגע הזה".</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rPr>
        <w:t xml:space="preserve">אם המרואיין מתקשה רגשית, לעצור, להציע הפסקה, ולהזכיר שאפשר לדלג על שאלה.</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rPr>
        <w:t xml:space="preserve">לרשום ביומן המחקר, מיד אחרי הריאיון, את ההתרשמות מן האווירה ומן הרגעים שבהם השיחה השתנתה.</w:t>
      </w:r>
    </w:p>
    <w:p>
      <w:pPr>
        <w:pStyle w:val="Heading2"/>
        <w:keepNext/>
        <w:bidi/>
        <w:spacing w:after="120" w:before="200" w:line="480"/>
        <w:jc w:val="right"/>
      </w:pPr>
      <w:r>
        <w:rPr>
          <w:rFonts w:ascii="Times New Roman" w:cs="David" w:eastAsia="Times New Roman" w:hAnsi="Times New Roman"/>
          <w:b/>
          <w:bCs/>
          <w:sz w:val="32"/>
          <w:szCs w:val="36"/>
          <w:rtl/>
        </w:rPr>
        <w:t xml:space="preserve">פתיח הנקרא למרואיין</w:t>
      </w:r>
    </w:p>
    <w:p>
      <w:pPr>
        <w:bidi/>
        <w:spacing w:after="120" w:before="0" w:line="480"/>
        <w:jc w:val="both"/>
      </w:pPr>
      <w:r>
        <w:rPr>
          <w:rFonts w:ascii="Times New Roman" w:cs="David" w:eastAsia="Times New Roman" w:hAnsi="Times New Roman"/>
          <w:b w:val="false"/>
          <w:i w:val="false"/>
          <w:iCs w:val="false"/>
          <w:sz w:val="24"/>
          <w:szCs w:val="24"/>
          <w:rtl/>
        </w:rPr>
        <w:t xml:space="preserve">שלום ותודה שהסכמת להשתתף. המחקר עוסק בעבודה של אנשי חינוך עם תלמידים בתקופה של מצב חירום מתמשך, ובמה שעוזר או מקשה עליהם בעבודה הזאת. אין תשובות נכונות או שגויות; מה שמעניין אותי הוא הניסיון שלך והדרך שבה את או אתה רואים את הדברים. הריאיון יימשך כשעה ויוקלט, כדי שאוכל להקשיב ולא לרשום. ההקלטה תתומלל ותימחק בסיום המחקר. שמך, שם בית הספר ושמות תלמידים לא יופיעו בשום מקום. אפשר לעצור, לדלג על שאלה או להפסיק בכל שלב, ללא צורך בהסבר. יש לך שאלה לפני שנתחיל?</w:t>
      </w:r>
    </w:p>
    <w:p>
      <w:pPr>
        <w:pStyle w:val="Heading2"/>
        <w:keepNext/>
        <w:bidi/>
        <w:spacing w:after="120" w:before="200" w:line="480"/>
        <w:jc w:val="right"/>
      </w:pPr>
      <w:r>
        <w:rPr>
          <w:rFonts w:ascii="Times New Roman" w:cs="David" w:eastAsia="Times New Roman" w:hAnsi="Times New Roman"/>
          <w:b/>
          <w:bCs/>
          <w:sz w:val="32"/>
          <w:szCs w:val="36"/>
          <w:rtl/>
        </w:rPr>
        <w:t xml:space="preserve">פרטי רקע (נרשמים ללא פרטים מזהים)</w:t>
      </w:r>
    </w:p>
    <w:p>
      <w:pPr>
        <w:bidi/>
        <w:spacing w:after="120" w:before="0" w:line="480"/>
        <w:jc w:val="both"/>
      </w:pPr>
      <w:r>
        <w:rPr>
          <w:rFonts w:ascii="Times New Roman" w:cs="David" w:eastAsia="Times New Roman" w:hAnsi="Times New Roman"/>
          <w:b w:val="false"/>
          <w:i w:val="false"/>
          <w:iCs w:val="false"/>
          <w:sz w:val="24"/>
          <w:szCs w:val="24"/>
          <w:rtl/>
        </w:rPr>
        <w:t xml:space="preserve">תפקיד (מחנך/ת כיתה או יועץ/ת), שלב חינוך (יסודי או על-יסודי), ותק בהוראה בשנים, מספר שנות עבודה בבית הספר הנוכחי, האם בית הספר או חלק מתלמידיו חוו פינוי, אזעקות תכופות או אובדן במהלך השנה.</w:t>
      </w:r>
    </w:p>
    <w:p>
      <w:pPr>
        <w:pStyle w:val="Heading2"/>
        <w:keepNext/>
        <w:bidi/>
        <w:spacing w:after="120" w:before="200" w:line="480"/>
        <w:jc w:val="right"/>
      </w:pPr>
      <w:r>
        <w:rPr>
          <w:rFonts w:ascii="Times New Roman" w:cs="David" w:eastAsia="Times New Roman" w:hAnsi="Times New Roman"/>
          <w:b/>
          <w:bCs/>
          <w:sz w:val="32"/>
          <w:szCs w:val="36"/>
          <w:rtl/>
        </w:rPr>
        <w:t xml:space="preserve">שאלות הריאיון</w:t>
      </w:r>
    </w:p>
    <w:p>
      <w:pPr>
        <w:pStyle w:val="Heading3"/>
        <w:keepNext/>
        <w:bidi/>
        <w:spacing w:after="120" w:before="160" w:line="480"/>
        <w:jc w:val="right"/>
      </w:pPr>
      <w:r>
        <w:rPr>
          <w:rFonts w:ascii="Times New Roman" w:cs="David" w:eastAsia="Times New Roman" w:hAnsi="Times New Roman"/>
          <w:b/>
          <w:bCs/>
          <w:sz w:val="30"/>
          <w:szCs w:val="34"/>
          <w:rtl/>
        </w:rPr>
        <w:t xml:space="preserve">שאלת פתיחה</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rPr>
        <w:t xml:space="preserve">ספרי לי על הדרך שלך בחינוך, ואיך נראתה בשבילך שנת הלימודים האחרונה בהשוואה לשנים שקדמו לה.</w:t>
      </w:r>
    </w:p>
    <w:p>
      <w:pPr>
        <w:pStyle w:val="Heading3"/>
        <w:keepNext/>
        <w:bidi/>
        <w:spacing w:after="120" w:before="160" w:line="480"/>
        <w:jc w:val="right"/>
      </w:pPr>
      <w:r>
        <w:rPr>
          <w:rFonts w:ascii="Times New Roman" w:cs="David" w:eastAsia="Times New Roman" w:hAnsi="Times New Roman"/>
          <w:b/>
          <w:bCs/>
          <w:sz w:val="30"/>
          <w:szCs w:val="34"/>
          <w:rtl/>
        </w:rPr>
        <w:t xml:space="preserve">ציר א': זיהוי תגובות דחק וטראומה בכיתה</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rPr>
        <w:t xml:space="preserve">חשבי על תלמיד או תלמידה שההתנהגות שלהם השתנתה מאז תחילת המלחמה. מה ראית בפועל? תארי מקרה אחד מהתחלה ועד סוף.</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rPr>
        <w:t xml:space="preserve">איך את מבחינה בין התנהגות שנובעת ממצוקה לבין מה שנקרא "בעיית משמעת"? מה עוזר לך להבחין, ובאילו מקרים זה נשאר לא ברור?</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rPr>
        <w:t xml:space="preserve">אילו תלמידים קל לפספס בכיתה בתקופה כזאת, למשל שקטים, מצטיינים או מי שנעדר הרבה? מה גורם לך לשים לב אליהם בכל זאת?</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rPr>
        <w:t xml:space="preserve">ברגע שתלמיד מתפרץ, יוצא מהכיתה או "נסגר" מולך, מה קורה לך, בגוף ובמחשבה, בשניות הראשונות?</w:t>
      </w:r>
    </w:p>
    <w:p>
      <w:pPr>
        <w:pStyle w:val="Heading3"/>
        <w:keepNext/>
        <w:bidi/>
        <w:spacing w:after="120" w:before="160" w:line="480"/>
        <w:jc w:val="right"/>
      </w:pPr>
      <w:r>
        <w:rPr>
          <w:rFonts w:ascii="Times New Roman" w:cs="David" w:eastAsia="Times New Roman" w:hAnsi="Times New Roman"/>
          <w:b/>
          <w:bCs/>
          <w:sz w:val="30"/>
          <w:szCs w:val="34"/>
          <w:rtl/>
        </w:rPr>
        <w:t xml:space="preserve">ציר ב': תגובה, ויסות, שגרה ויחסים</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rPr>
        <w:t xml:space="preserve">ספרי על פעם שהצלחת להרגיע תלמיד או להחזיר אותו ללמידה. מה עשית, צעד אחר צעד? ומה קרה בפעם שזה לא הצליח?</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rPr>
        <w:t xml:space="preserve">אילו שגרות, הרגלים או כללים קבועים בנית בכיתה השנה, ואיך התלמידים הגיבו אליהם כשהשגרה נשברה, למשל אחרי אזעקה או הודעה קשה?</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rPr>
        <w:t xml:space="preserve">איך את מתמודדת עם המתח בין דרישות ההספק, המשמעת וההנהלה לבין הצורך של תלמיד מסוים בהכלה באותו רגע?</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rPr>
        <w:t xml:space="preserve">איך נראה הקשר שלך עם תלמיד שחווה דבר קשה השנה? מה מקרב ביניכם ומה מרחיק? האם יש משהו שאת עושה אחרת מאשר עם שאר התלמידים?</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rPr>
        <w:t xml:space="preserve">עם מי בבית הספר את עובדת יחד כשמדובר בתלמיד במצוקה, למשל יועצת, פסיכולוגית, מנהלת, הורים? תארי מקרה שבו שיתוף הפעולה הזה עבד, ומקרה שבו לא.</w:t>
      </w:r>
    </w:p>
    <w:p>
      <w:pPr>
        <w:pStyle w:val="Heading3"/>
        <w:keepNext/>
        <w:bidi/>
        <w:spacing w:after="120" w:before="160" w:line="480"/>
        <w:jc w:val="right"/>
      </w:pPr>
      <w:r>
        <w:rPr>
          <w:rFonts w:ascii="Times New Roman" w:cs="David" w:eastAsia="Times New Roman" w:hAnsi="Times New Roman"/>
          <w:b/>
          <w:bCs/>
          <w:sz w:val="30"/>
          <w:szCs w:val="34"/>
          <w:rtl/>
        </w:rPr>
        <w:t xml:space="preserve">ציר ג': ההשפעה על איש החינוך ודרכי ההתמודדות</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rPr>
        <w:t xml:space="preserve">איך העבודה עם תלמידים שחוו דברים קשים משפיעה עלייך? מה את לוקחת הביתה בסוף היום?</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rPr>
        <w:t xml:space="preserve">האם היו השנה רגעים שבהם הרגשת שנגמר לך הכוח, שאת עובדת "על אוטומט", או שאת מגיבה לתלמיד בדרך שלא רצית? מה קרה אז, ומה עזר לך לצאת מזה?</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rPr>
        <w:t xml:space="preserve">מה מחזיק אותך: בעצמך, בבית, בין חברים, בחדר המורים? ומה מזה נעלם השנה?</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rPr>
        <w:t xml:space="preserve">אילו הכשרה, ידע או ליווי קיבלת בנושא טראומה ומצבי חירום, מתי, וממי? מה היה חסר לך בפועל בכיתה?</w:t>
      </w:r>
    </w:p>
    <w:p>
      <w:pPr>
        <w:pStyle w:val="Heading3"/>
        <w:keepNext/>
        <w:bidi/>
        <w:spacing w:after="120" w:before="160" w:line="480"/>
        <w:jc w:val="right"/>
      </w:pPr>
      <w:r>
        <w:rPr>
          <w:rFonts w:ascii="Times New Roman" w:cs="David" w:eastAsia="Times New Roman" w:hAnsi="Times New Roman"/>
          <w:b/>
          <w:bCs/>
          <w:sz w:val="30"/>
          <w:szCs w:val="34"/>
          <w:rtl/>
        </w:rPr>
        <w:t xml:space="preserve">שאלת סיום</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rPr>
        <w:t xml:space="preserve">אם היית יכולה לומר משפט אחד למי שמכשיר היום מורים ויועצות, מה היית אומרת? ויש משהו שלא שאלתי וחשוב לך שיהיה במחקר?</w:t>
      </w:r>
    </w:p>
    <w:p>
      <w:pPr>
        <w:pStyle w:val="Heading2"/>
        <w:keepNext/>
        <w:bidi/>
        <w:spacing w:after="120" w:before="200" w:line="480"/>
        <w:jc w:val="right"/>
      </w:pPr>
      <w:r>
        <w:rPr>
          <w:rFonts w:ascii="Times New Roman" w:cs="David" w:eastAsia="Times New Roman" w:hAnsi="Times New Roman"/>
          <w:b/>
          <w:bCs/>
          <w:sz w:val="32"/>
          <w:szCs w:val="36"/>
          <w:rtl/>
        </w:rPr>
        <w:t xml:space="preserve">שאלות המשך לשימוש לפי הצורך</w:t>
      </w:r>
    </w:p>
    <w:p>
      <w:pPr>
        <w:bidi/>
        <w:spacing w:after="120" w:before="0" w:line="480"/>
        <w:jc w:val="both"/>
      </w:pPr>
      <w:r>
        <w:rPr>
          <w:rFonts w:ascii="Times New Roman" w:cs="David" w:eastAsia="Times New Roman" w:hAnsi="Times New Roman"/>
          <w:b w:val="false"/>
          <w:i w:val="false"/>
          <w:iCs w:val="false"/>
          <w:sz w:val="24"/>
          <w:szCs w:val="24"/>
          <w:rtl/>
        </w:rPr>
        <w:t xml:space="preserve">"אפשר דוגמה?"; "מה בדיוק אמרת או עשית?"; "מה קרה אחר כך?"; "איך הרגשת באותו רגע?"; "מה היה קורה אילו לא היית מגיבה?"; "האם זה חזר על עצמו?"; "מה הכוונה ב...?".</w:t>
      </w:r>
    </w:p>
    <w:p>
      <w:pPr>
        <w:pStyle w:val="Heading2"/>
        <w:keepNext/>
        <w:bidi/>
        <w:spacing w:after="120" w:before="200" w:line="480"/>
        <w:jc w:val="right"/>
      </w:pPr>
      <w:r>
        <w:rPr>
          <w:rFonts w:ascii="Times New Roman" w:cs="David" w:eastAsia="Times New Roman" w:hAnsi="Times New Roman"/>
          <w:b/>
          <w:bCs/>
          <w:sz w:val="32"/>
          <w:szCs w:val="36"/>
          <w:rtl/>
        </w:rPr>
        <w:t xml:space="preserve">מטרת כל שאלה והקשר לשאלות המחקר</w:t>
      </w:r>
    </w:p>
    <w:p>
      <w:pPr>
        <w:keepNext/>
        <w:bidi/>
        <w:spacing w:after="80" w:before="120" w:line="480"/>
        <w:jc w:val="center"/>
      </w:pPr>
      <w:r>
        <w:rPr>
          <w:rFonts w:ascii="Times New Roman" w:cs="David" w:eastAsia="Times New Roman" w:hAnsi="Times New Roman"/>
          <w:b/>
          <w:bCs/>
          <w:i w:val="false"/>
          <w:iCs w:val="false"/>
          <w:sz w:val="24"/>
          <w:szCs w:val="24"/>
          <w:rtl/>
        </w:rPr>
        <w:t xml:space="preserve">טבלה א'1: מטרת שאלות הריאיון וזיקתן לשאלות המחקר ולספרות</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6"/>
      </w:tblGrid>
      <w:tr>
        <w:trPr>
          <w:cantSplit/>
          <w:tblHeader/>
        </w:trPr>
        <w:tc>
          <w:tcPr>
            <w:tcW w:type="dxa" w:w="2268"/>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rPr>
              <w:t xml:space="preserve">מס'</w:t>
            </w:r>
          </w:p>
        </w:tc>
        <w:tc>
          <w:tcPr>
            <w:tcW w:type="dxa" w:w="2268"/>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rPr>
              <w:t xml:space="preserve">מטרת השאלה</w:t>
            </w:r>
          </w:p>
        </w:tc>
        <w:tc>
          <w:tcPr>
            <w:tcW w:type="dxa" w:w="2268"/>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rPr>
              <w:t xml:space="preserve">שאלת מחקר</w:t>
            </w:r>
          </w:p>
        </w:tc>
        <w:tc>
          <w:tcPr>
            <w:tcW w:type="dxa" w:w="2266"/>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rPr>
              <w:t xml:space="preserve">בסיס בספרות</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1</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בניית אמון וקבלת סיפור רקע מקצועי; זיהוי נקודת המוצא של המרואיין לפני השנה הנחקרת</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כללי</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Lane et al. (2025)</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2</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קבלת תיאור התנהגותי קונקרטי של תלמיד, לא הכללה</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1</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Lane et al. (2025); Segal et al. (2026)</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3</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בחינת האופן שבו המרואיין מפרש התנהגות: כבחירה או כמנגנון הישרדות</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1</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Lane et al. (2025)</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4</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חשיפת תגובות מופנמות, שקל להחמיץ בכיתה</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1</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לבקוביץ ואמיתי (2023); Olinover &amp; Hamama (2025)</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5</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זיהוי התגובה האוטומטית של המורה עצמו במפגש עם דיסרגולציה</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1 ו-3</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Lane et al. (2025); Keleynikov et al. (2022)</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6</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תיאור פרקטיקות ויסות והחזרה ללמידה, כולל כישלון</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2</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Lane et al. (2025); רוזנברג ואלקובי (2026)</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7</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בחינת תפקיד השגרה והעקביות כמקור ביטחון, ומה קורה כשהיא נשברת</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2</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קפלן ואחרים (2025); רייכל ועובד (2024)</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8</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חשיפת המתח בין דרישות מערכתיות לבין הכלה, ודרכי ההכרעה</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2</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Halfon &amp; Romi (2026)</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9</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בחינת יחסי מורה ותלמיד כבסיס בטוח</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2</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יוקל ורומי (2024); Shur-Kraspin et al. (2025)</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10</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מיפוי שיתוף הפעולה המערכתי סביב תלמיד במצוקה</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2</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אלון ואחרים (2025); פינטו וטטר (2023)</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11</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בחינת סימני טראומה משנית ותשישות חמלה</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3</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Lassri (2023); Kaplan et al. (2025)</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12</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זיהוי רגעי שחיקה ואובדן ויסות של המורה, ומה מסייע לחזור</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3</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Lane et al. (2025); Avissar et al. (2026)</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13</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מיפוי משאבי טיפול עצמי בארבעה מעגלים: פרטי, אישי, חברתי ומקצועי</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3</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Lane et al. (2025); Shinan-Altman &amp; Levkovich (2022)</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14</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בחינת ההכשרה והליווי בנושא טראומה ופערים בהם</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3</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Avissar et al. (2026); נסים (2025)</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15</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סגירה, מתן מקום להמלצה יישומית ולנושאים שלא נשאלו</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כללי</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Lane et al. (2025)</w:t>
            </w:r>
          </w:p>
        </w:tc>
      </w:tr>
    </w:tbl>
    <w:p>
      <w:pPr>
        <w:bidi/>
        <w:spacing w:after="120" w:before="0" w:line="480"/>
        <w:jc w:val="both"/>
      </w:pPr>
    </w:p>
    <w:p>
      <w:pPr>
        <w:pStyle w:val="Heading2"/>
        <w:keepNext/>
        <w:bidi/>
        <w:spacing w:after="120" w:before="200" w:line="480"/>
        <w:jc w:val="right"/>
      </w:pPr>
      <w:r>
        <w:rPr>
          <w:rFonts w:ascii="Times New Roman" w:cs="David" w:eastAsia="Times New Roman" w:hAnsi="Times New Roman"/>
          <w:b/>
          <w:bCs/>
          <w:sz w:val="32"/>
          <w:szCs w:val="36"/>
          <w:rtl/>
        </w:rPr>
        <w:t xml:space="preserve">התאמת המתווה למערך של שמונה ראיונות</w:t>
      </w:r>
    </w:p>
    <w:p>
      <w:pPr>
        <w:bidi/>
        <w:spacing w:after="120" w:before="0" w:line="480"/>
        <w:jc w:val="both"/>
      </w:pPr>
      <w:r>
        <w:rPr>
          <w:rFonts w:ascii="Times New Roman" w:cs="David" w:eastAsia="Times New Roman" w:hAnsi="Times New Roman"/>
          <w:b w:val="false"/>
          <w:i w:val="false"/>
          <w:iCs w:val="false"/>
          <w:sz w:val="24"/>
          <w:szCs w:val="24"/>
          <w:rtl/>
        </w:rPr>
        <w:t xml:space="preserve">שמונה ראיונות הם מדגם מקובל במחקר איכותני פנומנולוגי, ובלבד שהמשתתפים נבחרים בכוונה כך שייצגו שוני בתפקיד, בשלב החינוך ובמידת החשיפה של בית הספר לאירועי המלחמה. במחקר זה נבחרו חמישה מחנכי כיתה ושלוש יועצות חינוכיות, מארבעה בתי ספר, מהם שניים שקלטו תלמידים מפונים. הריאיון הראשון שימש גם ריאיון פיילוט, ובעקבותיו קוצרה שאלה 4 ונוספה שאלה 8. לאחר הריאיון השישי לא עלו תמות חדשות, ושני הראיונות האחרונים שימשו לבדיקת רוויה.</w:t>
      </w:r>
    </w:p>
    <w:p>
      <w:r>
        <w:br w:type="page"/>
      </w:r>
    </w:p>
    <w:p>
      <w:pPr>
        <w:pStyle w:val="Heading1"/>
        <w:keepNext/>
        <w:bidi/>
        <w:spacing w:after="120" w:before="240" w:line="480"/>
        <w:jc w:val="center"/>
      </w:pPr>
      <w:r>
        <w:rPr>
          <w:rFonts w:ascii="Times New Roman" w:cs="David" w:eastAsia="Times New Roman" w:hAnsi="Times New Roman"/>
          <w:b/>
          <w:bCs/>
          <w:sz w:val="36"/>
          <w:szCs w:val="40"/>
          <w:rtl/>
        </w:rPr>
        <w:t xml:space="preserve">מקורות שאוזכרו בנספח</w:t>
      </w:r>
    </w:p>
    <w:p>
      <w:pPr>
        <w:bidi/>
        <w:spacing w:after="160" w:before="0" w:line="480"/>
        <w:ind w:left="720" w:hanging="720"/>
        <w:jc w:val="both"/>
      </w:pPr>
      <w:r>
        <w:rPr>
          <w:rFonts w:ascii="Times New Roman" w:cs="David" w:eastAsia="Times New Roman" w:hAnsi="Times New Roman"/>
          <w:b w:val="false"/>
          <w:i w:val="false"/>
          <w:iCs w:val="false"/>
          <w:sz w:val="24"/>
          <w:szCs w:val="24"/>
          <w:rtl/>
        </w:rPr>
        <w:t xml:space="preserve">אלון, ר', רוזנטל, ר', רובין, א', חן-גמליאל, ר' וטרכטינגוט, י' (2025). דחק של יועצים חינוכיים בימי מלחמה: תרומתם של מסוגלות עצמית תעסוקתית, הון פסיכולוגי ותמיכה חברתית. זמן חינוך, 10, 145 ואילך.</w:t>
      </w:r>
    </w:p>
    <w:p>
      <w:pPr>
        <w:bidi/>
        <w:spacing w:after="160" w:before="0" w:line="480"/>
        <w:ind w:left="720" w:hanging="720"/>
        <w:jc w:val="both"/>
      </w:pPr>
      <w:r>
        <w:rPr>
          <w:rFonts w:ascii="Times New Roman" w:cs="David" w:eastAsia="Times New Roman" w:hAnsi="Times New Roman"/>
          <w:b w:val="false"/>
          <w:i w:val="false"/>
          <w:iCs w:val="false"/>
          <w:sz w:val="24"/>
          <w:szCs w:val="24"/>
          <w:rtl/>
        </w:rPr>
        <w:t xml:space="preserve">יוקל, כ' ורומי, ש' (2024). ניתוח משווה של איכות היחסים בין מורים ותלמידים במצבי סיכון ובין מורים ותלמידים שאינם במצבי סיכון. מפגש לעבודה חינוכית-סוציאלית, לב(57).</w:t>
      </w:r>
    </w:p>
    <w:p>
      <w:pPr>
        <w:bidi/>
        <w:spacing w:after="160" w:before="0" w:line="480"/>
        <w:ind w:left="720" w:hanging="720"/>
        <w:jc w:val="both"/>
      </w:pPr>
      <w:r>
        <w:rPr>
          <w:rFonts w:ascii="Times New Roman" w:cs="David" w:eastAsia="Times New Roman" w:hAnsi="Times New Roman"/>
          <w:b w:val="false"/>
          <w:i w:val="false"/>
          <w:iCs w:val="false"/>
          <w:sz w:val="24"/>
          <w:szCs w:val="24"/>
          <w:rtl/>
        </w:rPr>
        <w:t xml:space="preserve">לבקוביץ, ע' ואמיתי, ק' (2023). "לכאוב כדי לחיות": חוויות של יועצים חינוכיים עם מתבגרים שהתנסו בפגיעה עצמית. הייעוץ החינוכי, כד.</w:t>
      </w:r>
    </w:p>
    <w:p>
      <w:pPr>
        <w:bidi/>
        <w:spacing w:after="160" w:before="0" w:line="480"/>
        <w:ind w:left="720" w:hanging="720"/>
        <w:jc w:val="both"/>
      </w:pPr>
      <w:r>
        <w:rPr>
          <w:rFonts w:ascii="Times New Roman" w:cs="David" w:eastAsia="Times New Roman" w:hAnsi="Times New Roman"/>
          <w:b w:val="false"/>
          <w:i w:val="false"/>
          <w:iCs w:val="false"/>
          <w:sz w:val="24"/>
          <w:szCs w:val="24"/>
          <w:rtl/>
        </w:rPr>
        <w:t xml:space="preserve">נסים, מ' (2025). חינוך מיוחד בזמן המלחמה בישראל: תפיסות מחנכות בחינוך המיוחד בנוגע להשפעות המלחמה ולצורכי התמיכה. במעגלי חינוך: מחקר, עיון ויצירה, 14.</w:t>
      </w:r>
    </w:p>
    <w:p>
      <w:pPr>
        <w:bidi/>
        <w:spacing w:after="160" w:before="0" w:line="480"/>
        <w:ind w:left="720" w:hanging="720"/>
        <w:jc w:val="both"/>
      </w:pPr>
      <w:r>
        <w:rPr>
          <w:rFonts w:ascii="Times New Roman" w:cs="David" w:eastAsia="Times New Roman" w:hAnsi="Times New Roman"/>
          <w:b w:val="false"/>
          <w:i w:val="false"/>
          <w:iCs w:val="false"/>
          <w:sz w:val="24"/>
          <w:szCs w:val="24"/>
          <w:rtl/>
        </w:rPr>
        <w:t xml:space="preserve">פינטו, ה' וטטר, מ' (2023). תפיסותיהן של יועצות חינוכיות את הייעוץ החינוכי בימי קורונה: מפגשים בין העמימות המקצועית ובין עמימות המציאות. הייעוץ החינוכי, כד.</w:t>
      </w:r>
    </w:p>
    <w:p>
      <w:pPr>
        <w:bidi/>
        <w:spacing w:after="160" w:before="0" w:line="480"/>
        <w:ind w:left="720" w:hanging="720"/>
        <w:jc w:val="both"/>
      </w:pPr>
      <w:r>
        <w:rPr>
          <w:rFonts w:ascii="Times New Roman" w:cs="David" w:eastAsia="Times New Roman" w:hAnsi="Times New Roman"/>
          <w:b w:val="false"/>
          <w:i w:val="false"/>
          <w:iCs w:val="false"/>
          <w:sz w:val="24"/>
          <w:szCs w:val="24"/>
          <w:rtl/>
        </w:rPr>
        <w:t xml:space="preserve">קפלן, ח', כהן, ה', כלפון, ע', יערי, ג' וגלעד, ל' (2025). "לייצר משהו חדש בזמן שאת בעצמך חדשה": מנהלות חדשות בתקופת מלחמה. דפים, 82.</w:t>
      </w:r>
    </w:p>
    <w:p>
      <w:pPr>
        <w:bidi/>
        <w:spacing w:after="160" w:before="0" w:line="480"/>
        <w:ind w:left="720" w:hanging="720"/>
        <w:jc w:val="both"/>
      </w:pPr>
      <w:r>
        <w:rPr>
          <w:rFonts w:ascii="Times New Roman" w:cs="David" w:eastAsia="Times New Roman" w:hAnsi="Times New Roman"/>
          <w:b w:val="false"/>
          <w:i w:val="false"/>
          <w:iCs w:val="false"/>
          <w:sz w:val="24"/>
          <w:szCs w:val="24"/>
          <w:rtl/>
        </w:rPr>
        <w:t xml:space="preserve">רוזנברג, ש' ואלקובי, א' (2026). מהכשרה ליישום: דרכי התמודדות של צוותי החינוך בשדרות באמצעות מיומנויות חברתיות-רגשיות עם פרוץ מלחמת חרבות ברזל. חמדעת: כתב עת רב-תחומי, יט.</w:t>
      </w:r>
    </w:p>
    <w:p>
      <w:pPr>
        <w:bidi/>
        <w:spacing w:after="160" w:before="0" w:line="480"/>
        <w:ind w:left="720" w:hanging="720"/>
        <w:jc w:val="both"/>
      </w:pPr>
      <w:r>
        <w:rPr>
          <w:rFonts w:ascii="Times New Roman" w:cs="David" w:eastAsia="Times New Roman" w:hAnsi="Times New Roman"/>
          <w:b w:val="false"/>
          <w:i w:val="false"/>
          <w:iCs w:val="false"/>
          <w:sz w:val="24"/>
          <w:szCs w:val="24"/>
          <w:rtl/>
        </w:rPr>
        <w:t xml:space="preserve">רייכל, נ' ועובד, א' (2024). משבר הקורונה: אתגרים, דרכי התמודדות והשלכות על תפיסת החינוך במשקפיים של מנהלות חטיבות ביניים. עיונים בחינוך, 24, 461-476.</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rPr>
        <w:t xml:space="preserve">Avissar, N., Ben-Amar Shechtman, D., &amp; Levi-Keren, M. (2026). Teaching through trauma: Israeli teacher education in crisis. Frontiers in Education, 11, 1879346. https://doi.org/10.3389/feduc.2026.1879346</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rPr>
        <w:t xml:space="preserve">Halfon, E., &amp; Romi, S. (2026). Digital anchors: The homeroom teacher's role in active conflict zones. Frontiers in Education, 11, 1890046. https://doi.org/10.3389/feduc.2026.1890046</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rPr>
        <w:t xml:space="preserve">Kaplan, N., Zerach, G., &amp; Levi-Belz, Y. (2025). The contribution of moral injury to Israeli teachers' mental health difficulties: The mediating role of shame and guilt. Frontiers in Psychiatry, 16, 1634795. https://doi.org/10.3389/fpsyt.2025.1634795</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rPr>
        <w:t xml:space="preserve">Keleynikov, M., Benatov, J., &amp; Berger, R. (2022). Preschool teachers' psychological distress and work engagement during COVID-19 outbreak: The protective role of mindfulness and emotion regulation. International Journal of Environmental Research and Public Health, 19(5), 2645. https://doi.org/10.3390/ijerph19052645</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rPr>
        <w:t xml:space="preserve">Lane, J., Chow, R., Hambrick, E., &amp; Earl, R. (2025). Becoming trauma responsive. New Prairie Press. https://newprairiepress.org/ebooks/56/</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rPr>
        <w:t xml:space="preserve">Lassri, D. (2023). Psychological distress among teaching staff during the COVID-19 pandemic: A transdiagnostic perspective on profiles of risk and resilience. Teaching and Teacher Education, 128, 104143. https://doi.org/10.1016/j.tate.2023.104143</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rPr>
        <w:t xml:space="preserve">Olinover, M., &amp; Hamama, L. (2025). Adolescents during wartime: Vulnerability-based profiles. Journal of Research on Adolescence, 35, e70041. https://doi.org/10.1111/jora.70041</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rPr>
        <w:t xml:space="preserve">Segal, O., Hevron, H., &amp; Weinbach, N. (2026). Same war, different homes: Mental health outcomes of displaced versus non-displaced adolescents during war. European Journal of Psychotraumatology, 17(1), 2685370. https://doi.org/10.1080/20008066.2026.2685370</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rPr>
        <w:t xml:space="preserve">Shinan-Altman, S., &amp; Levkovich, I. (2022). Are personal resources and perceived stress associated with psychological outcomes among Israeli teachers during the third COVID-19 lockdown? International Journal of Environmental Research and Public Health, 19(9), 5634. https://doi.org/10.3390/ijerph19095634</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rPr>
        <w:t xml:space="preserve">Shur-Kraspin, L., Slone, M., &amp; Kanat-Maymon, Y. (2025). Youth exposed to armed conflict: The homeroom teacher as a protective agent promoting student resilience. International Journal of Environmental Research and Public Health, 22(8), 1233. https://doi.org/10.3390/ijerph22081233</w:t>
      </w:r>
    </w:p>
    <w:sectPr>
      <w:footerReference w:type="default" r:id="rId7"/>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Times New Roman" w:hAnsi="Times New Roman"/>
        <w:sz w:val="24"/>
        <w:szCs w:val="24"/>
        <w:rtl/>
      </w:rPr>
    </w:rPrDefault>
    <w:pPrDefault>
      <w:pPr>
        <w:spacing w:after="12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David" w:eastAsia="Times New Roman" w:hAnsi="Times New Roman"/>
      <w:b/>
      <w:bCs/>
      <w:color w:val="000000"/>
      <w:sz w:val="36"/>
      <w:szCs w:val="36"/>
    </w:rPr>
  </w:style>
  <w:style w:type="paragraph" w:styleId="Heading2">
    <w:name w:val="Heading 2"/>
    <w:basedOn w:val="Normal"/>
    <w:next w:val="Normal"/>
    <w:qFormat/>
    <w:pPr>
      <w:spacing w:after="120" w:before="200"/>
      <w:outlineLvl w:val="1"/>
    </w:pPr>
    <w:rPr>
      <w:rFonts w:ascii="Times New Roman" w:cs="David" w:eastAsia="Times New Roman" w:hAnsi="Times New Roman"/>
      <w:b/>
      <w:bCs/>
      <w:color w:val="000000"/>
      <w:sz w:val="32"/>
      <w:szCs w:val="32"/>
    </w:rPr>
  </w:style>
  <w:style w:type="paragraph" w:styleId="Heading3">
    <w:name w:val="Heading 3"/>
    <w:basedOn w:val="Normal"/>
    <w:next w:val="Normal"/>
    <w:qFormat/>
    <w:pPr>
      <w:spacing w:after="120" w:before="160"/>
      <w:outlineLvl w:val="2"/>
    </w:pPr>
    <w:rPr>
      <w:rFonts w:ascii="Times New Roman" w:cs="David" w:eastAsia="Times New Roman" w:hAnsi="Times New Roman"/>
      <w:b/>
      <w:bCs/>
      <w:color w:val="000000"/>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רשימת מקורות שפיטים: הוראה מודעת טראומה בישראל (2021–2026)</dc:title>
  <dc:creator>Student</dc:creator>
  <cp:lastModifiedBy>Un-named</cp:lastModifiedBy>
  <cp:revision>1</cp:revision>
  <dcterms:created xsi:type="dcterms:W3CDTF">2026-09-12T21:49:54.075Z</dcterms:created>
  <dcterms:modified xsi:type="dcterms:W3CDTF">2026-09-12T21:49:54.090Z</dcterms:modified>
</cp:coreProperties>
</file>

<file path=docProps/custom.xml><?xml version="1.0" encoding="utf-8"?>
<Properties xmlns="http://schemas.openxmlformats.org/officeDocument/2006/custom-properties" xmlns:vt="http://schemas.openxmlformats.org/officeDocument/2006/docPropsVTypes"/>
</file>