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8"/>
          <w:szCs w:val="28"/>
          <w:rtl/>
        </w:rPr>
        <w:t xml:space="preserve">[שם המוסד האקדמי]</w:t>
      </w:r>
    </w:p>
    <w:p>
      <w:pPr>
        <w:bidi/>
        <w:spacing w:after="120" w:line="360"/>
        <w:jc w:val="center"/>
      </w:pPr>
      <w:r>
        <w:rPr>
          <w:rFonts w:ascii="Times New Roman" w:cs="David" w:eastAsia="David" w:hAnsi="Times New Roman"/>
          <w:b w:val="false"/>
          <w:bCs w:val="false"/>
          <w:sz w:val="24"/>
          <w:szCs w:val="24"/>
          <w:rtl/>
        </w:rPr>
        <w:t xml:space="preserve">[שם התוכנית / החוג]</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4"/>
          <w:szCs w:val="24"/>
          <w:rt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sz w:val="24"/>
          <w:szCs w:val="24"/>
          <w:rtl/>
        </w:rPr>
        <w:t xml:space="preserve">[מספר הקורס]</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32"/>
          <w:szCs w:val="32"/>
          <w:rt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sz w:val="26"/>
          <w:szCs w:val="26"/>
          <w:rtl/>
        </w:rPr>
        <w:t xml:space="preserve">מחקר כמותי</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מנחה: [שם המנחה]</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מגיש/ה: [שם מלא]</w:t>
      </w:r>
    </w:p>
    <w:p>
      <w:pPr>
        <w:bidi/>
        <w:spacing w:after="120" w:line="360"/>
        <w:jc w:val="center"/>
      </w:pPr>
      <w:r>
        <w:rPr>
          <w:rFonts w:ascii="Times New Roman" w:cs="David" w:eastAsia="David" w:hAnsi="Times New Roman"/>
          <w:b w:val="false"/>
          <w:bCs w:val="false"/>
          <w:sz w:val="24"/>
          <w:szCs w:val="24"/>
          <w:rtl/>
        </w:rPr>
        <w:t xml:space="preserve">ת"ז: [מספר תעודת זהות]</w:t>
      </w:r>
    </w:p>
    <w:p>
      <w:pPr>
        <w:bidi/>
        <w:spacing w:after="120" w:line="360"/>
        <w:jc w:val="center"/>
      </w:pPr>
      <w:r>
        <w:rPr>
          <w:rFonts w:ascii="Times New Roman" w:cs="David" w:eastAsia="David" w:hAnsi="Times New Roman"/>
          <w:b w:val="false"/>
          <w:bCs w:val="false"/>
          <w:sz w:val="24"/>
          <w:szCs w:val="24"/>
          <w:rtl/>
        </w:rPr>
        <w:t xml:space="preserve">כתובת: [כתובת מלאה]</w:t>
      </w:r>
    </w:p>
    <w:p>
      <w:pPr>
        <w:bidi/>
        <w:spacing w:after="120" w:line="360"/>
        <w:jc w:val="center"/>
      </w:pPr>
      <w:r>
        <w:rPr>
          <w:rFonts w:ascii="Times New Roman" w:cs="David" w:eastAsia="David" w:hAnsi="Times New Roman"/>
          <w:b w:val="false"/>
          <w:bCs w:val="false"/>
          <w:sz w:val="24"/>
          <w:szCs w:val="24"/>
          <w:rtl/>
        </w:rPr>
        <w:t xml:space="preserve">טלפון: [מספר טלפון]</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תאריך הגשה: [יום בחודש] [חודש] 2026, [תאריך עברי]</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bidi/>
        <w:jc w:val="right"/>
      </w:pPr>
      <w:r>
        <w:rPr>
          <w:rFonts w:ascii="Times New Roman" w:cs="David" w:eastAsia="David" w:hAnsi="Times New Roman"/>
          <w:i/>
          <w:iCs/>
          <w:sz w:val="18"/>
          <w:szCs w:val="18"/>
          <w:rtl/>
        </w:rPr>
        <w:t xml:space="preserve">(מספרי העמודים מתעדכנים אוטומטית בפתיחת הקובץ בוורד. אם וורד שואל אם לעדכן שדות, לבחור "כן". לעדכון ידני: לחיצה ימנית על תוכן העניינים ובחירה ב"עדכן שדה". למחוק שורה זו לפני ההגשה.)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תקציר</w:t>
      </w:r>
    </w:p>
    <w:p>
      <w:pPr>
        <w:bidi/>
        <w:spacing w:after="120" w:line="360"/>
        <w:ind w:firstLine="709"/>
        <w:jc w:val="both"/>
      </w:pPr>
      <w:r>
        <w:rPr>
          <w:rFonts w:ascii="Times New Roman" w:cs="David" w:eastAsia="David" w:hAnsi="Times New Roman"/>
          <w:sz w:val="24"/>
          <w:szCs w:val="24"/>
          <w:rtl/>
        </w:rPr>
        <w:t xml:space="preserve">העבודה בחנה את דפוסי החשיפה למסכים, השינה והפעילות הגופנית בקרב תלמידים עם לקויות למידה, את הקשרים בין שלוש ההתנהגויות לבין התפקוד הלימודי, ואת ההבדלים בין תלמידים עם וללא לקויות למידה. המסגרת התיאורטית נשענת על המודל המשולב של 24 שעות התנועה ועל הספרות על שינה וקשיים מוטוריים בלקויות למידה. המחקר כמותי במערך חתך: 65 תלמידי כיתות ז' עד י"ב, 40 עם אבחון של לקות למידה ו-25 ללא אבחון, מילאו שאלון דיווח עצמי אנונימי שכלל פריטי מסכים, שינה ופעילות גופנית מסקר HBSC, סולם ישנוניות יומית ודיווח על ציונים ותפקוד בלמידה. הנתונים נותחו ב-SPSS במתאמי פירסון, ברגרסיה מרובה, בניתוח שונות, במבחני t ובמבחני חי בריבוע. בקבוצת המחקר נמצא שזמן המסך קשור לשינה קצרה ומאוחרת יותר, לישנוניות רבה יותר ולציונים נמוכים יותר, והוא נותר המנבא היחיד המובהק של ממוצע הציונים בפיקוח על יתר ההתנהגויות. לא נמצא קשר בין מסכים לפעילות גופנית. תלמידים עם לקויות למידה לא נבדלו מעמיתיהם בכמות המסכים, אך שיעור נמוך יותר מהם עמד בהמלצת השינה, וכל המלצה נוספת שהתקיימה לוותה בתפקוד לימודי טוב יותר. המסקנה היישומית היא שליווי תלמידים עם לקויות למידה צריך לכלול, לצד ההתאמות בלמידה, התייחסות להרגלי המסך והשינה, ובראשם הוצאת המסכים מחדר השינה.</w:t>
      </w:r>
    </w:p>
    <w:p>
      <w:pPr>
        <w:bidi/>
        <w:spacing w:after="120" w:line="360"/>
        <w:jc w:val="right"/>
      </w:pPr>
      <w:r>
        <w:rPr>
          <w:rFonts w:ascii="Times New Roman" w:cs="David" w:eastAsia="David" w:hAnsi="Times New Roman"/>
          <w:sz w:val="24"/>
          <w:szCs w:val="24"/>
          <w:rtl/>
        </w:rPr>
        <w:t xml:space="preserve">מילות מפתח: לקויות למידה, זמן מסך, שינה, פעילות גופנית, הישגים לימודיים, המלצות 24 השעות</w:t>
      </w:r>
    </w:p>
    <w:p>
      <w:r>
        <w:br w:type="page"/>
      </w:r>
    </w:p>
    <w:p>
      <w:pPr>
        <w:pStyle w:val="Heading1"/>
        <w:bidi w:val="false"/>
        <w:spacing w:after="240" w:before="240" w:line="360"/>
        <w:jc w:val="left"/>
      </w:pPr>
      <w:r>
        <w:rPr>
          <w:rFonts w:ascii="Times New Roman" w:cs="Times New Roman" w:hAnsi="Times New Roman"/>
          <w:b/>
          <w:bCs/>
          <w:color w:val="000000"/>
          <w:sz w:val="32"/>
          <w:szCs w:val="32"/>
        </w:rPr>
        <w:t xml:space="preserve">Abstract</w:t>
      </w:r>
    </w:p>
    <w:p>
      <w:pPr>
        <w:bidi w:val="false"/>
        <w:spacing w:after="120" w:line="360"/>
        <w:jc w:val="left"/>
      </w:pPr>
      <w:r>
        <w:rPr>
          <w:rFonts w:ascii="Times New Roman" w:cs="Times New Roman" w:hAnsi="Times New Roman"/>
          <w:b w:val="false"/>
          <w:bCs w:val="false"/>
          <w:i w:val="false"/>
          <w:iCs w:val="false"/>
          <w:sz w:val="24"/>
          <w:szCs w:val="24"/>
        </w:rPr>
        <w:t xml:space="preserve">This study examined patterns of screen exposure, sleep and physical activity among students with learning disabilities, the associations between these three behaviours and academic functioning, and differences between students with and without learning disabilities. The theoretical framework draws on the integrated 24-hour movement model and on the literature on sleep and motor difficulties in learning disabilities. A cross-sectional quantitative design was used: 65 students in grades 7 to 12, 40 with a diagnosed learning disability and 25 without, completed an anonymous self-report questionnaire including HBSC screen, sleep and physical activity items, a daytime sleepiness scale and self-reported grades and learning functioning. Data were analysed in SPSS using Pearson correlations, multiple regression, one-way ANOVA, t-tests and chi-square tests. In the learning-disability group, screen time was associated with shorter and later sleep, greater daytime sleepiness and lower grades, and remained the only significant predictor of grade average when the other behaviours were controlled. No association was found between screen time and physical activity. Students with learning disabilities did not differ from their peers in the amount of screen time, but a smaller proportion of them met the sleep guideline, and each additional guideline met was accompanied by better academic functioning. The practical conclusion is that support for students with learning disabilities should address screen and sleep habits, first of all removing screens from the bedroom, alongside learning accommodations.</w:t>
      </w:r>
    </w:p>
    <w:p>
      <w:pPr>
        <w:bidi w:val="false"/>
        <w:spacing w:after="120" w:line="360"/>
        <w:jc w:val="left"/>
      </w:pPr>
      <w:r>
        <w:rPr>
          <w:rFonts w:ascii="Times New Roman" w:cs="Times New Roman" w:hAnsi="Times New Roman"/>
          <w:b w:val="false"/>
          <w:bCs w:val="false"/>
          <w:i/>
          <w:iCs/>
          <w:sz w:val="24"/>
          <w:szCs w:val="24"/>
        </w:rPr>
        <w:t xml:space="preserve">Keywords: learning disabilities, screen time, sleep, physical activity, academic achievement, 24-hour movement guidelines</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מבוא</w:t>
      </w:r>
    </w:p>
    <w:p>
      <w:pPr>
        <w:bidi/>
        <w:spacing w:after="120" w:line="360"/>
        <w:ind w:firstLine="709"/>
        <w:jc w:val="both"/>
      </w:pPr>
      <w:r>
        <w:rPr>
          <w:rFonts w:ascii="Times New Roman" w:cs="David" w:eastAsia="David" w:hAnsi="Times New Roman"/>
          <w:sz w:val="24"/>
          <w:szCs w:val="24"/>
          <w:rt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ind w:firstLine="709"/>
        <w:jc w:val="both"/>
      </w:pPr>
      <w:r>
        <w:rPr>
          <w:rFonts w:ascii="Times New Roman" w:cs="David" w:eastAsia="David" w:hAnsi="Times New Roman"/>
          <w:sz w:val="24"/>
          <w:szCs w:val="24"/>
          <w:rt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ind w:firstLine="709"/>
        <w:jc w:val="both"/>
      </w:pPr>
      <w:r>
        <w:rPr>
          <w:rFonts w:ascii="Times New Roman" w:cs="David" w:eastAsia="David" w:hAnsi="Times New Roman"/>
          <w:sz w:val="24"/>
          <w:szCs w:val="24"/>
          <w:rt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ind w:firstLine="709"/>
        <w:jc w:val="both"/>
      </w:pPr>
      <w:r>
        <w:rPr>
          <w:rFonts w:ascii="Times New Roman" w:cs="David" w:eastAsia="David" w:hAnsi="Times New Roman"/>
          <w:sz w:val="24"/>
          <w:szCs w:val="24"/>
          <w:rt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ind w:firstLine="709"/>
        <w:jc w:val="both"/>
      </w:pPr>
      <w:r>
        <w:rPr>
          <w:rFonts w:ascii="Times New Roman" w:cs="David" w:eastAsia="David" w:hAnsi="Times New Roman"/>
          <w:sz w:val="24"/>
          <w:szCs w:val="24"/>
          <w:rt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הפרק הרביעי דן בהם לאור הספרות ומציע מסקנות והמלצות, והפרק החמישי 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1: סקירת הספרות</w:t>
      </w:r>
    </w:p>
    <w:p>
      <w:pPr>
        <w:pStyle w:val="Heading2"/>
        <w:bidi/>
        <w:spacing w:after="120" w:before="240" w:line="360"/>
        <w:jc w:val="right"/>
      </w:pPr>
      <w:r>
        <w:rPr>
          <w:rFonts w:ascii="Times New Roman" w:cs="David" w:eastAsia="David" w:hAnsi="Times New Roman"/>
          <w:b/>
          <w:bCs/>
          <w:color w:val="000000"/>
          <w:sz w:val="28"/>
          <w:szCs w:val="28"/>
          <w:rtl/>
        </w:rPr>
        <w:t xml:space="preserve">1.1 לקויות למידה: הגדרה, שכיחות ומאפיינים</w:t>
      </w:r>
    </w:p>
    <w:p>
      <w:pPr>
        <w:bidi/>
        <w:spacing w:after="120" w:line="360"/>
        <w:ind w:firstLine="709"/>
        <w:jc w:val="both"/>
      </w:pPr>
      <w:r>
        <w:rPr>
          <w:rFonts w:ascii="Times New Roman" w:cs="David" w:eastAsia="David" w:hAnsi="Times New Roman"/>
          <w:sz w:val="24"/>
          <w:szCs w:val="24"/>
          <w:rt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ind w:firstLine="709"/>
        <w:jc w:val="both"/>
      </w:pPr>
      <w:r>
        <w:rPr>
          <w:rFonts w:ascii="Times New Roman" w:cs="David" w:eastAsia="David" w:hAnsi="Times New Roman"/>
          <w:sz w:val="24"/>
          <w:szCs w:val="24"/>
          <w:rt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ind w:firstLine="709"/>
        <w:jc w:val="both"/>
      </w:pPr>
      <w:r>
        <w:rPr>
          <w:rFonts w:ascii="Times New Roman" w:cs="David" w:eastAsia="David" w:hAnsi="Times New Roman"/>
          <w:sz w:val="24"/>
          <w:szCs w:val="24"/>
          <w:rt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ind w:firstLine="709"/>
        <w:jc w:val="both"/>
      </w:pPr>
      <w:r>
        <w:rPr>
          <w:rFonts w:ascii="Times New Roman" w:cs="David" w:eastAsia="David" w:hAnsi="Times New Roman"/>
          <w:sz w:val="24"/>
          <w:szCs w:val="24"/>
          <w:rt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color w:val="000000"/>
          <w:sz w:val="28"/>
          <w:szCs w:val="28"/>
          <w:rtl/>
        </w:rPr>
        <w:t xml:space="preserve">1.2 חשיפה למסכים בקרב ילדים ובני נוער</w:t>
      </w:r>
    </w:p>
    <w:p>
      <w:pPr>
        <w:bidi/>
        <w:spacing w:after="120" w:line="360"/>
        <w:ind w:firstLine="709"/>
        <w:jc w:val="both"/>
      </w:pPr>
      <w:r>
        <w:rPr>
          <w:rFonts w:ascii="Times New Roman" w:cs="David" w:eastAsia="David" w:hAnsi="Times New Roman"/>
          <w:sz w:val="24"/>
          <w:szCs w:val="24"/>
          <w:rt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ind w:firstLine="709"/>
        <w:jc w:val="both"/>
      </w:pPr>
      <w:r>
        <w:rPr>
          <w:rFonts w:ascii="Times New Roman" w:cs="David" w:eastAsia="David" w:hAnsi="Times New Roman"/>
          <w:sz w:val="24"/>
          <w:szCs w:val="24"/>
          <w:rt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ind w:firstLine="709"/>
        <w:jc w:val="both"/>
      </w:pPr>
      <w:r>
        <w:rPr>
          <w:rFonts w:ascii="Times New Roman" w:cs="David" w:eastAsia="David" w:hAnsi="Times New Roman"/>
          <w:sz w:val="24"/>
          <w:szCs w:val="24"/>
          <w:rt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color w:val="000000"/>
          <w:sz w:val="28"/>
          <w:szCs w:val="28"/>
          <w:rtl/>
        </w:rPr>
        <w:t xml:space="preserve">1.3 שינה בגיל בית הספר ובקרב תלמידים עם לקויות למידה</w:t>
      </w:r>
    </w:p>
    <w:p>
      <w:pPr>
        <w:bidi/>
        <w:spacing w:after="120" w:line="360"/>
        <w:ind w:firstLine="709"/>
        <w:jc w:val="both"/>
      </w:pPr>
      <w:r>
        <w:rPr>
          <w:rFonts w:ascii="Times New Roman" w:cs="David" w:eastAsia="David" w:hAnsi="Times New Roman"/>
          <w:sz w:val="24"/>
          <w:szCs w:val="24"/>
          <w:rt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ind w:firstLine="709"/>
        <w:jc w:val="both"/>
      </w:pPr>
      <w:r>
        <w:rPr>
          <w:rFonts w:ascii="Times New Roman" w:cs="David" w:eastAsia="David" w:hAnsi="Times New Roman"/>
          <w:sz w:val="24"/>
          <w:szCs w:val="24"/>
          <w:rt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ind w:firstLine="709"/>
        <w:jc w:val="both"/>
      </w:pPr>
      <w:r>
        <w:rPr>
          <w:rFonts w:ascii="Times New Roman" w:cs="David" w:eastAsia="David" w:hAnsi="Times New Roman"/>
          <w:sz w:val="24"/>
          <w:szCs w:val="24"/>
          <w:rt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color w:val="000000"/>
          <w:sz w:val="28"/>
          <w:szCs w:val="28"/>
          <w:rtl/>
        </w:rPr>
        <w:t xml:space="preserve">1.4 פעילות גופנית ותלמידים עם לקויות למידה</w:t>
      </w:r>
    </w:p>
    <w:p>
      <w:pPr>
        <w:bidi/>
        <w:spacing w:after="120" w:line="360"/>
        <w:ind w:firstLine="709"/>
        <w:jc w:val="both"/>
      </w:pPr>
      <w:r>
        <w:rPr>
          <w:rFonts w:ascii="Times New Roman" w:cs="David" w:eastAsia="David" w:hAnsi="Times New Roman"/>
          <w:sz w:val="24"/>
          <w:szCs w:val="24"/>
          <w:rt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ind w:firstLine="709"/>
        <w:jc w:val="both"/>
      </w:pPr>
      <w:r>
        <w:rPr>
          <w:rFonts w:ascii="Times New Roman" w:cs="David" w:eastAsia="David" w:hAnsi="Times New Roman"/>
          <w:sz w:val="24"/>
          <w:szCs w:val="24"/>
          <w:rt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ind w:firstLine="709"/>
        <w:jc w:val="both"/>
      </w:pPr>
      <w:r>
        <w:rPr>
          <w:rFonts w:ascii="Times New Roman" w:cs="David" w:eastAsia="David" w:hAnsi="Times New Roman"/>
          <w:sz w:val="24"/>
          <w:szCs w:val="24"/>
          <w:rt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ind w:firstLine="709"/>
        <w:jc w:val="both"/>
      </w:pPr>
      <w:r>
        <w:rPr>
          <w:rFonts w:ascii="Times New Roman" w:cs="David" w:eastAsia="David" w:hAnsi="Times New Roman"/>
          <w:sz w:val="24"/>
          <w:szCs w:val="24"/>
          <w:rt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color w:val="000000"/>
          <w:sz w:val="28"/>
          <w:szCs w:val="28"/>
          <w:rtl/>
        </w:rPr>
        <w:t xml:space="preserve">1.5 המודל המשולב של 24 השעות והקשר לתפקוד הלימודי</w:t>
      </w:r>
    </w:p>
    <w:p>
      <w:pPr>
        <w:bidi/>
        <w:spacing w:after="120" w:line="360"/>
        <w:ind w:firstLine="709"/>
        <w:jc w:val="both"/>
      </w:pPr>
      <w:r>
        <w:rPr>
          <w:rFonts w:ascii="Times New Roman" w:cs="David" w:eastAsia="David" w:hAnsi="Times New Roman"/>
          <w:sz w:val="24"/>
          <w:szCs w:val="24"/>
          <w:rt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ind w:firstLine="709"/>
        <w:jc w:val="both"/>
      </w:pPr>
      <w:r>
        <w:rPr>
          <w:rFonts w:ascii="Times New Roman" w:cs="David" w:eastAsia="David" w:hAnsi="Times New Roman"/>
          <w:sz w:val="24"/>
          <w:szCs w:val="24"/>
          <w:rt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ind w:firstLine="709"/>
        <w:jc w:val="both"/>
      </w:pPr>
      <w:r>
        <w:rPr>
          <w:rFonts w:ascii="Times New Roman" w:cs="David" w:eastAsia="David" w:hAnsi="Times New Roman"/>
          <w:sz w:val="24"/>
          <w:szCs w:val="24"/>
          <w:rt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color w:val="000000"/>
          <w:sz w:val="28"/>
          <w:szCs w:val="28"/>
          <w:rt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color w:val="000000"/>
          <w:sz w:val="24"/>
          <w:szCs w:val="24"/>
          <w:rtl/>
        </w:rPr>
        <w:t xml:space="preserve">רציונל המחקר</w:t>
      </w:r>
    </w:p>
    <w:p>
      <w:pPr>
        <w:bidi/>
        <w:spacing w:after="120" w:line="360"/>
        <w:ind w:firstLine="709"/>
        <w:jc w:val="both"/>
      </w:pPr>
      <w:r>
        <w:rPr>
          <w:rFonts w:ascii="Times New Roman" w:cs="David" w:eastAsia="David" w:hAnsi="Times New Roman"/>
          <w:sz w:val="24"/>
          <w:szCs w:val="24"/>
          <w:rt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color w:val="000000"/>
          <w:sz w:val="24"/>
          <w:szCs w:val="24"/>
          <w:rtl/>
        </w:rPr>
        <w:t xml:space="preserve">מטרת המחקר</w:t>
      </w:r>
    </w:p>
    <w:p>
      <w:pPr>
        <w:bidi/>
        <w:spacing w:after="120" w:line="360"/>
        <w:jc w:val="both"/>
      </w:pPr>
      <w:r>
        <w:rPr>
          <w:rFonts w:ascii="Times New Roman" w:cs="David" w:eastAsia="David" w:hAnsi="Times New Roman"/>
          <w:sz w:val="24"/>
          <w:szCs w:val="24"/>
          <w:rtl/>
        </w:rPr>
        <w:t xml:space="preserve">למחקר שלוש מטרות:</w:t>
      </w:r>
    </w:p>
    <w:p>
      <w:pPr>
        <w:pStyle w:val="ListParagraph"/>
        <w:numPr>
          <w:ilvl w:val="0"/>
          <w:numId w:val="2"/>
        </w:numPr>
        <w:bidi/>
        <w:spacing w:after="60" w:line="360"/>
        <w:jc w:val="both"/>
      </w:pPr>
      <w:r>
        <w:rPr>
          <w:rFonts w:ascii="Times New Roman" w:cs="David" w:eastAsia="David" w:hAnsi="Times New Roman"/>
          <w:sz w:val="24"/>
          <w:szCs w:val="24"/>
          <w:rt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sz w:val="24"/>
          <w:szCs w:val="24"/>
          <w:rt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sz w:val="24"/>
          <w:szCs w:val="24"/>
          <w:rt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שאלות המחקר</w:t>
      </w:r>
    </w:p>
    <w:p>
      <w:pPr>
        <w:pStyle w:val="ListParagraph"/>
        <w:numPr>
          <w:ilvl w:val="0"/>
          <w:numId w:val="3"/>
        </w:numPr>
        <w:bidi/>
        <w:spacing w:after="60" w:line="360"/>
        <w:jc w:val="both"/>
      </w:pPr>
      <w:r>
        <w:rPr>
          <w:rFonts w:ascii="Times New Roman" w:cs="David" w:eastAsia="David" w:hAnsi="Times New Roman"/>
          <w:sz w:val="24"/>
          <w:szCs w:val="24"/>
          <w:rt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השערות המחקר</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sz w:val="24"/>
          <w:szCs w:val="24"/>
          <w:rt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2: שיטת המחקר</w:t>
      </w:r>
    </w:p>
    <w:p>
      <w:pPr>
        <w:pStyle w:val="Heading2"/>
        <w:bidi/>
        <w:spacing w:after="120" w:before="240" w:line="360"/>
        <w:jc w:val="right"/>
      </w:pPr>
      <w:r>
        <w:rPr>
          <w:rFonts w:ascii="Times New Roman" w:cs="David" w:eastAsia="David" w:hAnsi="Times New Roman"/>
          <w:b/>
          <w:bCs/>
          <w:color w:val="000000"/>
          <w:sz w:val="28"/>
          <w:szCs w:val="28"/>
          <w:rtl/>
        </w:rPr>
        <w:t xml:space="preserve">2.1 מערך המחקר</w:t>
      </w:r>
    </w:p>
    <w:p>
      <w:pPr>
        <w:bidi/>
        <w:spacing w:after="120" w:line="360"/>
        <w:ind w:firstLine="709"/>
        <w:jc w:val="both"/>
      </w:pPr>
      <w:r>
        <w:rPr>
          <w:rFonts w:ascii="Times New Roman" w:cs="David" w:eastAsia="David" w:hAnsi="Times New Roman"/>
          <w:sz w:val="24"/>
          <w:szCs w:val="24"/>
          <w:rt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sz w:val="24"/>
          <w:szCs w:val="24"/>
          <w:rtl/>
        </w:rPr>
        <w:t xml:space="preserve">משתני המחקר:</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2.2 אוכלוסיית המחקר והמדגם</w:t>
      </w:r>
    </w:p>
    <w:p>
      <w:pPr>
        <w:bidi/>
        <w:spacing w:after="120" w:line="360"/>
        <w:ind w:firstLine="709"/>
        <w:jc w:val="both"/>
      </w:pPr>
      <w:r>
        <w:rPr>
          <w:rFonts w:ascii="Times New Roman" w:cs="David" w:eastAsia="David" w:hAnsi="Times New Roman"/>
          <w:sz w:val="24"/>
          <w:szCs w:val="24"/>
          <w:rt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ind w:firstLine="709"/>
        <w:jc w:val="both"/>
      </w:pPr>
      <w:r>
        <w:rPr>
          <w:rFonts w:ascii="Times New Roman" w:cs="David" w:eastAsia="David" w:hAnsi="Times New Roman"/>
          <w:sz w:val="24"/>
          <w:szCs w:val="24"/>
          <w:rt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color w:val="000000"/>
          <w:sz w:val="28"/>
          <w:szCs w:val="28"/>
          <w:rtl/>
        </w:rPr>
        <w:t xml:space="preserve">2.3 כלי המחקר</w:t>
      </w:r>
    </w:p>
    <w:p>
      <w:pPr>
        <w:bidi/>
        <w:spacing w:after="120" w:line="360"/>
        <w:ind w:firstLine="709"/>
        <w:jc w:val="both"/>
      </w:pPr>
      <w:r>
        <w:rPr>
          <w:rFonts w:ascii="Times New Roman" w:cs="David" w:eastAsia="David" w:hAnsi="Times New Roman"/>
          <w:sz w:val="24"/>
          <w:szCs w:val="24"/>
          <w:rt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color w:val="000000"/>
          <w:sz w:val="24"/>
          <w:szCs w:val="24"/>
          <w:rtl/>
        </w:rPr>
        <w:t xml:space="preserve">חלק א: שאלון פרטים אישיים</w:t>
      </w:r>
    </w:p>
    <w:p>
      <w:pPr>
        <w:bidi/>
        <w:spacing w:after="120" w:line="360"/>
        <w:jc w:val="both"/>
      </w:pPr>
      <w:r>
        <w:rPr>
          <w:rFonts w:ascii="Times New Roman" w:cs="David" w:eastAsia="David" w:hAnsi="Times New Roman"/>
          <w:sz w:val="24"/>
          <w:szCs w:val="24"/>
          <w:rt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color w:val="000000"/>
          <w:sz w:val="24"/>
          <w:szCs w:val="24"/>
          <w:rtl/>
        </w:rPr>
        <w:t xml:space="preserve">חלק ב: שאלון חשיפה למסכים</w:t>
      </w:r>
    </w:p>
    <w:p>
      <w:pPr>
        <w:bidi/>
        <w:spacing w:after="120" w:line="360"/>
        <w:jc w:val="both"/>
      </w:pPr>
      <w:r>
        <w:rPr>
          <w:rFonts w:ascii="Times New Roman" w:cs="David" w:eastAsia="David" w:hAnsi="Times New Roman"/>
          <w:sz w:val="24"/>
          <w:szCs w:val="24"/>
          <w:rt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color w:val="000000"/>
          <w:sz w:val="24"/>
          <w:szCs w:val="24"/>
          <w:rtl/>
        </w:rPr>
        <w:t xml:space="preserve">חלק ג: שאלון הרגלי שינה וישנוניות</w:t>
      </w:r>
    </w:p>
    <w:p>
      <w:pPr>
        <w:bidi/>
        <w:spacing w:after="120" w:line="360"/>
        <w:jc w:val="both"/>
      </w:pPr>
      <w:r>
        <w:rPr>
          <w:rFonts w:ascii="Times New Roman" w:cs="David" w:eastAsia="David" w:hAnsi="Times New Roman"/>
          <w:sz w:val="24"/>
          <w:szCs w:val="24"/>
          <w:rt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color w:val="000000"/>
          <w:sz w:val="24"/>
          <w:szCs w:val="24"/>
          <w:rtl/>
        </w:rPr>
        <w:t xml:space="preserve">חלק ד: שאלון פעילות גופנית</w:t>
      </w:r>
    </w:p>
    <w:p>
      <w:pPr>
        <w:bidi/>
        <w:spacing w:after="120" w:line="360"/>
        <w:jc w:val="both"/>
      </w:pPr>
      <w:r>
        <w:rPr>
          <w:rFonts w:ascii="Times New Roman" w:cs="David" w:eastAsia="David" w:hAnsi="Times New Roman"/>
          <w:sz w:val="24"/>
          <w:szCs w:val="24"/>
          <w:rt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color w:val="000000"/>
          <w:sz w:val="24"/>
          <w:szCs w:val="24"/>
          <w:rtl/>
        </w:rPr>
        <w:t xml:space="preserve">חלק ה: שאלון תפקוד לימודי מדווח</w:t>
      </w:r>
    </w:p>
    <w:p>
      <w:pPr>
        <w:bidi/>
        <w:spacing w:after="120" w:line="360"/>
        <w:jc w:val="both"/>
      </w:pPr>
      <w:r>
        <w:rPr>
          <w:rFonts w:ascii="Times New Roman" w:cs="David" w:eastAsia="David" w:hAnsi="Times New Roman"/>
          <w:sz w:val="24"/>
          <w:szCs w:val="24"/>
          <w:rt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color w:val="000000"/>
          <w:sz w:val="28"/>
          <w:szCs w:val="28"/>
          <w:rtl/>
        </w:rPr>
        <w:t xml:space="preserve">2.4 הליך המחקר</w:t>
      </w:r>
    </w:p>
    <w:p>
      <w:pPr>
        <w:bidi/>
        <w:spacing w:after="120" w:line="360"/>
        <w:ind w:firstLine="709"/>
        <w:jc w:val="both"/>
      </w:pPr>
      <w:r>
        <w:rPr>
          <w:rFonts w:ascii="Times New Roman" w:cs="David" w:eastAsia="David" w:hAnsi="Times New Roman"/>
          <w:sz w:val="24"/>
          <w:szCs w:val="24"/>
          <w:rt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color w:val="000000"/>
          <w:sz w:val="28"/>
          <w:szCs w:val="28"/>
          <w:rtl/>
        </w:rPr>
        <w:t xml:space="preserve">2.5 ניתוח הנתונים</w:t>
      </w:r>
    </w:p>
    <w:p>
      <w:pPr>
        <w:bidi/>
        <w:spacing w:after="120" w:line="360"/>
        <w:ind w:firstLine="709"/>
        <w:jc w:val="both"/>
      </w:pPr>
      <w:r>
        <w:rPr>
          <w:rFonts w:ascii="Times New Roman" w:cs="David" w:eastAsia="David" w:hAnsi="Times New Roman"/>
          <w:sz w:val="24"/>
          <w:szCs w:val="24"/>
          <w:rt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2.6 שיקולים אתיים</w:t>
      </w:r>
    </w:p>
    <w:p>
      <w:pPr>
        <w:bidi/>
        <w:spacing w:after="120" w:line="360"/>
        <w:ind w:firstLine="709"/>
        <w:jc w:val="both"/>
      </w:pPr>
      <w:r>
        <w:rPr>
          <w:rFonts w:ascii="Times New Roman" w:cs="David" w:eastAsia="David" w:hAnsi="Times New Roman"/>
          <w:sz w:val="24"/>
          <w:szCs w:val="24"/>
          <w:rt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color w:val="000000"/>
          <w:sz w:val="28"/>
          <w:szCs w:val="28"/>
          <w:rtl/>
        </w:rPr>
        <w:t xml:space="preserve">2.7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3: ממצאים (תוצאות)</w:t>
      </w:r>
    </w:p>
    <w:p>
      <w:pPr>
        <w:bidi/>
        <w:spacing w:after="120" w:line="360"/>
        <w:jc w:val="both"/>
      </w:pPr>
      <w:r>
        <w:rPr>
          <w:rFonts w:ascii="Times New Roman" w:cs="David" w:eastAsia="David" w:hAnsi="Times New Roman"/>
          <w:b/>
          <w:bCs/>
          <w:color w:val="C00000"/>
          <w:sz w:val="24"/>
          <w:szCs w:val="24"/>
          <w:rtl/>
        </w:rPr>
        <w:t xml:space="preserve">[הערה לגרסה זו: פרקי הממצאים, הדיון והסיכום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ind w:firstLine="709"/>
        <w:jc w:val="both"/>
      </w:pPr>
      <w:r>
        <w:rPr>
          <w:rFonts w:ascii="Times New Roman" w:cs="David" w:eastAsia="David" w:hAnsi="Times New Roman"/>
          <w:sz w:val="24"/>
          <w:szCs w:val="24"/>
          <w:rt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3.1 אוכלוסיית המחקר</w:t>
      </w:r>
    </w:p>
    <w:p>
      <w:pPr>
        <w:bidi/>
        <w:spacing w:after="120" w:line="360"/>
        <w:jc w:val="both"/>
      </w:pPr>
      <w:r>
        <w:rPr>
          <w:rFonts w:ascii="Times New Roman" w:cs="David" w:eastAsia="David" w:hAnsi="Times New Roman"/>
          <w:sz w:val="24"/>
          <w:szCs w:val="24"/>
          <w:rt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sz w:val="24"/>
          <w:szCs w:val="24"/>
          <w:rt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נספח ב'.</w:t>
      </w:r>
    </w:p>
    <w:p>
      <w:pPr>
        <w:bidi/>
        <w:spacing w:after="120" w:line="360"/>
        <w:ind w:firstLine="709"/>
        <w:jc w:val="both"/>
      </w:pPr>
      <w:r>
        <w:rPr>
          <w:rFonts w:ascii="Times New Roman" w:cs="David" w:eastAsia="David" w:hAnsi="Times New Roman"/>
          <w:sz w:val="24"/>
          <w:szCs w:val="24"/>
          <w:rt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3.2 מהימנות הסולמות</w:t>
      </w:r>
    </w:p>
    <w:p>
      <w:pPr>
        <w:bidi/>
        <w:spacing w:after="120" w:line="360"/>
        <w:jc w:val="both"/>
      </w:pPr>
      <w:r>
        <w:rPr>
          <w:rFonts w:ascii="Times New Roman" w:cs="David" w:eastAsia="David" w:hAnsi="Times New Roman"/>
          <w:sz w:val="24"/>
          <w:szCs w:val="24"/>
          <w:rtl/>
        </w:rPr>
        <w:t xml:space="preserve">לוח 2 מציג את הרכב שני הסולמות ואת מקדמי המהימנות שלהם.</w:t>
      </w:r>
    </w:p>
    <w:p>
      <w:pPr>
        <w:keepNext/>
        <w:bidi/>
        <w:spacing w:after="80" w:before="200" w:line="360"/>
        <w:jc w:val="right"/>
      </w:pPr>
      <w:r>
        <w:rPr>
          <w:rFonts w:ascii="Times New Roman" w:cs="David" w:eastAsia="David" w:hAnsi="Times New Roman"/>
          <w:b/>
          <w:bCs/>
          <w:sz w:val="24"/>
          <w:szCs w:val="24"/>
          <w:rtl/>
        </w:rPr>
        <w:t xml:space="preserve">לוח 2: הרכב הסולמות ומהימנותם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800"/>
        <w:gridCol w:w="2800"/>
        <w:gridCol w:w="1600"/>
        <w:gridCol w:w="16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סולם</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מספר פריטים</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פריט הפוך</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טווח הציון</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α של קרונבך</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3 (ערנות)</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2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4 (עייפות בשיעורים)</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0.63</w:t>
            </w:r>
          </w:p>
        </w:tc>
      </w:tr>
    </w:tbl>
    <w:p>
      <w:pPr>
        <w:bidi/>
        <w:spacing w:after="120" w:line="276"/>
        <w:jc w:val="both"/>
      </w:pPr>
      <w:r>
        <w:rPr>
          <w:rFonts w:ascii="Times New Roman" w:cs="David" w:eastAsia="David" w:hAnsi="Times New Roman"/>
          <w:sz w:val="20"/>
          <w:szCs w:val="20"/>
          <w:rtl/>
        </w:rPr>
        <w:t xml:space="preserve">הערה. מקור: פלט Reliability, נספח ב'.</w:t>
      </w:r>
    </w:p>
    <w:p>
      <w:pPr>
        <w:bidi/>
        <w:spacing w:after="120" w:line="360"/>
        <w:ind w:firstLine="709"/>
        <w:jc w:val="both"/>
      </w:pPr>
      <w:r>
        <w:rPr>
          <w:rFonts w:ascii="Times New Roman" w:cs="David" w:eastAsia="David" w:hAnsi="Times New Roman"/>
          <w:sz w:val="24"/>
          <w:szCs w:val="24"/>
          <w:rtl/>
        </w:rPr>
        <w:t xml:space="preserve">מלוח 2 ניתן ללמוד כי סולם הישנוניות היומית מהימן (α = 0.85) ומתאים לשימוש כציון כולל. מהימנות סולם התפקוד היומי בלמידה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color w:val="000000"/>
          <w:sz w:val="28"/>
          <w:szCs w:val="28"/>
          <w:rt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sz w:val="24"/>
          <w:szCs w:val="24"/>
          <w:rtl/>
        </w:rPr>
        <w:t xml:space="preserve">לוח 3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sz w:val="24"/>
          <w:szCs w:val="24"/>
          <w:rtl/>
        </w:rPr>
        <w:t xml:space="preserve">לוח 3: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2.98 (0.60)</w:t>
            </w:r>
          </w:p>
        </w:tc>
      </w:tr>
    </w:tbl>
    <w:p>
      <w:pPr>
        <w:bidi/>
        <w:spacing w:after="120" w:line="276"/>
        <w:jc w:val="both"/>
      </w:pPr>
      <w:r>
        <w:rPr>
          <w:rFonts w:ascii="Times New Roman" w:cs="David" w:eastAsia="David" w:hAnsi="Times New Roman"/>
          <w:sz w:val="20"/>
          <w:szCs w:val="20"/>
          <w:rtl/>
        </w:rPr>
        <w:t xml:space="preserve">הערה. הערכים הם ממוצע (סטיית תקן). שעת השינה מוצגת כשעה ממוצעת וסטיית התקן בשעות. מקור: פלט Descriptives, נספח ב'.</w:t>
      </w:r>
    </w:p>
    <w:p>
      <w:pPr>
        <w:bidi/>
        <w:spacing w:after="120" w:line="360"/>
        <w:ind w:firstLine="709"/>
        <w:jc w:val="both"/>
      </w:pPr>
      <w:r>
        <w:rPr>
          <w:rFonts w:ascii="Times New Roman" w:cs="David" w:eastAsia="David" w:hAnsi="Times New Roman"/>
          <w:sz w:val="24"/>
          <w:szCs w:val="24"/>
          <w:rtl/>
        </w:rPr>
        <w:t xml:space="preserve">מלוח 3 עולה כי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sz w:val="24"/>
          <w:szCs w:val="24"/>
          <w:rtl/>
        </w:rPr>
        <w:t xml:space="preserve">לוח 4 ותרשים 1 מציגים את שיעורי העמידה בשלוש ההמלצות ואת התפלגות מספר ההמלצות שמתקיימות.</w:t>
      </w:r>
    </w:p>
    <w:p>
      <w:pPr>
        <w:keepNext/>
        <w:bidi/>
        <w:spacing w:after="80" w:before="200" w:line="360"/>
        <w:jc w:val="right"/>
      </w:pPr>
      <w:r>
        <w:rPr>
          <w:rFonts w:ascii="Times New Roman" w:cs="David" w:eastAsia="David" w:hAnsi="Times New Roman"/>
          <w:b/>
          <w:bCs/>
          <w:sz w:val="24"/>
          <w:szCs w:val="24"/>
          <w:rtl/>
        </w:rPr>
        <w:t xml:space="preserve">לוח 4: שיעור העמידה בהמלצות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עד שעתיים ביום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9 (13.8%)</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 (9-11 / 8-10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גופנית בכל 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 (60.0%)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 (40.0%)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 (52.3%)</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 המלצות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(7.5%)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 (6.2%)</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שלוש המלצות</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 (0.0%)</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(1.5%)</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בפיצול לפי קבוצה, נספח ב'.</w:t>
      </w:r>
    </w:p>
    <w:p>
      <w:pPr>
        <w:keepNext/>
        <w:bidi/>
        <w:spacing w:after="80" w:before="200" w:line="360"/>
        <w:jc w:val="right"/>
      </w:pPr>
      <w:r>
        <w:rPr>
          <w:rFonts w:ascii="Times New Roman" w:cs="David" w:eastAsia="David" w:hAnsi="Times New Roman"/>
          <w:b/>
          <w:bCs/>
          <w:sz w:val="24"/>
          <w:szCs w:val="24"/>
          <w:rtl/>
        </w:rPr>
        <w:t xml:space="preserve">תרשים 1: אחוז העומדים בכל אחת מההמלצות לפי קבוצה</w:t>
      </w:r>
    </w:p>
    <w:p>
      <w:pPr>
        <w:keepNext/>
        <w:spacing w:after="60" w:before="120"/>
        <w:jc w:val="center"/>
      </w:pPr>
      <w:r>
        <w:drawing>
          <wp:inline distT="0" distB="0" distL="0" distR="0">
            <wp:extent cx="52197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3200400"/>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4 ומתרשים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 הפער הבולט בין הקבוצות הוא בהמלצת השינה.</w:t>
      </w:r>
    </w:p>
    <w:p>
      <w:pPr>
        <w:pStyle w:val="Heading2"/>
        <w:bidi/>
        <w:spacing w:after="120" w:before="240" w:line="360"/>
        <w:jc w:val="right"/>
      </w:pPr>
      <w:r>
        <w:rPr>
          <w:rFonts w:ascii="Times New Roman" w:cs="David" w:eastAsia="David" w:hAnsi="Times New Roman"/>
          <w:b/>
          <w:bCs/>
          <w:color w:val="000000"/>
          <w:sz w:val="28"/>
          <w:szCs w:val="28"/>
          <w:rtl/>
        </w:rPr>
        <w:t xml:space="preserve">3.4 שאלת מחקר 2 והשערה 1: חשיפה למסכים ושינה</w:t>
      </w:r>
    </w:p>
    <w:p>
      <w:pPr>
        <w:bidi/>
        <w:spacing w:after="120" w:line="360"/>
        <w:jc w:val="both"/>
      </w:pPr>
      <w:r>
        <w:rPr>
          <w:rFonts w:ascii="Times New Roman" w:cs="David" w:eastAsia="David" w:hAnsi="Times New Roman"/>
          <w:sz w:val="24"/>
          <w:szCs w:val="24"/>
          <w:rtl/>
        </w:rPr>
        <w:t xml:space="preserve">ההשערה הראשונה שיערה קשר שלילי בין היקף החשיפה למסכים לבין משך השינה, וקשר חיובי בינו לבין שעת שינה מאוחרת וישנוניות בשעות היום. לוח 5 מציג את מתאמי פירסון בקבוצת המחקר.</w:t>
      </w:r>
    </w:p>
    <w:p>
      <w:pPr>
        <w:keepNext/>
        <w:bidi/>
        <w:spacing w:after="80" w:before="200" w:line="360"/>
        <w:jc w:val="right"/>
      </w:pPr>
      <w:r>
        <w:rPr>
          <w:rFonts w:ascii="Times New Roman" w:cs="David" w:eastAsia="David" w:hAnsi="Times New Roman"/>
          <w:b/>
          <w:bCs/>
          <w:sz w:val="24"/>
          <w:szCs w:val="24"/>
          <w:rtl/>
        </w:rPr>
        <w:t xml:space="preserve">לוח 5: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bidi/>
        <w:spacing w:after="120" w:line="360"/>
        <w:ind w:firstLine="709"/>
        <w:jc w:val="both"/>
      </w:pPr>
      <w:r>
        <w:rPr>
          <w:rFonts w:ascii="Times New Roman" w:cs="David" w:eastAsia="David" w:hAnsi="Times New Roman"/>
          <w:sz w:val="24"/>
          <w:szCs w:val="24"/>
          <w:rtl/>
        </w:rPr>
        <w:t xml:space="preserve">מלוח 5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color w:val="000000"/>
          <w:sz w:val="28"/>
          <w:szCs w:val="28"/>
          <w:rtl/>
        </w:rPr>
        <w:t xml:space="preserve">3.5 שאלת מחקר 3 והשערה 2: חשיפה למסכים ופעילות גופנית</w:t>
      </w:r>
    </w:p>
    <w:p>
      <w:pPr>
        <w:bidi/>
        <w:spacing w:after="120" w:line="360"/>
        <w:jc w:val="both"/>
      </w:pPr>
      <w:r>
        <w:rPr>
          <w:rFonts w:ascii="Times New Roman" w:cs="David" w:eastAsia="David" w:hAnsi="Times New Roman"/>
          <w:sz w:val="24"/>
          <w:szCs w:val="24"/>
          <w:rtl/>
        </w:rPr>
        <w:t xml:space="preserve">ההשערה השנייה שיערה קשר שלילי בין היקף החשיפה למסכים לבין היקף הפעילות הגופנית. לוח 6 מציג את המתאמים.</w:t>
      </w:r>
    </w:p>
    <w:p>
      <w:pPr>
        <w:keepNext/>
        <w:bidi/>
        <w:spacing w:after="80" w:before="200" w:line="360"/>
        <w:jc w:val="right"/>
      </w:pPr>
      <w:r>
        <w:rPr>
          <w:rFonts w:ascii="Times New Roman" w:cs="David" w:eastAsia="David" w:hAnsi="Times New Roman"/>
          <w:b/>
          <w:bCs/>
          <w:sz w:val="24"/>
          <w:szCs w:val="24"/>
          <w:rtl/>
        </w:rPr>
        <w:t xml:space="preserve">לוח 6: מתאמי פירסון בין חשיפה למסכים לבין מדדי הפעילות הגופנית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500"/>
        <w:gridCol w:w="25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ימים עם 60 דקות פעילות</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שעות פעילות נמרצת בשבוע</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תדירות פעילות נמרצת (הפוך)</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p</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0.916</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0.976</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0.925</w:t>
            </w:r>
          </w:p>
        </w:tc>
      </w:tr>
    </w:tbl>
    <w:p>
      <w:pPr>
        <w:bidi/>
        <w:spacing w:after="120" w:line="276"/>
        <w:jc w:val="both"/>
      </w:pPr>
      <w:r>
        <w:rPr>
          <w:rFonts w:ascii="Times New Roman" w:cs="David" w:eastAsia="David" w:hAnsi="Times New Roman"/>
          <w:sz w:val="20"/>
          <w:szCs w:val="20"/>
          <w:rtl/>
        </w:rPr>
        <w:t xml:space="preserve">הערה. תדירות הפעילות הנמרצת מקודדת הפוך: ערך גבוה = פחות פעילות. מקור: פלט Correlations, נספח ב'.</w:t>
      </w:r>
    </w:p>
    <w:p>
      <w:pPr>
        <w:bidi/>
        <w:spacing w:after="120" w:line="360"/>
        <w:ind w:firstLine="709"/>
        <w:jc w:val="both"/>
      </w:pPr>
      <w:r>
        <w:rPr>
          <w:rFonts w:ascii="Times New Roman" w:cs="David" w:eastAsia="David" w:hAnsi="Times New Roman"/>
          <w:sz w:val="24"/>
          <w:szCs w:val="24"/>
          <w:rtl/>
        </w:rPr>
        <w:t xml:space="preserve">מלוח 6 עולה כי ההשערה לא אוששה. בקבוצת המחקר לא נמצא קשר בין זמן מסך הפנאי לבין מספר הימים עם 60 דקות פעילות, מספר שעות הפעילות הנמרצת בשבוע או תדירותה, וכל המתאמים קרובים לאפס.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color w:val="000000"/>
          <w:sz w:val="28"/>
          <w:szCs w:val="28"/>
          <w:rtl/>
        </w:rPr>
        <w:t xml:space="preserve">3.6 שאלת מחקר 4 והשערה 3: שלוש ההתנהגויות והתפקוד הלימודי</w:t>
      </w:r>
    </w:p>
    <w:p>
      <w:pPr>
        <w:bidi/>
        <w:spacing w:after="120" w:line="360"/>
        <w:jc w:val="both"/>
      </w:pPr>
      <w:r>
        <w:rPr>
          <w:rFonts w:ascii="Times New Roman" w:cs="David" w:eastAsia="David" w:hAnsi="Times New Roman"/>
          <w:sz w:val="24"/>
          <w:szCs w:val="24"/>
          <w:rtl/>
        </w:rPr>
        <w:t xml:space="preserve">ההשערה השלישית שיערה קשר שלילי בין החשיפה למסכים לבין התפקוד הלימודי המדווח, וקשר חיובי בין שינה ופעילות גופנית לבין התפקוד הלימודי. לוח 7 מציג את המתאמים בקבוצת המחקר, ותרשים 2 מציג את הקשר בין זמן המסך לממוצע הציונים.</w:t>
      </w:r>
    </w:p>
    <w:p>
      <w:pPr>
        <w:keepNext/>
        <w:bidi/>
        <w:spacing w:after="80" w:before="200" w:line="360"/>
        <w:jc w:val="right"/>
      </w:pPr>
      <w:r>
        <w:rPr>
          <w:rFonts w:ascii="Times New Roman" w:cs="David" w:eastAsia="David" w:hAnsi="Times New Roman"/>
          <w:b/>
          <w:bCs/>
          <w:sz w:val="24"/>
          <w:szCs w:val="24"/>
          <w:rtl/>
        </w:rPr>
        <w:t xml:space="preserve">לוח 7: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keepNext/>
        <w:bidi/>
        <w:spacing w:after="80" w:before="200" w:line="360"/>
        <w:jc w:val="right"/>
      </w:pPr>
      <w:r>
        <w:rPr>
          <w:rFonts w:ascii="Times New Roman" w:cs="David" w:eastAsia="David" w:hAnsi="Times New Roman"/>
          <w:b/>
          <w:bCs/>
          <w:sz w:val="24"/>
          <w:szCs w:val="24"/>
          <w:rtl/>
        </w:rPr>
        <w:t xml:space="preserve">תרשים 2: הקשר בין זמן מסך פנאי יומי לבין ממוצע הציונים בקבוצת המחקר (n = 40)</w:t>
      </w:r>
    </w:p>
    <w:p>
      <w:pPr>
        <w:keepNext/>
        <w:spacing w:after="60" w:before="120"/>
        <w:jc w:val="center"/>
      </w:pPr>
      <w:r>
        <w:drawing>
          <wp:inline distT="0" distB="0" distL="0" distR="0">
            <wp:extent cx="52197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338137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7 ומתרשים 2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sz w:val="24"/>
          <w:szCs w:val="24"/>
          <w:rtl/>
        </w:rPr>
        <w:t xml:space="preserve">כדי לבחון את התרומה הייחודית של כל התנהגות נערכה רגרסיה לינארית מרובה שבה ממוצע הציונים היה המשתנה התלוי. לוח 8 מציג את תוצאותיה.</w:t>
      </w:r>
    </w:p>
    <w:p>
      <w:pPr>
        <w:keepNext/>
        <w:bidi/>
        <w:spacing w:after="80" w:before="200" w:line="360"/>
        <w:jc w:val="right"/>
      </w:pPr>
      <w:r>
        <w:rPr>
          <w:rFonts w:ascii="Times New Roman" w:cs="David" w:eastAsia="David" w:hAnsi="Times New Roman"/>
          <w:b/>
          <w:bCs/>
          <w:sz w:val="24"/>
          <w:szCs w:val="24"/>
          <w:rtl/>
        </w:rPr>
        <w:t xml:space="preserve">לוח 8: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0.328</w:t>
            </w:r>
          </w:p>
        </w:tc>
      </w:tr>
    </w:tbl>
    <w:p>
      <w:pPr>
        <w:bidi/>
        <w:spacing w:after="120" w:line="276"/>
        <w:jc w:val="both"/>
      </w:pPr>
      <w:r>
        <w:rPr>
          <w:rFonts w:ascii="Times New Roman" w:cs="David" w:eastAsia="David" w:hAnsi="Times New Roman"/>
          <w:sz w:val="20"/>
          <w:szCs w:val="20"/>
          <w:rtl/>
        </w:rPr>
        <w:t xml:space="preserve">הערה. R² = 0.37, R² מתוקן = 0.28, F(5, 34) = 3.96, p = 0.006. מקור: פלט Regression, נספח ב'.</w:t>
      </w:r>
    </w:p>
    <w:p>
      <w:pPr>
        <w:bidi/>
        <w:spacing w:after="120" w:line="360"/>
        <w:ind w:firstLine="709"/>
        <w:jc w:val="both"/>
      </w:pPr>
      <w:r>
        <w:rPr>
          <w:rFonts w:ascii="Times New Roman" w:cs="David" w:eastAsia="David" w:hAnsi="Times New Roman"/>
          <w:sz w:val="24"/>
          <w:szCs w:val="24"/>
          <w:rtl/>
        </w:rPr>
        <w:t xml:space="preserve">מלוח 8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color w:val="000000"/>
          <w:sz w:val="28"/>
          <w:szCs w:val="28"/>
          <w:rtl/>
        </w:rPr>
        <w:t xml:space="preserve">3.7 השערה 4: מספר ההמלצות שמתקיימות והתפקוד הלימודי</w:t>
      </w:r>
    </w:p>
    <w:p>
      <w:pPr>
        <w:bidi/>
        <w:spacing w:after="120" w:line="360"/>
        <w:jc w:val="both"/>
      </w:pPr>
      <w:r>
        <w:rPr>
          <w:rFonts w:ascii="Times New Roman" w:cs="David" w:eastAsia="David" w:hAnsi="Times New Roman"/>
          <w:sz w:val="24"/>
          <w:szCs w:val="24"/>
          <w:rt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9 ותרשים 3 מציגים את התוצאות.</w:t>
      </w:r>
    </w:p>
    <w:p>
      <w:pPr>
        <w:keepNext/>
        <w:bidi/>
        <w:spacing w:after="80" w:before="200" w:line="360"/>
        <w:jc w:val="right"/>
      </w:pPr>
      <w:r>
        <w:rPr>
          <w:rFonts w:ascii="Times New Roman" w:cs="David" w:eastAsia="David" w:hAnsi="Times New Roman"/>
          <w:b/>
          <w:bCs/>
          <w:sz w:val="24"/>
          <w:szCs w:val="24"/>
          <w:rtl/>
        </w:rPr>
        <w:t xml:space="preserve">לוח 9: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3.57, p = 0.034, η² = 0.10</w:t>
            </w:r>
          </w:p>
        </w:tc>
      </w:tr>
    </w:tbl>
    <w:p>
      <w:pPr>
        <w:bidi/>
        <w:spacing w:after="120" w:line="276"/>
        <w:jc w:val="both"/>
      </w:pPr>
      <w:r>
        <w:rPr>
          <w:rFonts w:ascii="Times New Roman" w:cs="David" w:eastAsia="David" w:hAnsi="Times New Roman"/>
          <w:sz w:val="20"/>
          <w:szCs w:val="20"/>
          <w:rt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keepNext/>
        <w:bidi/>
        <w:spacing w:after="80" w:before="200" w:line="360"/>
        <w:jc w:val="right"/>
      </w:pPr>
      <w:r>
        <w:rPr>
          <w:rFonts w:ascii="Times New Roman" w:cs="David" w:eastAsia="David" w:hAnsi="Times New Roman"/>
          <w:b/>
          <w:bCs/>
          <w:sz w:val="24"/>
          <w:szCs w:val="24"/>
          <w:rtl/>
        </w:rPr>
        <w:t xml:space="preserve">תרשים 3: ממוצע הציונים לפי מספר ההמלצות שמתקיימות (N = 65, קווי השגיאה מייצגים שגיאת תקן)</w:t>
      </w:r>
    </w:p>
    <w:p>
      <w:pPr>
        <w:keepNext/>
        <w:spacing w:after="60" w:before="120"/>
        <w:jc w:val="center"/>
      </w:pPr>
      <w:r>
        <w:drawing>
          <wp:inline distT="0" distB="0" distL="0" distR="0">
            <wp:extent cx="44958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309562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9 ומתרשים 3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sz w:val="24"/>
          <w:szCs w:val="24"/>
          <w:rt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10 מציג את תוצאות מבחני t למדגמים בלתי תלויים, ולוח 11 את מבחני חי בריבוע לעמידה בהמלצות.</w:t>
      </w:r>
    </w:p>
    <w:p>
      <w:pPr>
        <w:keepNext/>
        <w:bidi/>
        <w:spacing w:after="80" w:before="200" w:line="360"/>
        <w:jc w:val="right"/>
      </w:pPr>
      <w:r>
        <w:rPr>
          <w:rFonts w:ascii="Times New Roman" w:cs="David" w:eastAsia="David" w:hAnsi="Times New Roman"/>
          <w:b/>
          <w:bCs/>
          <w:sz w:val="24"/>
          <w:szCs w:val="24"/>
          <w:rtl/>
        </w:rPr>
        <w:t xml:space="preserve">לוח 10: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r>
    </w:tbl>
    <w:p>
      <w:pPr>
        <w:bidi/>
        <w:spacing w:after="120" w:line="276"/>
        <w:jc w:val="both"/>
      </w:pPr>
      <w:r>
        <w:rPr>
          <w:rFonts w:ascii="Times New Roman" w:cs="David" w:eastAsia="David" w:hAnsi="Times New Roman"/>
          <w:sz w:val="20"/>
          <w:szCs w:val="20"/>
          <w:rtl/>
        </w:rPr>
        <w:t xml:space="preserve">הערה. הערכים הם ממוצע (סטיית תקן). d מדווח בערך מוחלט. מבחן Levene לא היה מובהק באף אחד מהמשתנים. מקור: פלט T-Test, נספח ב'.</w:t>
      </w:r>
    </w:p>
    <w:p>
      <w:pPr>
        <w:keepNext/>
        <w:bidi/>
        <w:spacing w:after="80" w:before="200" w:line="360"/>
        <w:jc w:val="right"/>
      </w:pPr>
      <w:r>
        <w:rPr>
          <w:rFonts w:ascii="Times New Roman" w:cs="David" w:eastAsia="David" w:hAnsi="Times New Roman"/>
          <w:b/>
          <w:bCs/>
          <w:sz w:val="24"/>
          <w:szCs w:val="24"/>
          <w:rtl/>
        </w:rPr>
        <w:t xml:space="preserve">לוח 11: עמידה בהמלצות לפי קבוצה, מבחני חי בריבוע</w:t>
      </w:r>
    </w:p>
    <w:tbl>
      <w:tblPr>
        <w:bidiVisual/>
        <w:tblW w:type="dxa" w:w="107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2400"/>
        <w:gridCol w:w="2400"/>
        <w:gridCol w:w="13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עומדים</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עומדים</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χ²(1)</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עד שעתיים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4.33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0.037</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בכל יום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bl>
    <w:p>
      <w:pPr>
        <w:bidi/>
        <w:spacing w:after="120" w:line="276"/>
        <w:jc w:val="both"/>
      </w:pPr>
      <w:r>
        <w:rPr>
          <w:rFonts w:ascii="Times New Roman" w:cs="David" w:eastAsia="David" w:hAnsi="Times New Roman"/>
          <w:sz w:val="20"/>
          <w:szCs w:val="20"/>
          <w:rtl/>
        </w:rPr>
        <w:t xml:space="preserve">הערה. בהמלצת הפעילות הגופנית התאים קטנים מ-5 ומבחן פישר המדויק נתן p = 1.000; בהמלצת השינה מבחן פישר נתן p = 0.067. מקור: פלט Crosstabs, נספח ב'.</w:t>
      </w:r>
    </w:p>
    <w:p>
      <w:pPr>
        <w:bidi/>
        <w:spacing w:after="120" w:line="360"/>
        <w:ind w:firstLine="709"/>
        <w:jc w:val="both"/>
      </w:pPr>
      <w:r>
        <w:rPr>
          <w:rFonts w:ascii="Times New Roman" w:cs="David" w:eastAsia="David" w:hAnsi="Times New Roman"/>
          <w:sz w:val="24"/>
          <w:szCs w:val="24"/>
          <w:rtl/>
        </w:rPr>
        <w:t xml:space="preserve">מלוחות 10 ו-11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בזמן המסך לא נמצא כל הבדל בין הקבוצות (d = 0.06), וגם לא בשיעור העומדים בהמלצת המסכים.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color w:val="000000"/>
          <w:sz w:val="28"/>
          <w:szCs w:val="28"/>
          <w:rtl/>
        </w:rPr>
        <w:t xml:space="preserve">3.9 סיכום הממצאים</w:t>
      </w:r>
    </w:p>
    <w:p>
      <w:pPr>
        <w:bidi/>
        <w:spacing w:after="120" w:line="360"/>
        <w:jc w:val="both"/>
      </w:pPr>
      <w:r>
        <w:rPr>
          <w:rFonts w:ascii="Times New Roman" w:cs="David" w:eastAsia="David" w:hAnsi="Times New Roman"/>
          <w:sz w:val="24"/>
          <w:szCs w:val="24"/>
          <w:rtl/>
        </w:rPr>
        <w:t xml:space="preserve">לוח 12 מסכם את מצב חמש ההשערות.</w:t>
      </w:r>
    </w:p>
    <w:p>
      <w:pPr>
        <w:keepNext/>
        <w:bidi/>
        <w:spacing w:after="80" w:before="200" w:line="360"/>
        <w:jc w:val="right"/>
      </w:pPr>
      <w:r>
        <w:rPr>
          <w:rFonts w:ascii="Times New Roman" w:cs="David" w:eastAsia="David" w:hAnsi="Times New Roman"/>
          <w:b/>
          <w:bCs/>
          <w:sz w:val="24"/>
          <w:szCs w:val="24"/>
          <w:rtl/>
        </w:rPr>
        <w:t xml:space="preserve">לוח 12: סיכום השערות המחקר</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1000"/>
        <w:gridCol w:w="4600"/>
        <w:gridCol w:w="5000"/>
      </w:tblGrid>
      <w:tr>
        <w:trPr>
          <w:cantSplit/>
          <w:tblHeader/>
        </w:trPr>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השערה</w:t>
            </w:r>
          </w:p>
        </w:tc>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תוכן</w:t>
            </w:r>
          </w:p>
        </w:tc>
        <w:tc>
          <w:tcPr>
            <w:tcW w:type="dxa" w:w="5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תוצאה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1</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שינה, לשינה מאוחרת ולישנוניות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2</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פעילות גופנית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לא 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3</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שינה ופעילות גופנית קשורים לתפקוד הלימודי</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מסכים, סדירות שינה וישנוניות כן; משך שינה ופעילות גופנית לא</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4</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עמידה ביותר המלצות קשורה לתפקוד לימודי טוב יותר</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5</w:t>
            </w:r>
          </w:p>
        </w:tc>
        <w:tc>
          <w:tcPr>
            <w:tcW w:type="dxa" w:w="4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תלמידים עם לקויות למידה ישנים פחות, ישנוניים ופעילים פחות, ועומדים פחות בהמלצות</w:t>
            </w:r>
          </w:p>
        </w:tc>
        <w:tc>
          <w:tcPr>
            <w:tcW w:type="dxa" w:w="5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עמידה בהמלצת השינה ותפקוד לימודי נמוכים יותר; יתר ההבדלים בכיוון המשוער אך לא מובהקים</w:t>
            </w:r>
          </w:p>
        </w:tc>
      </w:tr>
    </w:tbl>
    <w:p>
      <w:pPr>
        <w:bidi/>
        <w:spacing w:after="120" w:line="360"/>
        <w:ind w:firstLine="709"/>
        <w:jc w:val="both"/>
      </w:pPr>
      <w:r>
        <w:rPr>
          <w:rFonts w:ascii="Times New Roman" w:cs="David" w:eastAsia="David" w:hAnsi="Times New Roman"/>
          <w:sz w:val="24"/>
          <w:szCs w:val="24"/>
          <w:rtl/>
        </w:rPr>
        <w:t xml:space="preserve">מלוח 12 עולה כי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4: דיון</w:t>
      </w:r>
    </w:p>
    <w:p>
      <w:pPr>
        <w:bidi/>
        <w:spacing w:after="120" w:line="360"/>
        <w:ind w:firstLine="709"/>
        <w:jc w:val="both"/>
      </w:pPr>
      <w:r>
        <w:rPr>
          <w:rFonts w:ascii="Times New Roman" w:cs="David" w:eastAsia="David" w:hAnsi="Times New Roman"/>
          <w:sz w:val="24"/>
          <w:szCs w:val="24"/>
          <w:rt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color w:val="000000"/>
          <w:sz w:val="28"/>
          <w:szCs w:val="28"/>
          <w:rtl/>
        </w:rPr>
        <w:t xml:space="preserve">4.1 המסכים כגורם המרכזי</w:t>
      </w:r>
    </w:p>
    <w:p>
      <w:pPr>
        <w:bidi/>
        <w:spacing w:after="120" w:line="360"/>
        <w:ind w:firstLine="709"/>
        <w:jc w:val="both"/>
      </w:pPr>
      <w:r>
        <w:rPr>
          <w:rFonts w:ascii="Times New Roman" w:cs="David" w:eastAsia="David" w:hAnsi="Times New Roman"/>
          <w:sz w:val="24"/>
          <w:szCs w:val="24"/>
          <w:rt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ind w:firstLine="709"/>
        <w:jc w:val="both"/>
      </w:pPr>
      <w:r>
        <w:rPr>
          <w:rFonts w:ascii="Times New Roman" w:cs="David" w:eastAsia="David" w:hAnsi="Times New Roman"/>
          <w:sz w:val="24"/>
          <w:szCs w:val="24"/>
          <w:rt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color w:val="000000"/>
          <w:sz w:val="28"/>
          <w:szCs w:val="28"/>
          <w:rtl/>
        </w:rPr>
        <w:t xml:space="preserve">4.2 הפעילות הגופנית: היעדר קשר ומשמעותו</w:t>
      </w:r>
    </w:p>
    <w:p>
      <w:pPr>
        <w:bidi/>
        <w:spacing w:after="120" w:line="360"/>
        <w:ind w:firstLine="709"/>
        <w:jc w:val="both"/>
      </w:pPr>
      <w:r>
        <w:rPr>
          <w:rFonts w:ascii="Times New Roman" w:cs="David" w:eastAsia="David" w:hAnsi="Times New Roman"/>
          <w:sz w:val="24"/>
          <w:szCs w:val="24"/>
          <w:rt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ind w:firstLine="709"/>
        <w:jc w:val="both"/>
      </w:pPr>
      <w:r>
        <w:rPr>
          <w:rFonts w:ascii="Times New Roman" w:cs="David" w:eastAsia="David" w:hAnsi="Times New Roman"/>
          <w:sz w:val="24"/>
          <w:szCs w:val="24"/>
          <w:rt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color w:val="000000"/>
          <w:sz w:val="28"/>
          <w:szCs w:val="28"/>
          <w:rtl/>
        </w:rPr>
        <w:t xml:space="preserve">4.3 העמידה בהמלצות</w:t>
      </w:r>
    </w:p>
    <w:p>
      <w:pPr>
        <w:bidi/>
        <w:spacing w:after="120" w:line="360"/>
        <w:ind w:firstLine="709"/>
        <w:jc w:val="both"/>
      </w:pPr>
      <w:r>
        <w:rPr>
          <w:rFonts w:ascii="Times New Roman" w:cs="David" w:eastAsia="David" w:hAnsi="Times New Roman"/>
          <w:sz w:val="24"/>
          <w:szCs w:val="24"/>
          <w:rt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color w:val="000000"/>
          <w:sz w:val="28"/>
          <w:szCs w:val="28"/>
          <w:rtl/>
        </w:rPr>
        <w:t xml:space="preserve">4.4 תלמידים עם וללא לקויות למידה</w:t>
      </w:r>
    </w:p>
    <w:p>
      <w:pPr>
        <w:bidi/>
        <w:spacing w:after="120" w:line="360"/>
        <w:ind w:firstLine="709"/>
        <w:jc w:val="both"/>
      </w:pPr>
      <w:r>
        <w:rPr>
          <w:rFonts w:ascii="Times New Roman" w:cs="David" w:eastAsia="David" w:hAnsi="Times New Roman"/>
          <w:sz w:val="24"/>
          <w:szCs w:val="24"/>
          <w:rt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color w:val="000000"/>
          <w:sz w:val="28"/>
          <w:szCs w:val="28"/>
          <w:rtl/>
        </w:rPr>
        <w:t xml:space="preserve">4.5 מסקנות</w:t>
      </w:r>
    </w:p>
    <w:p>
      <w:pPr>
        <w:bidi/>
        <w:spacing w:after="120" w:line="360"/>
        <w:ind w:firstLine="709"/>
        <w:jc w:val="both"/>
      </w:pPr>
      <w:r>
        <w:rPr>
          <w:rFonts w:ascii="Times New Roman" w:cs="David" w:eastAsia="David" w:hAnsi="Times New Roman"/>
          <w:sz w:val="24"/>
          <w:szCs w:val="24"/>
          <w:rt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4.6 תרומת המחקר והשלכות יישומיות</w:t>
      </w:r>
    </w:p>
    <w:p>
      <w:pPr>
        <w:bidi/>
        <w:spacing w:after="120" w:line="360"/>
        <w:ind w:firstLine="709"/>
        <w:jc w:val="both"/>
      </w:pPr>
      <w:r>
        <w:rPr>
          <w:rFonts w:ascii="Times New Roman" w:cs="David" w:eastAsia="David" w:hAnsi="Times New Roman"/>
          <w:sz w:val="24"/>
          <w:szCs w:val="24"/>
          <w:rt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w:t>
      </w:r>
    </w:p>
    <w:p>
      <w:pPr>
        <w:pStyle w:val="Heading2"/>
        <w:bidi/>
        <w:spacing w:after="120" w:before="240" w:line="360"/>
        <w:jc w:val="right"/>
      </w:pPr>
      <w:r>
        <w:rPr>
          <w:rFonts w:ascii="Times New Roman" w:cs="David" w:eastAsia="David" w:hAnsi="Times New Roman"/>
          <w:b/>
          <w:bCs/>
          <w:color w:val="000000"/>
          <w:sz w:val="28"/>
          <w:szCs w:val="28"/>
          <w:rtl/>
        </w:rPr>
        <w:t xml:space="preserve">4.7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color w:val="000000"/>
          <w:sz w:val="28"/>
          <w:szCs w:val="28"/>
          <w:rtl/>
        </w:rPr>
        <w:t xml:space="preserve">4.8 כיווני מחקר עתידיים</w:t>
      </w:r>
    </w:p>
    <w:p>
      <w:pPr>
        <w:bidi/>
        <w:spacing w:after="120" w:line="360"/>
        <w:ind w:firstLine="709"/>
        <w:jc w:val="both"/>
      </w:pPr>
      <w:r>
        <w:rPr>
          <w:rFonts w:ascii="Times New Roman" w:cs="David" w:eastAsia="David" w:hAnsi="Times New Roman"/>
          <w:sz w:val="24"/>
          <w:szCs w:val="24"/>
          <w:rt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סיכום</w:t>
      </w:r>
    </w:p>
    <w:p>
      <w:pPr>
        <w:bidi/>
        <w:spacing w:after="120" w:line="360"/>
        <w:ind w:firstLine="709"/>
        <w:jc w:val="both"/>
      </w:pPr>
      <w:r>
        <w:rPr>
          <w:rFonts w:ascii="Times New Roman" w:cs="David" w:eastAsia="David" w:hAnsi="Times New Roman"/>
          <w:sz w:val="24"/>
          <w:szCs w:val="24"/>
          <w:rt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גילוי נאות</w:t>
      </w:r>
    </w:p>
    <w:p>
      <w:pPr>
        <w:bidi/>
        <w:spacing w:after="120" w:line="360"/>
        <w:ind w:firstLine="709"/>
        <w:jc w:val="both"/>
      </w:pPr>
      <w:r>
        <w:rPr>
          <w:rFonts w:ascii="Times New Roman" w:cs="David" w:eastAsia="David" w:hAnsi="Times New Roman"/>
          <w:sz w:val="24"/>
          <w:szCs w:val="24"/>
          <w:rt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ביבליוגרפיה</w:t>
      </w:r>
    </w:p>
    <w:p>
      <w:pPr>
        <w:bidi/>
        <w:spacing w:after="120" w:line="360"/>
        <w:ind w:start="709" w:hanging="709"/>
        <w:jc w:val="right"/>
      </w:pPr>
      <w:r>
        <w:rPr>
          <w:rFonts w:ascii="Times New Roman" w:cs="David" w:eastAsia="David" w:hAnsi="Times New Roman"/>
          <w:sz w:val="24"/>
          <w:szCs w:val="24"/>
          <w:rt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sz w:val="24"/>
          <w:szCs w:val="24"/>
          <w:rt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sz w:val="24"/>
          <w:szCs w:val="24"/>
          <w:rt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sz w:val="24"/>
          <w:szCs w:val="24"/>
          <w:rt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sz w:val="24"/>
          <w:szCs w:val="24"/>
          <w:rt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sz w:val="24"/>
          <w:szCs w:val="24"/>
          <w:rt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sz w:val="24"/>
          <w:szCs w:val="24"/>
          <w:rt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sz w:val="24"/>
          <w:szCs w:val="24"/>
          <w:rt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sz w:val="24"/>
          <w:szCs w:val="24"/>
          <w:rt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sz w:val="24"/>
          <w:szCs w:val="24"/>
          <w:rt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sz w:val="24"/>
          <w:szCs w:val="24"/>
          <w:rt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sz w:val="24"/>
          <w:szCs w:val="24"/>
          <w:rt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sz w:val="24"/>
          <w:szCs w:val="24"/>
          <w:rt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sz w:val="24"/>
          <w:szCs w:val="24"/>
          <w:rt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sz w:val="24"/>
          <w:szCs w:val="24"/>
          <w:rt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sz w:val="24"/>
          <w:szCs w:val="24"/>
          <w:rt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sz w:val="24"/>
          <w:szCs w:val="24"/>
          <w:rt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sz w:val="24"/>
          <w:szCs w:val="24"/>
        </w:rPr>
        <w:t xml:space="preserve">Blanchet, M., &amp; Assaiante, C. (2022). Specific learning disorder in children and adolescents, a scoping review on motor impairments and their potential impacts. </w:t>
      </w:r>
      <w:r>
        <w:rPr>
          <w:rFonts w:ascii="Times New Roman" w:cs="Times New Roman" w:hAnsi="Times New Roman"/>
          <w:i/>
          <w:iCs/>
          <w:sz w:val="24"/>
          <w:szCs w:val="24"/>
        </w:rPr>
        <w:t xml:space="preserve">Children, 9</w:t>
      </w:r>
      <w:r>
        <w:rPr>
          <w:rFonts w:ascii="Times New Roman" w:cs="Times New Roman" w:hAnsi="Times New Roman"/>
          <w:i w:val="false"/>
          <w:iCs w:val="false"/>
          <w:sz w:val="24"/>
          <w:szCs w:val="24"/>
        </w:rPr>
        <w:t xml:space="preserve">(6), 892. https://doi.org/10.3390/children9060892</w:t>
      </w:r>
    </w:p>
    <w:p>
      <w:pPr>
        <w:bidi w:val="false"/>
        <w:spacing w:after="120" w:line="360"/>
        <w:ind w:left="709" w:hanging="709"/>
        <w:jc w:val="left"/>
      </w:pPr>
      <w:r>
        <w:rPr>
          <w:rFonts w:ascii="Times New Roman" w:cs="Times New Roman" w:hAnsi="Times New Roman"/>
          <w:i w:val="false"/>
          <w:iCs w:val="false"/>
          <w:sz w:val="24"/>
          <w:szCs w:val="24"/>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sz w:val="24"/>
          <w:szCs w:val="24"/>
        </w:rPr>
        <w:t xml:space="preserve">European Journal of Sport Science, 24</w:t>
      </w:r>
      <w:r>
        <w:rPr>
          <w:rFonts w:ascii="Times New Roman" w:cs="Times New Roman" w:hAnsi="Times New Roman"/>
          <w:i w:val="false"/>
          <w:iCs w:val="false"/>
          <w:sz w:val="24"/>
          <w:szCs w:val="24"/>
        </w:rPr>
        <w:t xml:space="preserve">(4), 487-498. https://doi.org/10.1002/ejsc.12034</w:t>
      </w:r>
    </w:p>
    <w:p>
      <w:pPr>
        <w:bidi w:val="false"/>
        <w:spacing w:after="120" w:line="360"/>
        <w:ind w:left="709" w:hanging="709"/>
        <w:jc w:val="left"/>
      </w:pPr>
      <w:r>
        <w:rPr>
          <w:rFonts w:ascii="Times New Roman" w:cs="Times New Roman" w:hAnsi="Times New Roman"/>
          <w:i w:val="false"/>
          <w:iCs w:val="false"/>
          <w:sz w:val="24"/>
          <w:szCs w:val="24"/>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sz w:val="24"/>
          <w:szCs w:val="24"/>
        </w:rPr>
        <w:t xml:space="preserve">BMC Public Health, 20</w:t>
      </w:r>
      <w:r>
        <w:rPr>
          <w:rFonts w:ascii="Times New Roman" w:cs="Times New Roman" w:hAnsi="Times New Roman"/>
          <w:i w:val="false"/>
          <w:iCs w:val="false"/>
          <w:sz w:val="24"/>
          <w:szCs w:val="24"/>
        </w:rPr>
        <w:t xml:space="preserve">, 520. https://doi.org/10.1186/s12889-020-08620-w</w:t>
      </w:r>
    </w:p>
    <w:p>
      <w:pPr>
        <w:bidi w:val="false"/>
        <w:spacing w:after="120" w:line="360"/>
        <w:ind w:left="709" w:hanging="709"/>
        <w:jc w:val="left"/>
      </w:pPr>
      <w:r>
        <w:rPr>
          <w:rFonts w:ascii="Times New Roman" w:cs="Times New Roman" w:hAnsi="Times New Roman"/>
          <w:i w:val="false"/>
          <w:iCs w:val="false"/>
          <w:sz w:val="24"/>
          <w:szCs w:val="24"/>
        </w:rPr>
        <w:t xml:space="preserve">Jeffcock, K., &amp; Dimitriou, D. (2025). A community study on sleep characteristics and anxiety symptoms in children with dyslexia. </w:t>
      </w:r>
      <w:r>
        <w:rPr>
          <w:rFonts w:ascii="Times New Roman" w:cs="Times New Roman" w:hAnsi="Times New Roman"/>
          <w:i/>
          <w:iCs/>
          <w:sz w:val="24"/>
          <w:szCs w:val="24"/>
        </w:rPr>
        <w:t xml:space="preserve">Brain Sciences, 15</w:t>
      </w:r>
      <w:r>
        <w:rPr>
          <w:rFonts w:ascii="Times New Roman" w:cs="Times New Roman" w:hAnsi="Times New Roman"/>
          <w:i w:val="false"/>
          <w:iCs w:val="false"/>
          <w:sz w:val="24"/>
          <w:szCs w:val="24"/>
        </w:rPr>
        <w:t xml:space="preserve">(7), 711. https://doi.org/10.3390/brainsci15070711</w:t>
      </w:r>
    </w:p>
    <w:p>
      <w:pPr>
        <w:bidi w:val="false"/>
        <w:spacing w:after="120" w:line="360"/>
        <w:ind w:left="709" w:hanging="709"/>
        <w:jc w:val="left"/>
      </w:pPr>
      <w:r>
        <w:rPr>
          <w:rFonts w:ascii="Times New Roman" w:cs="Times New Roman" w:hAnsi="Times New Roman"/>
          <w:i w:val="false"/>
          <w:iCs w:val="false"/>
          <w:sz w:val="24"/>
          <w:szCs w:val="24"/>
        </w:rPr>
        <w:t xml:space="preserve">Kocabas, S., Adak, I., Karakus, O. B., &amp; Toksoy, Z. E. (2025). Learning disability as a determinant of digital behavior in adolescents with ADHD: A cross-sectional study. </w:t>
      </w:r>
      <w:r>
        <w:rPr>
          <w:rFonts w:ascii="Times New Roman" w:cs="Times New Roman" w:hAnsi="Times New Roman"/>
          <w:i/>
          <w:iCs/>
          <w:sz w:val="24"/>
          <w:szCs w:val="24"/>
        </w:rPr>
        <w:t xml:space="preserve">European Child &amp; Adolescent Psychiatry, 34</w:t>
      </w:r>
      <w:r>
        <w:rPr>
          <w:rFonts w:ascii="Times New Roman" w:cs="Times New Roman" w:hAnsi="Times New Roman"/>
          <w:i w:val="false"/>
          <w:iCs w:val="false"/>
          <w:sz w:val="24"/>
          <w:szCs w:val="24"/>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sz w:val="24"/>
          <w:szCs w:val="24"/>
        </w:rPr>
        <w:t xml:space="preserve">Lund, L., Sølvhøj, I. N., Danielsen, D., &amp; Andersen, S. (2021). Electronic media use and sleep in children and adolescents in western countries: A systematic review. </w:t>
      </w:r>
      <w:r>
        <w:rPr>
          <w:rFonts w:ascii="Times New Roman" w:cs="Times New Roman" w:hAnsi="Times New Roman"/>
          <w:i/>
          <w:iCs/>
          <w:sz w:val="24"/>
          <w:szCs w:val="24"/>
        </w:rPr>
        <w:t xml:space="preserve">BMC Public Health, 21</w:t>
      </w:r>
      <w:r>
        <w:rPr>
          <w:rFonts w:ascii="Times New Roman" w:cs="Times New Roman" w:hAnsi="Times New Roman"/>
          <w:i w:val="false"/>
          <w:iCs w:val="false"/>
          <w:sz w:val="24"/>
          <w:szCs w:val="24"/>
        </w:rPr>
        <w:t xml:space="preserve">, 1598. https://doi.org/10.1186/s12889-021-11640-9</w:t>
      </w:r>
    </w:p>
    <w:p>
      <w:pPr>
        <w:bidi w:val="false"/>
        <w:spacing w:after="120" w:line="360"/>
        <w:ind w:left="709" w:hanging="709"/>
        <w:jc w:val="left"/>
      </w:pPr>
      <w:r>
        <w:rPr>
          <w:rFonts w:ascii="Times New Roman" w:cs="Times New Roman" w:hAnsi="Times New Roman"/>
          <w:i w:val="false"/>
          <w:iCs w:val="false"/>
          <w:sz w:val="24"/>
          <w:szCs w:val="24"/>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sz w:val="24"/>
          <w:szCs w:val="24"/>
        </w:rPr>
        <w:t xml:space="preserve">International Journal of Environmental Research and Public Health, 19</w:t>
      </w:r>
      <w:r>
        <w:rPr>
          <w:rFonts w:ascii="Times New Roman" w:cs="Times New Roman" w:hAnsi="Times New Roman"/>
          <w:i w:val="false"/>
          <w:iCs w:val="false"/>
          <w:sz w:val="24"/>
          <w:szCs w:val="24"/>
        </w:rPr>
        <w:t xml:space="preserve">(11), 6411. https://doi.org/10.3390/ijerph19116411</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נספחים</w:t>
      </w:r>
    </w:p>
    <w:p>
      <w:pPr>
        <w:pStyle w:val="Heading2"/>
        <w:bidi/>
        <w:spacing w:after="120" w:before="240" w:line="360"/>
        <w:jc w:val="right"/>
      </w:pPr>
      <w:r>
        <w:rPr>
          <w:rFonts w:ascii="Times New Roman" w:cs="David" w:eastAsia="David" w:hAnsi="Times New Roman"/>
          <w:b/>
          <w:bCs/>
          <w:color w:val="000000"/>
          <w:sz w:val="28"/>
          <w:szCs w:val="28"/>
          <w:rtl/>
        </w:rPr>
        <w:t xml:space="preserve">נספח א': שאלון המחקר</w:t>
      </w:r>
    </w:p>
    <w:p>
      <w:pPr>
        <w:bidi/>
        <w:spacing w:after="120" w:line="360"/>
        <w:jc w:val="both"/>
      </w:pPr>
      <w:r>
        <w:rPr>
          <w:rFonts w:ascii="Times New Roman" w:cs="David" w:eastAsia="David" w:hAnsi="Times New Roman"/>
          <w:sz w:val="24"/>
          <w:szCs w:val="24"/>
          <w:rt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color w:val="000000"/>
          <w:sz w:val="28"/>
          <w:szCs w:val="28"/>
          <w:rtl/>
        </w:rPr>
        <w:t xml:space="preserve">חלק א: פרטים אישיים</w:t>
      </w:r>
    </w:p>
    <w:p>
      <w:pPr>
        <w:pStyle w:val="ListParagraph"/>
        <w:numPr>
          <w:ilvl w:val="0"/>
          <w:numId w:val="6"/>
        </w:numPr>
        <w:bidi/>
        <w:spacing w:after="60" w:line="360"/>
        <w:jc w:val="both"/>
      </w:pPr>
      <w:r>
        <w:rPr>
          <w:rFonts w:ascii="Times New Roman" w:cs="David" w:eastAsia="David" w:hAnsi="Times New Roman"/>
          <w:sz w:val="24"/>
          <w:szCs w:val="24"/>
          <w:rtl/>
        </w:rPr>
        <w:t xml:space="preserve">מין: בן / בת / אחר</w:t>
      </w:r>
    </w:p>
    <w:p>
      <w:pPr>
        <w:pStyle w:val="ListParagraph"/>
        <w:numPr>
          <w:ilvl w:val="0"/>
          <w:numId w:val="6"/>
        </w:numPr>
        <w:bidi/>
        <w:spacing w:after="60" w:line="360"/>
        <w:jc w:val="both"/>
      </w:pPr>
      <w:r>
        <w:rPr>
          <w:rFonts w:ascii="Times New Roman" w:cs="David" w:eastAsia="David" w:hAnsi="Times New Roman"/>
          <w:sz w:val="24"/>
          <w:szCs w:val="24"/>
          <w:rtl/>
        </w:rPr>
        <w:t xml:space="preserve">גיל: ____</w:t>
      </w:r>
    </w:p>
    <w:p>
      <w:pPr>
        <w:pStyle w:val="ListParagraph"/>
        <w:numPr>
          <w:ilvl w:val="0"/>
          <w:numId w:val="6"/>
        </w:numPr>
        <w:bidi/>
        <w:spacing w:after="60" w:line="360"/>
        <w:jc w:val="both"/>
      </w:pPr>
      <w:r>
        <w:rPr>
          <w:rFonts w:ascii="Times New Roman" w:cs="David" w:eastAsia="David" w:hAnsi="Times New Roman"/>
          <w:sz w:val="24"/>
          <w:szCs w:val="24"/>
          <w:rtl/>
        </w:rPr>
        <w:t xml:space="preserve">כיתה: ז' / ח' / ט' / י' / י"א / י"ב</w:t>
      </w:r>
    </w:p>
    <w:p>
      <w:pPr>
        <w:pStyle w:val="ListParagraph"/>
        <w:numPr>
          <w:ilvl w:val="0"/>
          <w:numId w:val="6"/>
        </w:numPr>
        <w:bidi/>
        <w:spacing w:after="60" w:line="360"/>
        <w:jc w:val="both"/>
      </w:pPr>
      <w:r>
        <w:rPr>
          <w:rFonts w:ascii="Times New Roman" w:cs="David" w:eastAsia="David" w:hAnsi="Times New Roman"/>
          <w:sz w:val="24"/>
          <w:szCs w:val="24"/>
          <w:rt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ב: שימוש במסכים</w:t>
      </w:r>
    </w:p>
    <w:p>
      <w:pPr>
        <w:bidi/>
        <w:spacing w:after="120" w:line="360"/>
        <w:jc w:val="both"/>
      </w:pPr>
      <w:r>
        <w:rPr>
          <w:rFonts w:ascii="Times New Roman" w:cs="David" w:eastAsia="David" w:hAnsi="Times New Roman"/>
          <w:sz w:val="24"/>
          <w:szCs w:val="24"/>
          <w:rt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סוג הפעילות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יום חול (שעות)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סוף שבוע (שעות)</w:t>
            </w:r>
          </w:p>
        </w:tc>
      </w:tr>
      <w:tr>
        <w:tc>
          <w:tcPr>
            <w:tcW w:type="dxa" w:w="0"/>
          </w:tcPr>
          <w:p>
            <w:pPr>
              <w:bidi/>
              <w:spacing w:line="276"/>
              <w:jc w:val="right"/>
            </w:pPr>
            <w:r>
              <w:rPr>
                <w:rFonts w:ascii="Times New Roman" w:cs="David" w:eastAsia="David" w:hAnsi="Times New Roman"/>
                <w:b w:val="false"/>
                <w:bCs w:val="false"/>
                <w:sz w:val="22"/>
                <w:szCs w:val="22"/>
                <w:rt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bl>
    <w:p>
      <w:r>
        <w:rPr>
          <w:rFonts w:ascii="Times New Roman" w:cs="David" w:eastAsia="David" w:hAnsi="Times New Roman"/>
          <w:sz w:val="24"/>
          <w:szCs w:val="24"/>
          <w:rtl/>
        </w:rPr>
        <w:t xml:space="preserve"/>
      </w:r>
    </w:p>
    <w:p>
      <w:pPr>
        <w:pStyle w:val="ListParagraph"/>
        <w:numPr>
          <w:ilvl w:val="0"/>
          <w:numId w:val="7"/>
        </w:numPr>
        <w:bidi/>
        <w:spacing w:after="60" w:line="360"/>
        <w:jc w:val="both"/>
      </w:pPr>
      <w:r>
        <w:rPr>
          <w:rFonts w:ascii="Times New Roman" w:cs="David" w:eastAsia="David" w:hAnsi="Times New Roman"/>
          <w:sz w:val="24"/>
          <w:szCs w:val="24"/>
          <w:rt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sz w:val="24"/>
          <w:szCs w:val="24"/>
          <w:rt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sz w:val="24"/>
          <w:szCs w:val="24"/>
          <w:rt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color w:val="000000"/>
          <w:sz w:val="28"/>
          <w:szCs w:val="28"/>
          <w:rtl/>
        </w:rPr>
        <w:t xml:space="preserve">חלק ג: שינה</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sz w:val="24"/>
          <w:szCs w:val="24"/>
          <w:rt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sz w:val="24"/>
          <w:szCs w:val="24"/>
          <w:rt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color w:val="000000"/>
          <w:sz w:val="28"/>
          <w:szCs w:val="28"/>
          <w:rtl/>
        </w:rPr>
        <w:t xml:space="preserve">חלק ד: פעילות גופנית</w:t>
      </w:r>
    </w:p>
    <w:p>
      <w:pPr>
        <w:bidi/>
        <w:spacing w:after="120" w:line="360"/>
        <w:jc w:val="both"/>
      </w:pPr>
      <w:r>
        <w:rPr>
          <w:rFonts w:ascii="Times New Roman" w:cs="David" w:eastAsia="David" w:hAnsi="Times New Roman"/>
          <w:sz w:val="24"/>
          <w:szCs w:val="24"/>
          <w:rt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sz w:val="24"/>
          <w:szCs w:val="24"/>
          <w:rt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sz w:val="24"/>
          <w:szCs w:val="24"/>
          <w:rt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sz w:val="24"/>
          <w:szCs w:val="24"/>
          <w:rt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sz w:val="24"/>
          <w:szCs w:val="24"/>
          <w:rt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sz w:val="24"/>
          <w:szCs w:val="24"/>
          <w:rt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ה: תפקוד לימודי</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באנגלית? ____</w:t>
      </w:r>
    </w:p>
    <w:p>
      <w:pPr>
        <w:bidi/>
        <w:spacing w:after="120" w:line="360"/>
        <w:jc w:val="both"/>
      </w:pPr>
      <w:r>
        <w:rPr>
          <w:rFonts w:ascii="Times New Roman" w:cs="David" w:eastAsia="David" w:hAnsi="Times New Roman"/>
          <w:sz w:val="24"/>
          <w:szCs w:val="24"/>
          <w:rt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מאמין/ה ביכולת שלי להצליח בלימודים.</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sz w:val="24"/>
          <w:szCs w:val="24"/>
          <w:rtl/>
        </w:rPr>
        <w:t xml:space="preserve">תודה רבה על מילוי השאלון.</w:t>
      </w:r>
    </w:p>
    <w:p>
      <w:r>
        <w:br w:type="page"/>
      </w:r>
    </w:p>
    <w:p>
      <w:pPr>
        <w:pStyle w:val="Heading2"/>
        <w:bidi/>
        <w:spacing w:after="120" w:before="240" w:line="360"/>
        <w:jc w:val="right"/>
      </w:pPr>
      <w:r>
        <w:rPr>
          <w:rFonts w:ascii="Times New Roman" w:cs="David" w:eastAsia="David" w:hAnsi="Times New Roman"/>
          <w:b/>
          <w:bCs/>
          <w:color w:val="000000"/>
          <w:sz w:val="28"/>
          <w:szCs w:val="28"/>
          <w:rtl/>
        </w:rPr>
        <w:t xml:space="preserve">נספח ב': פלטי SPSS</w:t>
      </w:r>
    </w:p>
    <w:p>
      <w:pPr>
        <w:bidi/>
        <w:spacing w:after="120" w:line="360"/>
        <w:jc w:val="both"/>
      </w:pPr>
      <w:r>
        <w:rPr>
          <w:rFonts w:ascii="Times New Roman" w:cs="David" w:eastAsia="David" w:hAnsi="Times New Roman"/>
          <w:sz w:val="24"/>
          <w:szCs w:val="24"/>
          <w:rt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sz w:val="24"/>
          <w:szCs w:val="24"/>
          <w:rtl/>
        </w:rPr>
        <w:t xml:space="preserve">רקע: תיאור המדגם ומהימנות הכלים</w:t>
      </w:r>
    </w:p>
    <w:p>
      <w:pPr>
        <w:bidi/>
        <w:spacing w:after="80" w:line="276"/>
        <w:jc w:val="right"/>
      </w:pPr>
      <w:r>
        <w:rPr>
          <w:rFonts w:ascii="Times New Roman" w:cs="David" w:eastAsia="David" w:hAnsi="Times New Roman"/>
          <w:i/>
          <w:iCs/>
          <w:sz w:val="20"/>
          <w:szCs w:val="20"/>
          <w:rtl/>
        </w:rPr>
        <w:t xml:space="preserve">Frequencies (Group_LD, Gender, Grade) ו-Reliability לשני הסולמות</w:t>
      </w:r>
    </w:p>
    <w:p>
      <w:pPr>
        <w:keepNext/>
        <w:bidi w:val="false"/>
        <w:spacing w:after="40" w:before="160"/>
        <w:jc w:val="left"/>
      </w:pPr>
      <w:r>
        <w:rPr>
          <w:rFonts w:ascii="Arial" w:cs="Arial" w:hAnsi="Arial"/>
          <w:b/>
          <w:bCs/>
          <w:sz w:val="20"/>
          <w:szCs w:val="20"/>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sz w:val="20"/>
          <w:szCs w:val="20"/>
          <w:rt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sz w:val="20"/>
          <w:szCs w:val="20"/>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r>
    </w:tbl>
    <w:p>
      <w:pPr>
        <w:spacing w:after="60"/>
      </w:pPr>
    </w:p>
    <w:p>
      <w:pPr>
        <w:keepNext/>
        <w:bidi w:val="false"/>
        <w:spacing w:after="40" w:before="160"/>
        <w:jc w:val="left"/>
      </w:pPr>
      <w:r>
        <w:rPr>
          <w:rFonts w:ascii="Arial" w:cs="Arial" w:hAnsi="Arial"/>
          <w:b/>
          <w:bCs/>
          <w:sz w:val="20"/>
          <w:szCs w:val="20"/>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2 / השערה 1: חשיפה למסכים ושינה</w:t>
      </w:r>
    </w:p>
    <w:p>
      <w:pPr>
        <w:bidi/>
        <w:spacing w:after="80" w:line="276"/>
        <w:jc w:val="right"/>
      </w:pPr>
      <w:r>
        <w:rPr>
          <w:rFonts w:ascii="Times New Roman" w:cs="David" w:eastAsia="David" w:hAnsi="Times New Roman"/>
          <w:i/>
          <w:iCs/>
          <w:sz w:val="20"/>
          <w:szCs w:val="20"/>
          <w:rt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3 / השערה 2: חשיפה למסכים ופעילות גופנית</w:t>
      </w:r>
    </w:p>
    <w:p>
      <w:pPr>
        <w:bidi/>
        <w:spacing w:after="80" w:line="276"/>
        <w:jc w:val="right"/>
      </w:pPr>
      <w:r>
        <w:rPr>
          <w:rFonts w:ascii="Times New Roman" w:cs="David" w:eastAsia="David" w:hAnsi="Times New Roman"/>
          <w:i/>
          <w:iCs/>
          <w:sz w:val="20"/>
          <w:szCs w:val="20"/>
          <w:rt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sz w:val="20"/>
          <w:szCs w:val="20"/>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sz w:val="20"/>
          <w:szCs w:val="20"/>
          <w:rt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val="false"/>
        <w:spacing w:after="40" w:before="160"/>
        <w:jc w:val="left"/>
      </w:pPr>
      <w:r>
        <w:rPr>
          <w:rFonts w:ascii="Arial" w:cs="Arial" w:hAnsi="Arial"/>
          <w:b/>
          <w:bCs/>
          <w:sz w:val="20"/>
          <w:szCs w:val="20"/>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6.0063</w:t>
            </w:r>
          </w:p>
        </w:tc>
      </w:tr>
    </w:tbl>
    <w:p>
      <w:pPr>
        <w:spacing w:after="60"/>
      </w:pPr>
    </w:p>
    <w:p>
      <w:pPr>
        <w:keepNext/>
        <w:bidi w:val="false"/>
        <w:spacing w:after="40" w:before="160"/>
        <w:jc w:val="left"/>
      </w:pPr>
      <w:r>
        <w:rPr>
          <w:rFonts w:ascii="Arial" w:cs="Arial" w:hAnsi="Arial"/>
          <w:b/>
          <w:bCs/>
          <w:sz w:val="20"/>
          <w:szCs w:val="20"/>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sz w:val="20"/>
          <w:szCs w:val="20"/>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r>
    </w:tbl>
    <w:p>
      <w:pPr>
        <w:spacing w:after="60"/>
      </w:pPr>
    </w:p>
    <w:p>
      <w:pPr>
        <w:bidi w:val="false"/>
        <w:spacing w:after="120"/>
        <w:jc w:val="left"/>
      </w:pPr>
      <w:r>
        <w:rPr>
          <w:rFonts w:ascii="Arial" w:cs="Arial" w:hAnsi="Arial"/>
          <w:sz w:val="16"/>
          <w:szCs w:val="16"/>
        </w:rPr>
        <w:t xml:space="preserve">a. Dependent Variable: ממוצע ציונים</w:t>
      </w:r>
    </w:p>
    <w:p>
      <w:pPr>
        <w:keepNext/>
        <w:bidi/>
        <w:spacing w:after="60" w:before="240" w:line="360"/>
        <w:jc w:val="right"/>
      </w:pPr>
      <w:r>
        <w:rPr>
          <w:rFonts w:ascii="Times New Roman" w:cs="David" w:eastAsia="David" w:hAnsi="Times New Roman"/>
          <w:b/>
          <w:bCs/>
          <w:sz w:val="24"/>
          <w:szCs w:val="24"/>
          <w:rtl/>
        </w:rPr>
        <w:t xml:space="preserve">השערה 4: מספר ההמלצות שמתקיימות והתפקוד הלימודי</w:t>
      </w:r>
    </w:p>
    <w:p>
      <w:pPr>
        <w:bidi/>
        <w:spacing w:after="80" w:line="276"/>
        <w:jc w:val="right"/>
      </w:pPr>
      <w:r>
        <w:rPr>
          <w:rFonts w:ascii="Times New Roman" w:cs="David" w:eastAsia="David" w:hAnsi="Times New Roman"/>
          <w:i/>
          <w:iCs/>
          <w:sz w:val="20"/>
          <w:szCs w:val="20"/>
          <w:rt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sz w:val="20"/>
          <w:szCs w:val="20"/>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.074</w:t>
            </w:r>
          </w:p>
        </w:tc>
      </w:tr>
    </w:tbl>
    <w:p>
      <w:pPr>
        <w:spacing w:after="60"/>
      </w:pPr>
    </w:p>
    <w:p>
      <w:pPr>
        <w:keepNext/>
        <w:bidi w:val="false"/>
        <w:spacing w:after="40" w:before="160"/>
        <w:jc w:val="left"/>
      </w:pPr>
      <w:r>
        <w:rPr>
          <w:rFonts w:ascii="Arial" w:cs="Arial" w:hAnsi="Arial"/>
          <w:b/>
          <w:bCs/>
          <w:sz w:val="20"/>
          <w:szCs w:val="20"/>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sz w:val="20"/>
          <w:szCs w:val="20"/>
          <w:rt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sz w:val="20"/>
          <w:szCs w:val="20"/>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.124</w:t>
            </w:r>
          </w:p>
        </w:tc>
      </w:tr>
    </w:tbl>
    <w:p>
      <w:pPr>
        <w:spacing w:after="60"/>
      </w:pPr>
    </w:p>
    <w:p>
      <w:pPr>
        <w:keepNext/>
        <w:bidi w:val="false"/>
        <w:spacing w:after="40" w:before="160"/>
        <w:jc w:val="left"/>
      </w:pPr>
      <w:r>
        <w:rPr>
          <w:rFonts w:ascii="Arial" w:cs="Arial" w:hAnsi="Arial"/>
          <w:b/>
          <w:bCs/>
          <w:sz w:val="20"/>
          <w:szCs w:val="20"/>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bl>
    <w:p>
      <w:pPr>
        <w:spacing w:after="60"/>
      </w:pPr>
    </w:p>
    <w:p>
      <w:pPr>
        <w:bidi w:val="false"/>
        <w:spacing w:after="120"/>
        <w:jc w:val="left"/>
      </w:pPr>
      <w:r>
        <w:rPr>
          <w:rFonts w:ascii="Arial" w:cs="Arial" w:hAnsi="Arial"/>
          <w:sz w:val="16"/>
          <w:szCs w:val="16"/>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sz w:val="20"/>
          <w:szCs w:val="20"/>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sz w:val="24"/>
          <w:szCs w:val="24"/>
          <w:rtl/>
        </w:rPr>
        <w:t xml:space="preserve">הערה</w:t>
      </w:r>
    </w:p>
    <w:p>
      <w:pPr>
        <w:bidi/>
        <w:spacing w:after="80" w:line="276"/>
        <w:jc w:val="right"/>
      </w:pPr>
      <w:r>
        <w:rPr>
          <w:rFonts w:ascii="Times New Roman" w:cs="David" w:eastAsia="David" w:hAnsi="Times New Roman"/>
          <w:i/>
          <w:iCs/>
          <w:sz w:val="20"/>
          <w:szCs w:val="20"/>
          <w:rt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c702ab0adc7275457db7c7bef8b4df2f23aa991.png"/><Relationship Id="rId10" Type="http://schemas.openxmlformats.org/officeDocument/2006/relationships/image" Target="media/c8e6ab7d43c9187a97fd54d784beceb416267912.png"/><Relationship Id="rId11" Type="http://schemas.openxmlformats.org/officeDocument/2006/relationships/image" Target="media/d3ece647980c2d37ec38947598c8a303d40105e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2026-09-10T19:53:37.901Z</dcterms:created>
  <dcterms:modified xsi:type="dcterms:W3CDTF">2026-09-10T19:53:37.901Z</dcterms:modified>
</cp:coreProperties>
</file>

<file path=docProps/custom.xml><?xml version="1.0" encoding="utf-8"?>
<Properties xmlns="http://schemas.openxmlformats.org/officeDocument/2006/custom-properties" xmlns:vt="http://schemas.openxmlformats.org/officeDocument/2006/docPropsVTypes"/>
</file>