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360" w:lineRule="auto"/>
        <w:jc w:val="right"/>
      </w:pPr>
      <w:r>
        <w:rPr>
          <w:rFonts w:ascii="David" w:hAnsi="David" w:cs="David"/>
          <w:b w:val="0"/>
          <w:sz w:val="24"/>
          <w:rtl w:val="1"/>
        </w:rPr>
      </w:r>
    </w:p>
    <w:p>
      <w:pPr>
        <w:bidi/>
        <w:spacing w:after="120" w:before="0" w:line="360" w:lineRule="auto"/>
        <w:jc w:val="center"/>
      </w:pPr>
      <w:r>
        <w:rPr>
          <w:rFonts w:ascii="David" w:hAnsi="David" w:cs="David"/>
          <w:b/>
          <w:sz w:val="32"/>
          <w:rtl w:val="1"/>
        </w:rPr>
        <w:t>הקריה האקדמית אונו</w:t>
      </w:r>
    </w:p>
    <w:p>
      <w:pPr>
        <w:bidi/>
        <w:spacing w:after="800" w:before="0" w:line="360" w:lineRule="auto"/>
        <w:jc w:val="center"/>
      </w:pPr>
      <w:r>
        <w:rPr>
          <w:rFonts w:ascii="David" w:hAnsi="David" w:cs="David"/>
          <w:b/>
          <w:sz w:val="26"/>
          <w:rtl w:val="1"/>
        </w:rPr>
        <w:t>הפקולטה למדעי הרוח והחברה</w:t>
      </w:r>
    </w:p>
    <w:p>
      <w:pPr>
        <w:bidi/>
        <w:spacing w:after="160" w:before="0" w:line="360" w:lineRule="auto"/>
        <w:jc w:val="center"/>
      </w:pPr>
      <w:r>
        <w:rPr>
          <w:rFonts w:ascii="David" w:hAnsi="David" w:cs="David"/>
          <w:b/>
          <w:sz w:val="30"/>
          <w:rtl w:val="1"/>
        </w:rPr>
        <w:t>פסיכולוגיה התפתחותית א' - ינקות והתבגרות (מקוון)</w:t>
      </w:r>
    </w:p>
    <w:p>
      <w:pPr>
        <w:bidi/>
        <w:spacing w:after="1200" w:before="0" w:line="360" w:lineRule="auto"/>
        <w:jc w:val="center"/>
      </w:pPr>
      <w:r>
        <w:rPr>
          <w:rFonts w:ascii="David" w:hAnsi="David" w:cs="David"/>
          <w:b/>
          <w:sz w:val="28"/>
          <w:rtl w:val="1"/>
        </w:rPr>
        <w:t>עבודה מסכמת</w:t>
      </w:r>
    </w:p>
    <w:p>
      <w:pPr>
        <w:bidi/>
        <w:spacing w:after="600" w:before="0" w:line="360" w:lineRule="auto"/>
        <w:jc w:val="center"/>
      </w:pPr>
      <w:r>
        <w:rPr>
          <w:rFonts w:ascii="David" w:hAnsi="David" w:cs="David"/>
          <w:b w:val="0"/>
          <w:sz w:val="24"/>
          <w:rtl w:val="1"/>
        </w:rPr>
        <w:t>מרצים: פרופ' טובה הרטמן וד"ר צפירה גרבלסקי-ליכטמן</w:t>
      </w:r>
    </w:p>
    <w:p>
      <w:pPr>
        <w:bidi/>
        <w:spacing w:after="160" w:before="0" w:line="360" w:lineRule="auto"/>
        <w:jc w:val="center"/>
      </w:pPr>
      <w:r>
        <w:rPr>
          <w:rFonts w:ascii="David" w:hAnsi="David" w:cs="David"/>
          <w:b/>
          <w:sz w:val="24"/>
          <w:rtl w:val="1"/>
        </w:rPr>
        <w:t>מגישה: נופר טסמה     ת"ז: 211496567</w:t>
      </w:r>
    </w:p>
    <w:p>
      <w:pPr>
        <w:bidi/>
        <w:spacing w:after="160" w:before="0" w:line="360" w:lineRule="auto"/>
        <w:jc w:val="center"/>
      </w:pPr>
      <w:r>
        <w:rPr>
          <w:rFonts w:ascii="David" w:hAnsi="David" w:cs="David"/>
          <w:b w:val="0"/>
          <w:sz w:val="24"/>
          <w:rtl w:val="1"/>
        </w:rPr>
        <w:t>תאריך הגשה: 22.7.2026</w:t>
      </w:r>
    </w:p>
    <w:p>
      <w:r>
        <w:br w:type="page"/>
      </w:r>
    </w:p>
    <w:p>
      <w:pPr>
        <w:bidi/>
        <w:spacing w:after="80" w:before="200" w:line="360" w:lineRule="auto"/>
        <w:jc w:val="right"/>
      </w:pPr>
      <w:r>
        <w:rPr>
          <w:rFonts w:ascii="David" w:hAnsi="David" w:cs="David"/>
          <w:b/>
          <w:sz w:val="24"/>
          <w:rtl w:val="1"/>
        </w:rPr>
        <w:t>שאלה 1 - סיפור מקרה</w:t>
      </w:r>
    </w:p>
    <w:p>
      <w:pPr>
        <w:bidi/>
        <w:spacing w:after="160" w:before="0" w:line="360" w:lineRule="auto"/>
        <w:jc w:val="both"/>
      </w:pPr>
      <w:r>
        <w:rPr>
          <w:rFonts w:ascii="David" w:hAnsi="David" w:cs="David"/>
          <w:b w:val="0"/>
          <w:sz w:val="24"/>
          <w:rtl w:val="1"/>
        </w:rPr>
        <w:t>אביגיל היא ילדה בת שש וחצי, בת בכורה למשפחה שגרה בפרבר בשרון, ויש לה אח קטן בן שנתיים. אני חברה קרובה של המשפחה וליוויתי אותה מאז שהייתה תינוקת קטנה. אם מסתכלים על ההתפתחות שלה דרך תיאוריית משך החיים, שרואה את ההתפתחות כרצף של תקופות מהלידה ועד הזקנה, אביגיל נמצאת עכשיו בתקופת הילדות המוקדמת, ורוב מה שקורה אצלה הוא בדיוק מה שמצפים בגיל הזה. מבחינת ההתפתחות הנורמטיבית, כלומר מה שנמצא בתוך ההתפלגות הרגילה של האוכלוסייה, היא עברה את אבני הדרך בזמן: ישבה בלי תמיכה בסביבות חצי שנה, צעדה קצת אחרי גיל שנה, ואמרה מילים ראשונות בערך בגיל שנה. היום היא מדברת שוטף, מציירת, ומספרת סיפורים שלמים עם התחלה, אמצע וסוף.</w:t>
      </w:r>
    </w:p>
    <w:p>
      <w:pPr>
        <w:bidi/>
        <w:spacing w:after="160" w:before="0" w:line="360" w:lineRule="auto"/>
        <w:jc w:val="both"/>
      </w:pPr>
      <w:r>
        <w:rPr>
          <w:rFonts w:ascii="David" w:hAnsi="David" w:cs="David"/>
          <w:b w:val="0"/>
          <w:sz w:val="24"/>
          <w:rtl w:val="1"/>
        </w:rPr>
        <w:t>לצד מה שנורמטיבי יש לה גם התפתחות אינדיבידואלית, הצבע האישי שלה. הפנוטיפ שלה, כלומר ההתנהגות הגלויה שאפשר לראות ולמדוד, הוא של ילדה מילולית במיוחד, עם אוצר מילים גדול בהרבה מהגיל, וכנראה שמדובר בשילוב של נטייה תורשתית מצד אחד וסביבה שמדברת איתה הרבה מצד שני. מנגד, מבחינה חברתית היא זהירה. במקום חדש היא נצמדת לאמא, בודקת מהצד, ורק אז מצטרפת. גם מוטורית היא קצת פחות בטוחה, ופחדה זמן רב לרכוב על אופניים. מבחינת ההסתגלות, אביגיל מסתגלת יפה לשינויים אבל בקצב שלה, לאט ובזהירות. השילוב הזה של התפתחות תקינה עם חוזקה מילולית בולטת ומזג זהיר הוא מה שהופך אותה לייחודית, גם כשההתפתחות עצמה נשארת בתוך הטווח הרגיל.</w:t>
      </w:r>
    </w:p>
    <w:p>
      <w:pPr>
        <w:bidi/>
        <w:spacing w:after="80" w:before="200" w:line="360" w:lineRule="auto"/>
        <w:jc w:val="right"/>
      </w:pPr>
      <w:r>
        <w:rPr>
          <w:rFonts w:ascii="David" w:hAnsi="David" w:cs="David"/>
          <w:b/>
          <w:sz w:val="24"/>
          <w:rtl w:val="1"/>
        </w:rPr>
        <w:t>שאלה 2 - גורמי סיכון וגורמי מגן</w:t>
      </w:r>
    </w:p>
    <w:p>
      <w:pPr>
        <w:bidi/>
        <w:spacing w:after="160" w:before="0" w:line="360" w:lineRule="auto"/>
        <w:jc w:val="both"/>
      </w:pPr>
      <w:r>
        <w:rPr>
          <w:rFonts w:ascii="David" w:hAnsi="David" w:cs="David"/>
          <w:b w:val="0"/>
          <w:sz w:val="24"/>
          <w:rtl w:val="1"/>
        </w:rPr>
        <w:t>גורמי סיכון הם תנאים, בתוך הילד עצמו או בסביבה שלו, שמגדילים את ההסתברות להתפתחות בעייתית או לקושי בהסתגלות. גורמי מגן הם ההפך, תנאים שמרככים את הפגיעה של הסיכון, מחזקים את החוסן ומאפשרים לילד לצאת מתקופות קשות בשלום. הסיכון והמגן יכולים להיות פנימיים, כמו מזג או נטייה תורשתית, או חיצוניים, כמו מצב כלכלי ותמיכה משפחתית, ובסוף מה שקובע הוא המאזן הכולל ביניהם ולא גורם בודד.</w:t>
      </w:r>
    </w:p>
    <w:p>
      <w:pPr>
        <w:bidi/>
        <w:spacing w:after="160" w:before="0" w:line="360" w:lineRule="auto"/>
        <w:jc w:val="both"/>
      </w:pPr>
      <w:r>
        <w:rPr>
          <w:rFonts w:ascii="David" w:hAnsi="David" w:cs="David"/>
          <w:b w:val="0"/>
          <w:sz w:val="24"/>
          <w:rtl w:val="1"/>
        </w:rPr>
        <w:t>אצל אביגיל יש כמה גורמי סיכון אמיתיים. כשהייתה בת שלוש אביה נסע לעבוד בחו"ל כמעט עשרה חודשים, וזה פגע בזמינות שלו והכביד על אמא שנשארה לבד עם שתי ילדות. באותה תקופה נולד גם האח, והאם עברה תקופה לחוצה שבה הייתה פחות פנויה רגשית. המזג המעוכב של אביגיל, אותה נטייה להירתע, הוא סיכון פנימי שיכול להתגלגל לחרדה חברתית. מולם עומדים גורמי מגן חזקים לא פחות: קשר חם ובטוח עם אמא, סבתא שנוכחת בכל יום ואוספת אותה מהגן, גן יציב, והיכולת המילולית הגבוהה שמאפשרת לה להסביר מה היא מרגישה במקום להתפרץ. הגננת עבדה איתה בעדינות, ובכל פעם שאביגיל העזה להצטרף למשחק היא קיבלה חיזוק חיובי קטן, חיוך או מילה טובה, וכך, קצת בדומה להתניה אופרנטית, ההשתתפות הפכה אצלה למשהו בטוח ונעים. בזכות המאזן הזה היא צלחה את התקופות הקשות בלי צלקות של ממש (ברגר, 2008).</w:t>
      </w:r>
    </w:p>
    <w:p>
      <w:pPr>
        <w:bidi/>
        <w:spacing w:after="80" w:before="200" w:line="360" w:lineRule="auto"/>
        <w:jc w:val="right"/>
      </w:pPr>
      <w:r>
        <w:rPr>
          <w:rFonts w:ascii="David" w:hAnsi="David" w:cs="David"/>
          <w:b/>
          <w:sz w:val="24"/>
          <w:rtl w:val="1"/>
        </w:rPr>
        <w:t>שאלה 3 - מעגלי השפעה</w:t>
      </w:r>
    </w:p>
    <w:p>
      <w:pPr>
        <w:bidi/>
        <w:spacing w:after="160" w:before="0" w:line="360" w:lineRule="auto"/>
        <w:jc w:val="both"/>
      </w:pPr>
      <w:r>
        <w:rPr>
          <w:rFonts w:ascii="David" w:hAnsi="David" w:cs="David"/>
          <w:b w:val="0"/>
          <w:sz w:val="24"/>
          <w:rtl w:val="1"/>
        </w:rPr>
        <w:t>מעגלי ההשפעה, לפי המודל האקולוגי, מתארים את ההתפתחות כמשהו שקורה בתוך כמה מעגלים סביבתיים שמקיפים את הילד, מהקרוב ביותר אליו ועד לרחוק. במיקרו-מערכת נמצא כל מה שהילד במגע ישיר איתו, המשפחה, הגן והחברים. אצל אביגיל זה הקשר היומיומי עם אמא ועם הסבתא, שהוא הבסיס לביטחון שלה, וברגעים שבהם אמא יושבת איתה לפני השינה ומקשיבה לסיפורים אפשר לראות איך המעגל הזה בונה אותה.</w:t>
      </w:r>
    </w:p>
    <w:p>
      <w:pPr>
        <w:bidi/>
        <w:spacing w:after="160" w:before="0" w:line="360" w:lineRule="auto"/>
        <w:jc w:val="both"/>
      </w:pPr>
      <w:r>
        <w:rPr>
          <w:rFonts w:ascii="David" w:hAnsi="David" w:cs="David"/>
          <w:b w:val="0"/>
          <w:sz w:val="24"/>
          <w:rtl w:val="1"/>
        </w:rPr>
        <w:t>המזו-מערכת היא רשת הקשרים בין חלקי המיקרו, כלומר מה שקורה כשהם נפגשים זה עם זה. הדוגמה הטובה היא השיחות הקבועות בין אמא לגננת, שתיאמו גישה אחת לביישנות של אביגיל וכך הקלו עליה להיפתח גם בבית וגם בגן. האקסו-מערכת כוללת מסגרות שהילדה עצמה לא נמצאת בהן אבל הן משפיעות עליה דרך אחרים. ההחלטה של אבא לצאת לעבוד בחו"ל, החלטה שאביגיל לא הייתה שותפה לה בכלל, שינתה לגמרי את השגרה שלה לתקופה ארוכה, וזו דוגמה מובהקת למעגל הזה.</w:t>
      </w:r>
    </w:p>
    <w:p>
      <w:pPr>
        <w:bidi/>
        <w:spacing w:after="160" w:before="0" w:line="360" w:lineRule="auto"/>
        <w:jc w:val="both"/>
      </w:pPr>
      <w:r>
        <w:rPr>
          <w:rFonts w:ascii="David" w:hAnsi="David" w:cs="David"/>
          <w:b w:val="0"/>
          <w:sz w:val="24"/>
          <w:rtl w:val="1"/>
        </w:rPr>
        <w:t>המקרו-מערכת היא רובד התרבות, הערכים והמצב הכלכלי-חברתי. הגדילה בחברה ישראלית שמעריכה ילדים דברנים ובטוחים בעצמם הציבה עליה ציפייה מסוימת, שדווקא התאימה לחוזקה המילולית שלה, ולפי הגישה ההתנהגותית זו הסביבה הרחבה שקובעת אילו התנהגויות יזכו לעידוד. הכרונו-מערכת היא ממד הזמן, האירועים והמעברים לאורך החיים. לידת האח וחזרתו של אבא הביתה היו שני מעברים שעיצבו את המשפחה שבתוכה אביגיל גדלה, וכל אחד מהם שינה קצת את המקום שלה בבית (Bronfenbrenner, 1977).</w:t>
      </w:r>
    </w:p>
    <w:p>
      <w:pPr>
        <w:bidi/>
        <w:spacing w:after="80" w:before="200" w:line="360" w:lineRule="auto"/>
        <w:jc w:val="right"/>
      </w:pPr>
      <w:r>
        <w:rPr>
          <w:rFonts w:ascii="David" w:hAnsi="David" w:cs="David"/>
          <w:b/>
          <w:sz w:val="24"/>
          <w:rtl w:val="1"/>
        </w:rPr>
        <w:t>שאלה 4 - תיאוריית ההתפתחות הקוגניטיבית (פיאז'ה)</w:t>
      </w:r>
    </w:p>
    <w:p>
      <w:pPr>
        <w:bidi/>
        <w:spacing w:after="160" w:before="0" w:line="360" w:lineRule="auto"/>
        <w:jc w:val="both"/>
      </w:pPr>
      <w:r>
        <w:rPr>
          <w:rFonts w:ascii="David" w:hAnsi="David" w:cs="David"/>
          <w:b w:val="0"/>
          <w:sz w:val="24"/>
          <w:rtl w:val="1"/>
        </w:rPr>
        <w:t>פיאז'ה חילק את ההתפתחות הקוגניטיבית לארבעה שלבים, כשלכל שלב יש טווח גיל משלו. השלב הסנסומוטורי, מלידה ועד גיל שנתיים בערך. השלב הקדם-מבצעי, מגיל שנתיים עד שבע. שלב המבצעים הקונקרטיים, מגיל שבע עד אחת עשרה בערך. ושלב המבצעים הפורמליים, מגיל אחת עשרה ומעלה. לפי פיאז'ה הילד בונה לעצמו סכימות, מעין תבניות חשיבה, ומתקדם משלב לשלב דרך רגעים של חוסר איזון, כשמשהו חדש לא מסתדר עם מה שהוא כבר יודע והוא נאלץ להתאים את הסכימה למציאות.</w:t>
      </w:r>
    </w:p>
    <w:p>
      <w:pPr>
        <w:bidi/>
        <w:spacing w:after="160" w:before="0" w:line="360" w:lineRule="auto"/>
        <w:jc w:val="both"/>
      </w:pPr>
      <w:r>
        <w:rPr>
          <w:rFonts w:ascii="David" w:hAnsi="David" w:cs="David"/>
          <w:b w:val="0"/>
          <w:sz w:val="24"/>
          <w:rtl w:val="1"/>
        </w:rPr>
        <w:t>אביגיל, בגיל שש וחצי, נמצאת בעיצומו של השלב הקדם-מבצעי, וזה ניכר היטב במה שהיא אומרת ועושה. יום אחד מזגו לה מיץ מכוס נמוכה ורחבה לכוס גבוהה וצרה, והיא התעקשה שעכשיו יש לה יותר מיץ, כי "זה הגיע גבוה". הקושי הזה בשימור כמות, יחד עם הריכוזיות שגורמת לה להתמקד רק בגובה ולהתעלם מהרוחב, הוא סימן מובהק לשלב. היא גם מייחסת רגשות וכוונות לחפצים, אומרת שהבובה "עצובה שהשאירו אותה לבד", ובטוחה שהירח "הולך אחרינו" באוטו, וזה בדיוק אותו אנימיזם שפיאז'ה תיאר. גם האגוצנטריות בולטת: כשהיא מספרת סיפור בטלפון היא מצמידה תמונה למסך, משוכנעת שגם בצד השני רואים בדיוק מה שהיא רואה. כל אלה מציבים אותה בבירור בחשיבה קדם-מבצעית.</w:t>
      </w:r>
    </w:p>
    <w:p>
      <w:pPr>
        <w:bidi/>
        <w:spacing w:after="80" w:before="200" w:line="360" w:lineRule="auto"/>
        <w:jc w:val="right"/>
      </w:pPr>
      <w:r>
        <w:rPr>
          <w:rFonts w:ascii="David" w:hAnsi="David" w:cs="David"/>
          <w:b/>
          <w:sz w:val="24"/>
          <w:rtl w:val="1"/>
        </w:rPr>
        <w:t>שאלה 5 - ניסוי מצב הזר</w:t>
      </w:r>
    </w:p>
    <w:p>
      <w:pPr>
        <w:bidi/>
        <w:spacing w:after="160" w:before="0" w:line="360" w:lineRule="auto"/>
        <w:jc w:val="both"/>
      </w:pPr>
      <w:r>
        <w:rPr>
          <w:rFonts w:ascii="David" w:hAnsi="David" w:cs="David"/>
          <w:b w:val="0"/>
          <w:sz w:val="24"/>
          <w:rtl w:val="1"/>
        </w:rPr>
        <w:t>ניסוי מצב הזר נבנה כדי לבחון את סוג ההתקשרות בין תינוק לדמות המטפלת, והוא מורכב משבע אפיזודות קצרות. באפיזודה הראשונה הנסיינית מכניסה את ההורה והתינוק לחדר משחקים ויוצאת. בשנייה ההורה יושב והתינוק חופשי לחקור ולשחק, כשההורה משמש לו בסיס בטוח. בשלישית נכנסת דמות זרה, מדברת עם ההורה ומתקרבת לאט לתינוק. ברביעית מתרחשת ההיפרדות הראשונה, ההורה יוצא והתינוק נשאר עם הזרה שמנסה להרגיע אותו. בחמישית מגיע האיחוד הראשון, ההורה חוזר ומנחם, והזרה יוצאת. בשישית באה ההיפרדות השנייה, וההורה יוצא כך שהתינוק נשאר לבד לגמרי. בשביעית הזרה חוזרת, ואחריה ההורה, שאוסף את התינוק אליו. מהתגובות לאורך הרצף, בעיקר ברגעי האיחוד, אפשר לזהות ארבעה סוגים של התקשרות: בטוחה, נמנעת, חרדה-אמביוולנטית, ולא מאורגנת (מיקולינסר, 1998).</w:t>
      </w:r>
    </w:p>
    <w:p>
      <w:pPr>
        <w:bidi/>
        <w:spacing w:after="160" w:before="0" w:line="360" w:lineRule="auto"/>
        <w:jc w:val="both"/>
      </w:pPr>
      <w:r>
        <w:rPr>
          <w:rFonts w:ascii="David" w:hAnsi="David" w:cs="David"/>
          <w:b w:val="0"/>
          <w:sz w:val="24"/>
          <w:rtl w:val="1"/>
        </w:rPr>
        <w:t>את אביגיל מאפיינת התקשרות בטוחה. כשאמא נוכחת היא חוקרת את הסביבה בביטחון, בהיפרדות היא נעצבת, ובאיחוד היא ניגשת אליה, נרגעת מהר וחוזרת לשחק. ההתקשרות הזאת ממשיכה ללוות אותה גם היום. ביום הראשון בחוג חדש היא קודם וידאה שאמא נשארת, ורק אז ניגשה לילדים. הביטחון הבסיסי הזה מאפשר לה לסמוך על אנשים, לבקש עזרה כשקשה לה, ובסוף גם להיכנס לקשרים חברתיים, למרות הזהירות שבהתחלה. אצל ילדה עם התקשרות נמנעת, למשל, אותו רגע פרידה היה נראה אחרת לגמרי, בלי החיפוש הזה אחרי הקרבה של אמא.</w:t>
      </w:r>
    </w:p>
    <w:p>
      <w:pPr>
        <w:bidi/>
        <w:spacing w:after="80" w:before="200" w:line="360" w:lineRule="auto"/>
        <w:jc w:val="right"/>
      </w:pPr>
      <w:r>
        <w:rPr>
          <w:rFonts w:ascii="David" w:hAnsi="David" w:cs="David"/>
          <w:b/>
          <w:sz w:val="24"/>
          <w:rtl w:val="1"/>
        </w:rPr>
        <w:t>שאלה 6 - תיאוריית ריבוי האינטליגנציות</w:t>
      </w:r>
    </w:p>
    <w:p>
      <w:pPr>
        <w:bidi/>
        <w:spacing w:after="160" w:before="0" w:line="360" w:lineRule="auto"/>
        <w:jc w:val="both"/>
      </w:pPr>
      <w:r>
        <w:rPr>
          <w:rFonts w:ascii="David" w:hAnsi="David" w:cs="David"/>
          <w:b w:val="0"/>
          <w:sz w:val="24"/>
          <w:rtl w:val="1"/>
        </w:rPr>
        <w:t>תיאוריית ריבוי האינטליגנציות של גרדנר יצאה נגד התפיסה הישנה שאפשר לכווץ את החוכמה של אדם לציון משכל אחד, ה-IQ. גרדנר טען שיש כמה סוגים עצמאיים של אינטליגנציה, ולכל אדם תמהיל אחר שלהם. השמונה שהוא מנה הם: אינטליגנציה לשונית, של מילים ושפה. לוגית-מתמטית, של מספרים והיגיון. מרחבית, של דמיון חזותי ותפיסת מרחב. מוזיקלית, של צלילים וקצב. גופנית-תנועתית, של שליטה בגוף. בין-אישית, של הבנת אחרים. תוך-אישית, של הבנת העצמי. וטבעונית, של רגישות לעולם הטבע. היתרון בגישה הזאת הוא שהיא לא פוסלת ילד רק בגלל שהוא חלש בערוץ אחד (Gardner &amp; Hatch, 1989).</w:t>
      </w:r>
    </w:p>
    <w:p>
      <w:pPr>
        <w:bidi/>
        <w:spacing w:after="160" w:before="0" w:line="360" w:lineRule="auto"/>
        <w:jc w:val="both"/>
      </w:pPr>
      <w:r>
        <w:rPr>
          <w:rFonts w:ascii="David" w:hAnsi="David" w:cs="David"/>
          <w:b w:val="0"/>
          <w:sz w:val="24"/>
          <w:rtl w:val="1"/>
        </w:rPr>
        <w:t>אצל אביגיל האינטליגנציה הלשונית בולטת מעל כולן. היא למדה להכיר אותיות עוד לפני הגן, אוצר המילים שלה מפתיע מבוגרים, והיא לא מפסיקה להמציא סיפורים ולספר אותם בקול. פעם היא בנתה עלילה שלמה על "ממלכת העננים", עם דמויות ושמות, וחזרה עליה כמעט מילה במילה למחרת. היא עושה את זה מתוך מוטיבציה פנימית, מתוך הנאה אמיתית מהמילים עצמן, ולא כדי לקבל שבח מבחוץ. לצד הלשונית מבצבצת אצלה גם אינטליגנציה תוך-אישית לא קטנה, כי דרך אותן מילים היא מצליחה לזהות ולהסביר מה היא מרגישה, משהו שרוב הילדים בגילה עוד מתקשים בו.</w:t>
      </w:r>
    </w:p>
    <w:p>
      <w:pPr>
        <w:bidi/>
        <w:spacing w:after="80" w:before="200" w:line="360" w:lineRule="auto"/>
        <w:jc w:val="right"/>
      </w:pPr>
      <w:r>
        <w:rPr>
          <w:rFonts w:ascii="David" w:hAnsi="David" w:cs="David"/>
          <w:b/>
          <w:sz w:val="24"/>
          <w:rtl w:val="1"/>
        </w:rPr>
        <w:t>רשימת מקורות</w:t>
      </w:r>
    </w:p>
    <w:p>
      <w:pPr>
        <w:bidi/>
        <w:spacing w:after="120" w:before="0" w:line="276" w:lineRule="auto"/>
        <w:ind w:left="360"/>
        <w:jc w:val="right"/>
      </w:pPr>
      <w:r>
        <w:rPr>
          <w:rFonts w:ascii="David" w:hAnsi="David" w:cs="David"/>
          <w:b w:val="0"/>
          <w:sz w:val="24"/>
          <w:rtl w:val="1"/>
        </w:rPr>
        <w:t>ברגר, ר' (2008). טבע, משחק ויצירה כעזרים לביסוס הגן כמרחב המפתח חוסן. פסיכולוגיה עברית. אוחזר מתוך https://www.hebpsy.net/articles.asp?id=1760</w:t>
      </w:r>
    </w:p>
    <w:p>
      <w:pPr>
        <w:bidi/>
        <w:spacing w:after="120" w:before="0" w:line="276" w:lineRule="auto"/>
        <w:ind w:left="360"/>
        <w:jc w:val="right"/>
      </w:pPr>
      <w:r>
        <w:rPr>
          <w:rFonts w:ascii="David" w:hAnsi="David" w:cs="David"/>
          <w:b w:val="0"/>
          <w:sz w:val="24"/>
          <w:rtl w:val="1"/>
        </w:rPr>
        <w:t>מיקולינסר, מ' (1998). סגנון היקשרות בבגרות ואסטרטגיות של ויסות רגשות: הנחות עבודה וסקירת ממצאים. פסיכולוגיה, ז', 33-48.</w:t>
      </w:r>
    </w:p>
    <w:p>
      <w:pPr>
        <w:bidi/>
        <w:spacing w:after="120" w:before="0" w:line="276" w:lineRule="auto"/>
        <w:ind w:left="360"/>
        <w:jc w:val="right"/>
      </w:pPr>
      <w:r>
        <w:rPr>
          <w:rFonts w:ascii="David" w:hAnsi="David" w:cs="David"/>
          <w:b w:val="0"/>
          <w:sz w:val="24"/>
          <w:rtl w:val="1"/>
        </w:rPr>
        <w:t>Bronfenbrenner, U. (1977). Toward an experimental ecology of human development. American Psychologist, 32(7), 513-531.</w:t>
      </w:r>
    </w:p>
    <w:p>
      <w:pPr>
        <w:bidi/>
        <w:spacing w:after="120" w:before="0" w:line="276" w:lineRule="auto"/>
        <w:ind w:left="360"/>
        <w:jc w:val="right"/>
      </w:pPr>
      <w:r>
        <w:rPr>
          <w:rFonts w:ascii="David" w:hAnsi="David" w:cs="David"/>
          <w:b w:val="0"/>
          <w:sz w:val="24"/>
          <w:rtl w:val="1"/>
        </w:rPr>
        <w:t>Gardner, H., &amp; Hatch, T. (1989). Multiple intelligences go to school: Educational implications of the theory of multiple intelligences. Educational Researcher, 18(8), 4-10.</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