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noProof/>
          <w:sz w:val="24"/>
          <w:szCs w:val="24"/>
          <w:rtl/>
          <w:lang w:val="en-US" w:eastAsia="en-US" w:bidi="he-IL"/>
        </w:rPr>
        <w:t xml:space="preserve"/>
      </w:r>
    </w:p>
    <w:p>
      <w:pPr>
        <w:keepNext/>
        <w:spacing w:after="60" w:before="120"/>
        <w:jc w:val="center"/>
      </w:pPr>
      <w:r>
        <w:rPr>
          <w:noProof/>
          <w:lang w:val="en-US" w:eastAsia="en-US" w:bidi="he-IL"/>
        </w:rPr>
        <w:drawing>
          <wp:inline distT="0" distB="0" distL="0" distR="0">
            <wp:extent cx="19812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1981200"/>
                    </a:xfrm>
                    <a:prstGeom prst="rect">
                      <a:avLst/>
                    </a:prstGeom>
                  </pic:spPr>
                </pic:pic>
              </a:graphicData>
            </a:graphic>
          </wp:inline>
        </w:drawing>
      </w:r>
    </w:p>
    <w:p>
      <w:pPr>
        <w:bidi/>
        <w:spacing w:after="120" w:line="360"/>
        <w:jc w:val="center"/>
      </w:pPr>
      <w:r>
        <w:rPr>
          <w:rFonts w:ascii="Times New Roman" w:cs="David" w:eastAsia="David" w:hAnsi="Times New Roman"/>
          <w:b/>
          <w:bCs/>
          <w:noProof/>
          <w:sz w:val="28"/>
          <w:szCs w:val="28"/>
          <w:rtl/>
          <w:lang w:val="en-US" w:eastAsia="en-US" w:bidi="he-IL"/>
        </w:rPr>
        <w:t xml:space="preserve">מכללת סכנין להכשרת עובדי הוראה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[שם התוכנית / החוג, למשל: החוג לחינוך מיוחד]</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24"/>
          <w:szCs w:val="24"/>
          <w:rtl/>
          <w:lang w:val="en-US" w:eastAsia="en-US" w:bidi="he-I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[מספר הקורס]</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32"/>
          <w:szCs w:val="32"/>
          <w:rtl/>
          <w:lang w:val="en-US" w:eastAsia="en-US" w:bidi="he-I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noProof/>
          <w:sz w:val="26"/>
          <w:szCs w:val="26"/>
          <w:rtl/>
          <w:lang w:val="en-US" w:eastAsia="en-US" w:bidi="he-IL"/>
        </w:rPr>
        <w:t xml:space="preserve">מחקר כמותי</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מנחה: [שם המנחה]</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מגיש/ה: [שם מלא]</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ת"ז: [מספר תעודת זהות]</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כתובת: [כתובת מלאה]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טלפון: [מספר טלפון]</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תאריך הגשה: [יום בחודש] [חודש] 2026, [תאריך עברי]</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תוכן עניינים</w:t>
      </w:r>
    </w:p>
    <w:sdt>
      <w:sdtPr>
        <w:alias w:val="תוכן עניינים"/>
      </w:sdtPr>
      <w:sdtContent>
        <w:p>
          <w:r>
            <w:rPr>
              <w:noProof/>
              <w:lang w:val="en-US" w:eastAsia="en-US" w:bidi="he-IL"/>
            </w:rPr>
            <w:fldChar w:fldCharType="begin" w:dirty="true"/>
            <w:instrText xml:space="preserve">TOC \h \o "1-2"</w:instrText>
            <w:fldChar w:fldCharType="separate"/>
          </w:r>
        </w:p>
        <w:p>
          <w:pPr>
            <w:bidi/>
            <w:tabs>
              <w:tab w:val="right" w:leader="dot" w:pos="9020"/>
            </w:tabs>
            <w:spacing w:after="40" w:line="240"/>
          </w:pPr>
          <w:r>
            <w:rPr>
              <w:rFonts w:ascii="Times New Roman" w:cs="David" w:hAnsi="Times New Roman"/>
              <w:b/>
              <w:bCs/>
              <w:noProof/>
              <w:sz w:val="24"/>
              <w:szCs w:val="24"/>
              <w:rtl/>
              <w:lang w:val="en-US" w:bidi="he-IL"/>
            </w:rPr>
            <w:t xml:space="preserve">מבוא</w:t>
          </w:r>
          <w:r>
            <w:rPr>
              <w:noProof/>
            </w:rPr>
            <w:tab/>
          </w:r>
          <w:r>
            <w:rPr>
              <w:rFonts w:ascii="Times New Roman" w:cs="David" w:hAnsi="Times New Roman"/>
              <w:b/>
              <w:bCs/>
              <w:noProof/>
              <w:sz w:val="24"/>
              <w:szCs w:val="24"/>
              <w:rtl/>
            </w:rPr>
            <w:t>3</w:t>
          </w:r>
        </w:p>
        <w:p>
          <w:pPr>
            <w:bidi/>
            <w:tabs>
              <w:tab w:val="right" w:leader="dot" w:pos="9020"/>
            </w:tabs>
            <w:spacing w:after="40" w:line="240"/>
          </w:pPr>
          <w:r>
            <w:rPr>
              <w:rFonts w:ascii="Times New Roman" w:cs="David" w:hAnsi="Times New Roman"/>
              <w:b/>
              <w:bCs/>
              <w:noProof/>
              <w:sz w:val="24"/>
              <w:szCs w:val="24"/>
              <w:rtl/>
              <w:lang w:val="en-US" w:bidi="he-IL"/>
            </w:rPr>
            <w:t xml:space="preserve">פרק 1: סקירת הספרות</w:t>
          </w:r>
          <w:r>
            <w:rPr>
              <w:noProof/>
            </w:rPr>
            <w:tab/>
          </w:r>
          <w:r>
            <w:rPr>
              <w:rFonts w:ascii="Times New Roman" w:cs="David" w:hAnsi="Times New Roman"/>
              <w:b/>
              <w:bCs/>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1.1 לקויות למידה: הגדרה, שכיחות ומאפיינים</w:t>
          </w:r>
          <w:r>
            <w:rPr>
              <w:noProof/>
            </w:rPr>
            <w:tab/>
          </w:r>
          <w:r>
            <w:rPr>
              <w:rFonts w:ascii="Times New Roman" w:cs="David" w:hAnsi="Times New Roman"/>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1.2 חשיפה למסכים בקרב ילדים ובני נוער</w:t>
          </w:r>
          <w:r>
            <w:rPr>
              <w:noProof/>
            </w:rPr>
            <w:tab/>
          </w:r>
          <w:r>
            <w:rPr>
              <w:rFonts w:ascii="Times New Roman" w:cs="David" w:hAnsi="Times New Roman"/>
              <w:noProof/>
              <w:sz w:val="24"/>
              <w:szCs w:val="24"/>
              <w:rtl/>
            </w:rPr>
            <w:t>6</w:t>
          </w:r>
        </w:p>
        <w:p>
          <w:pPr>
            <w:bidi/>
            <w:tabs>
              <w:tab w:val="right" w:leader="dot" w:pos="9020"/>
            </w:tabs>
            <w:ind w:start="440"/>
            <w:spacing w:after="40" w:line="240"/>
          </w:pPr>
          <w:r>
            <w:rPr>
              <w:rFonts w:ascii="Times New Roman" w:cs="David" w:hAnsi="Times New Roman"/>
              <w:noProof/>
              <w:sz w:val="24"/>
              <w:szCs w:val="24"/>
              <w:rtl/>
              <w:lang w:val="en-US" w:bidi="he-IL"/>
            </w:rPr>
            <w:t xml:space="preserve">1.3 שינה בגיל בית הספר ובקרב 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1.4 פעילות גופנית ותלמידים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1.5 המודל המשולב של 24 השעות והקשר לתפקוד הלימודי</w:t>
          </w:r>
          <w:r>
            <w:rPr>
              <w:noProof/>
            </w:rPr>
            <w:tab/>
          </w:r>
          <w:r>
            <w:rPr>
              <w:rFonts w:ascii="Times New Roman" w:cs="David" w:hAnsi="Times New Roman"/>
              <w:noProof/>
              <w:sz w:val="24"/>
              <w:szCs w:val="24"/>
              <w:rtl/>
            </w:rPr>
            <w:t>9</w:t>
          </w:r>
        </w:p>
        <w:p>
          <w:pPr>
            <w:bidi/>
            <w:tabs>
              <w:tab w:val="right" w:leader="dot" w:pos="9020"/>
            </w:tabs>
            <w:ind w:start="440"/>
            <w:spacing w:after="40" w:line="240"/>
          </w:pPr>
          <w:r>
            <w:rPr>
              <w:rFonts w:ascii="Times New Roman" w:cs="David" w:hAnsi="Times New Roman"/>
              <w:noProof/>
              <w:sz w:val="24"/>
              <w:szCs w:val="24"/>
              <w:rtl/>
              <w:lang w:val="en-US" w:bidi="he-IL"/>
            </w:rPr>
            <w:t xml:space="preserve">1.6 רציונל המחקר, מטרת המחקר, שאלות המחקר והשערות המחקר</w:t>
          </w:r>
          <w:r>
            <w:rPr>
              <w:noProof/>
            </w:rPr>
            <w:tab/>
          </w:r>
          <w:r>
            <w:rPr>
              <w:rFonts w:ascii="Times New Roman" w:cs="David" w:hAnsi="Times New Roman"/>
              <w:noProof/>
              <w:sz w:val="24"/>
              <w:szCs w:val="24"/>
              <w:rtl/>
            </w:rPr>
            <w:t>9</w:t>
          </w:r>
        </w:p>
        <w:p>
          <w:pPr>
            <w:bidi/>
            <w:tabs>
              <w:tab w:val="right" w:leader="dot" w:pos="9020"/>
            </w:tabs>
            <w:spacing w:after="40" w:line="240"/>
          </w:pPr>
          <w:r>
            <w:rPr>
              <w:rFonts w:ascii="Times New Roman" w:cs="David" w:hAnsi="Times New Roman"/>
              <w:b/>
              <w:bCs/>
              <w:noProof/>
              <w:sz w:val="24"/>
              <w:szCs w:val="24"/>
              <w:rtl/>
              <w:lang w:val="en-US" w:bidi="he-IL"/>
            </w:rPr>
            <w:t xml:space="preserve">פרק 2: שיטת המחקר</w:t>
          </w:r>
          <w:r>
            <w:rPr>
              <w:noProof/>
            </w:rPr>
            <w:tab/>
          </w:r>
          <w:r>
            <w:rPr>
              <w:rFonts w:ascii="Times New Roman" w:cs="David" w:hAnsi="Times New Roman"/>
              <w:b/>
              <w:bCs/>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2.1 מערך המחקר</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2.2 אוכלוסיית המחקר והמדגם</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2.3 כלי המחקר</w:t>
          </w:r>
          <w:r>
            <w:rPr>
              <w:noProof/>
            </w:rPr>
            <w:tab/>
          </w:r>
          <w:r>
            <w:rPr>
              <w:rFonts w:ascii="Times New Roman" w:cs="David" w:hAnsi="Times New Roman"/>
              <w:noProof/>
              <w:sz w:val="24"/>
              <w:szCs w:val="24"/>
              <w:rtl/>
            </w:rPr>
            <w:t>13</w:t>
          </w:r>
        </w:p>
        <w:p>
          <w:pPr>
            <w:bidi/>
            <w:tabs>
              <w:tab w:val="right" w:leader="dot" w:pos="9020"/>
            </w:tabs>
            <w:ind w:start="440"/>
            <w:spacing w:after="40" w:line="240"/>
          </w:pPr>
          <w:r>
            <w:rPr>
              <w:rFonts w:ascii="Times New Roman" w:cs="David" w:hAnsi="Times New Roman"/>
              <w:noProof/>
              <w:sz w:val="24"/>
              <w:szCs w:val="24"/>
              <w:rtl/>
              <w:lang w:val="en-US" w:bidi="he-IL"/>
            </w:rPr>
            <w:t xml:space="preserve">2.4 הליך המחקר</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2.5 ניתוח הנתונים</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2.6 שיקולים אתיים</w:t>
          </w:r>
          <w:r>
            <w:rPr>
              <w:noProof/>
            </w:rPr>
            <w:tab/>
          </w:r>
          <w:r>
            <w:rPr>
              <w:rFonts w:ascii="Times New Roman" w:cs="David" w:hAnsi="Times New Roman"/>
              <w:noProof/>
              <w:sz w:val="24"/>
              <w:szCs w:val="24"/>
              <w:rtl/>
            </w:rPr>
            <w:t>15</w:t>
          </w:r>
        </w:p>
        <w:p>
          <w:pPr>
            <w:bidi/>
            <w:tabs>
              <w:tab w:val="right" w:leader="dot" w:pos="9020"/>
            </w:tabs>
            <w:ind w:start="440"/>
            <w:spacing w:after="40" w:line="240"/>
          </w:pPr>
          <w:r>
            <w:rPr>
              <w:rFonts w:ascii="Times New Roman" w:cs="David" w:hAnsi="Times New Roman"/>
              <w:noProof/>
              <w:sz w:val="24"/>
              <w:szCs w:val="24"/>
              <w:rtl/>
              <w:lang w:val="en-US" w:bidi="he-IL"/>
            </w:rPr>
            <w:t xml:space="preserve">2.7 מגבלות המחקר</w:t>
          </w:r>
          <w:r>
            <w:rPr>
              <w:noProof/>
            </w:rPr>
            <w:tab/>
          </w:r>
          <w:r>
            <w:rPr>
              <w:rFonts w:ascii="Times New Roman" w:cs="David" w:hAnsi="Times New Roman"/>
              <w:noProof/>
              <w:sz w:val="24"/>
              <w:szCs w:val="24"/>
              <w:rtl/>
            </w:rPr>
            <w:t>15</w:t>
          </w:r>
        </w:p>
        <w:p>
          <w:pPr>
            <w:bidi/>
            <w:tabs>
              <w:tab w:val="right" w:leader="dot" w:pos="9020"/>
            </w:tabs>
            <w:spacing w:after="40" w:line="240"/>
          </w:pPr>
          <w:r>
            <w:rPr>
              <w:rFonts w:ascii="Times New Roman" w:cs="David" w:hAnsi="Times New Roman"/>
              <w:b/>
              <w:bCs/>
              <w:noProof/>
              <w:sz w:val="24"/>
              <w:szCs w:val="24"/>
              <w:rtl/>
              <w:lang w:val="en-US" w:bidi="he-IL"/>
            </w:rPr>
            <w:t xml:space="preserve">פרק 3: ממצאים (תוצאות)</w:t>
          </w:r>
          <w:r>
            <w:rPr>
              <w:noProof/>
            </w:rPr>
            <w:tab/>
          </w:r>
          <w:r>
            <w:rPr>
              <w:rFonts w:ascii="Times New Roman" w:cs="David" w:hAnsi="Times New Roman"/>
              <w:b/>
              <w:bCs/>
              <w:noProof/>
              <w:sz w:val="24"/>
              <w:szCs w:val="24"/>
              <w:rtl/>
            </w:rPr>
            <w:t>16</w:t>
          </w:r>
        </w:p>
        <w:p>
          <w:pPr>
            <w:bidi/>
            <w:tabs>
              <w:tab w:val="right" w:leader="dot" w:pos="9020"/>
            </w:tabs>
            <w:ind w:start="440"/>
            <w:spacing w:after="40" w:line="240"/>
          </w:pPr>
          <w:r>
            <w:rPr>
              <w:rFonts w:ascii="Times New Roman" w:cs="David" w:hAnsi="Times New Roman"/>
              <w:noProof/>
              <w:sz w:val="24"/>
              <w:szCs w:val="24"/>
              <w:rtl/>
              <w:lang w:val="en-US" w:bidi="he-IL"/>
            </w:rPr>
            <w:t xml:space="preserve">3.1 אוכלוסיית המחקר</w:t>
          </w:r>
          <w:r>
            <w:rPr>
              <w:noProof/>
            </w:rPr>
            <w:tab/>
          </w:r>
          <w:r>
            <w:rPr>
              <w:rFonts w:ascii="Times New Roman" w:cs="David" w:hAnsi="Times New Roman"/>
              <w:noProof/>
              <w:sz w:val="24"/>
              <w:szCs w:val="24"/>
              <w:rtl/>
            </w:rPr>
            <w:t>16</w:t>
          </w:r>
        </w:p>
        <w:p>
          <w:pPr>
            <w:bidi/>
            <w:tabs>
              <w:tab w:val="right" w:leader="dot" w:pos="9020"/>
            </w:tabs>
            <w:ind w:start="440"/>
            <w:spacing w:after="40" w:line="240"/>
          </w:pPr>
          <w:r>
            <w:rPr>
              <w:rFonts w:ascii="Times New Roman" w:cs="David" w:hAnsi="Times New Roman"/>
              <w:noProof/>
              <w:sz w:val="24"/>
              <w:szCs w:val="24"/>
              <w:rtl/>
              <w:lang w:val="en-US" w:bidi="he-IL"/>
            </w:rPr>
            <w:t xml:space="preserve">3.2 מהימנות הסולמות</w:t>
          </w:r>
          <w:r>
            <w:rPr>
              <w:noProof/>
            </w:rPr>
            <w:tab/>
          </w:r>
          <w:r>
            <w:rPr>
              <w:rFonts w:ascii="Times New Roman" w:cs="David" w:hAnsi="Times New Roman"/>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3.3 שאלת מחקר 1: דפוסי המסכים, השינה והפעילות הגופנית ושיעור העמידה בהמלצות</w:t>
          </w:r>
          <w:r>
            <w:rPr>
              <w:noProof/>
            </w:rPr>
            <w:tab/>
          </w:r>
          <w:r>
            <w:rPr>
              <w:rFonts w:ascii="Times New Roman" w:cs="David" w:hAnsi="Times New Roman"/>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3.4 שאלת מחקר 2 והשערה 1: חשיפה למסכים ושינה</w:t>
          </w:r>
          <w:r>
            <w:rPr>
              <w:noProof/>
            </w:rPr>
            <w:tab/>
          </w:r>
          <w:r>
            <w:rPr>
              <w:rFonts w:ascii="Times New Roman" w:cs="David" w:hAnsi="Times New Roman"/>
              <w:noProof/>
              <w:sz w:val="24"/>
              <w:szCs w:val="24"/>
              <w:rtl/>
            </w:rPr>
            <w:t>19</w:t>
          </w:r>
        </w:p>
        <w:p>
          <w:pPr>
            <w:bidi/>
            <w:tabs>
              <w:tab w:val="right" w:leader="dot" w:pos="9020"/>
            </w:tabs>
            <w:ind w:start="440"/>
            <w:spacing w:after="40" w:line="240"/>
          </w:pPr>
          <w:r>
            <w:rPr>
              <w:rFonts w:ascii="Times New Roman" w:cs="David" w:hAnsi="Times New Roman"/>
              <w:noProof/>
              <w:sz w:val="24"/>
              <w:szCs w:val="24"/>
              <w:rtl/>
              <w:lang w:val="en-US" w:bidi="he-IL"/>
            </w:rPr>
            <w:t xml:space="preserve">3.5 שאלת מחקר 3 והשערה 2: חשיפה למסכים ופעילות גופנית</w:t>
          </w:r>
          <w:r>
            <w:rPr>
              <w:noProof/>
            </w:rPr>
            <w:tab/>
          </w:r>
          <w:r>
            <w:rPr>
              <w:rFonts w:ascii="Times New Roman" w:cs="David" w:hAnsi="Times New Roman"/>
              <w:noProof/>
              <w:sz w:val="24"/>
              <w:szCs w:val="24"/>
              <w:rtl/>
            </w:rPr>
            <w:t>20</w:t>
          </w:r>
        </w:p>
        <w:p>
          <w:pPr>
            <w:bidi/>
            <w:tabs>
              <w:tab w:val="right" w:leader="dot" w:pos="9020"/>
            </w:tabs>
            <w:ind w:start="440"/>
            <w:spacing w:after="40" w:line="240"/>
          </w:pPr>
          <w:r>
            <w:rPr>
              <w:rFonts w:ascii="Times New Roman" w:cs="David" w:hAnsi="Times New Roman"/>
              <w:noProof/>
              <w:sz w:val="24"/>
              <w:szCs w:val="24"/>
              <w:rtl/>
              <w:lang w:val="en-US" w:bidi="he-IL"/>
            </w:rPr>
            <w:t xml:space="preserve">3.6 שאלת מחקר 4 והשערה 3: שלוש ההתנהגויות והתפקוד הלימודי</w:t>
          </w:r>
          <w:r>
            <w:rPr>
              <w:noProof/>
            </w:rPr>
            <w:tab/>
          </w:r>
          <w:r>
            <w:rPr>
              <w:rFonts w:ascii="Times New Roman" w:cs="David" w:hAnsi="Times New Roman"/>
              <w:noProof/>
              <w:sz w:val="24"/>
              <w:szCs w:val="24"/>
              <w:rtl/>
            </w:rPr>
            <w:t>20</w:t>
          </w:r>
        </w:p>
        <w:p>
          <w:pPr>
            <w:bidi/>
            <w:tabs>
              <w:tab w:val="right" w:leader="dot" w:pos="9020"/>
            </w:tabs>
            <w:ind w:start="440"/>
            <w:spacing w:after="40" w:line="240"/>
          </w:pPr>
          <w:r>
            <w:rPr>
              <w:rFonts w:ascii="Times New Roman" w:cs="David" w:hAnsi="Times New Roman"/>
              <w:noProof/>
              <w:sz w:val="24"/>
              <w:szCs w:val="24"/>
              <w:rtl/>
              <w:lang w:val="en-US" w:bidi="he-IL"/>
            </w:rPr>
            <w:t xml:space="preserve">3.7 השערה 4: מספר ההמלצות שמתקיימות והתפקוד הלימודי</w:t>
          </w:r>
          <w:r>
            <w:rPr>
              <w:noProof/>
            </w:rPr>
            <w:tab/>
          </w:r>
          <w:r>
            <w:rPr>
              <w:rFonts w:ascii="Times New Roman" w:cs="David" w:hAnsi="Times New Roman"/>
              <w:noProof/>
              <w:sz w:val="24"/>
              <w:szCs w:val="24"/>
              <w:rtl/>
            </w:rPr>
            <w:t>22</w:t>
          </w:r>
        </w:p>
        <w:p>
          <w:pPr>
            <w:bidi/>
            <w:tabs>
              <w:tab w:val="right" w:leader="dot" w:pos="9020"/>
            </w:tabs>
            <w:ind w:start="440"/>
            <w:spacing w:after="40" w:line="240"/>
          </w:pPr>
          <w:r>
            <w:rPr>
              <w:rFonts w:ascii="Times New Roman" w:cs="David" w:hAnsi="Times New Roman"/>
              <w:noProof/>
              <w:sz w:val="24"/>
              <w:szCs w:val="24"/>
              <w:rtl/>
              <w:lang w:val="en-US" w:bidi="he-IL"/>
            </w:rPr>
            <w:t xml:space="preserve">3.8 שאלת מחקר 5 והשערה 5: הבדלים בין תלמידים עם וללא לקויות למידה</w:t>
          </w:r>
          <w:r>
            <w:rPr>
              <w:noProof/>
            </w:rPr>
            <w:tab/>
          </w:r>
          <w:r>
            <w:rPr>
              <w:rFonts w:ascii="Times New Roman" w:cs="David" w:hAnsi="Times New Roman"/>
              <w:noProof/>
              <w:sz w:val="24"/>
              <w:szCs w:val="24"/>
              <w:rtl/>
            </w:rPr>
            <w:t>22</w:t>
          </w:r>
        </w:p>
        <w:p>
          <w:pPr>
            <w:bidi/>
            <w:tabs>
              <w:tab w:val="right" w:leader="dot" w:pos="9020"/>
            </w:tabs>
            <w:ind w:start="440"/>
            <w:spacing w:after="40" w:line="240"/>
          </w:pPr>
          <w:r>
            <w:rPr>
              <w:rFonts w:ascii="Times New Roman" w:cs="David" w:hAnsi="Times New Roman"/>
              <w:noProof/>
              <w:sz w:val="24"/>
              <w:szCs w:val="24"/>
              <w:rtl/>
              <w:lang w:val="en-US" w:bidi="he-IL"/>
            </w:rPr>
            <w:t xml:space="preserve">3.9 סיכום הממצאים</w:t>
          </w:r>
          <w:r>
            <w:rPr>
              <w:noProof/>
            </w:rPr>
            <w:tab/>
          </w:r>
          <w:r>
            <w:rPr>
              <w:rFonts w:ascii="Times New Roman" w:cs="David" w:hAnsi="Times New Roman"/>
              <w:noProof/>
              <w:sz w:val="24"/>
              <w:szCs w:val="24"/>
              <w:rtl/>
            </w:rPr>
            <w:t>24</w:t>
          </w:r>
        </w:p>
        <w:p>
          <w:pPr>
            <w:bidi/>
            <w:tabs>
              <w:tab w:val="right" w:leader="dot" w:pos="9020"/>
            </w:tabs>
            <w:spacing w:after="40" w:line="240"/>
          </w:pPr>
          <w:r>
            <w:rPr>
              <w:rFonts w:ascii="Times New Roman" w:cs="David" w:hAnsi="Times New Roman"/>
              <w:b/>
              <w:bCs/>
              <w:noProof/>
              <w:sz w:val="24"/>
              <w:szCs w:val="24"/>
              <w:rtl/>
              <w:lang w:val="en-US" w:bidi="he-IL"/>
            </w:rPr>
            <w:t xml:space="preserve">פרק 4: דיון</w:t>
          </w:r>
          <w:r>
            <w:rPr>
              <w:noProof/>
            </w:rPr>
            <w:tab/>
          </w:r>
          <w:r>
            <w:rPr>
              <w:rFonts w:ascii="Times New Roman" w:cs="David" w:hAnsi="Times New Roman"/>
              <w:b/>
              <w:bCs/>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4.1 המסכים כגורם המרכזי</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4.2 הפעילות הגופנית: היעדר קשר ומשמעותו</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4.3 העמידה בהמלצות</w:t>
          </w:r>
          <w:r>
            <w:rPr>
              <w:noProof/>
            </w:rPr>
            <w:tab/>
          </w:r>
          <w:r>
            <w:rPr>
              <w:rFonts w:ascii="Times New Roman" w:cs="David" w:hAnsi="Times New Roman"/>
              <w:noProof/>
              <w:sz w:val="24"/>
              <w:szCs w:val="24"/>
              <w:rtl/>
            </w:rPr>
            <w:t>26</w:t>
          </w:r>
        </w:p>
        <w:p>
          <w:pPr>
            <w:bidi/>
            <w:tabs>
              <w:tab w:val="right" w:leader="dot" w:pos="9020"/>
            </w:tabs>
            <w:ind w:start="440"/>
            <w:spacing w:after="40" w:line="240"/>
          </w:pPr>
          <w:r>
            <w:rPr>
              <w:rFonts w:ascii="Times New Roman" w:cs="David" w:hAnsi="Times New Roman"/>
              <w:noProof/>
              <w:sz w:val="24"/>
              <w:szCs w:val="24"/>
              <w:rtl/>
              <w:lang w:val="en-US" w:bidi="he-IL"/>
            </w:rPr>
            <w:t xml:space="preserve">4.4 תלמידים עם וללא לקויות למידה</w:t>
          </w:r>
          <w:r>
            <w:rPr>
              <w:noProof/>
            </w:rPr>
            <w:tab/>
          </w:r>
          <w:r>
            <w:rPr>
              <w:rFonts w:ascii="Times New Roman" w:cs="David" w:hAnsi="Times New Roman"/>
              <w:noProof/>
              <w:sz w:val="24"/>
              <w:szCs w:val="24"/>
              <w:rtl/>
            </w:rPr>
            <w:t>26</w:t>
          </w:r>
        </w:p>
        <w:p>
          <w:pPr>
            <w:bidi/>
            <w:tabs>
              <w:tab w:val="right" w:leader="dot" w:pos="9020"/>
            </w:tabs>
            <w:ind w:start="440"/>
            <w:spacing w:after="40" w:line="240"/>
          </w:pPr>
          <w:r>
            <w:rPr>
              <w:rFonts w:ascii="Times New Roman" w:cs="David" w:hAnsi="Times New Roman"/>
              <w:noProof/>
              <w:sz w:val="24"/>
              <w:szCs w:val="24"/>
              <w:rtl/>
              <w:lang w:val="en-US" w:bidi="he-IL"/>
            </w:rPr>
            <w:t xml:space="preserve">4.5 מסקנות</w:t>
          </w:r>
          <w:r>
            <w:rPr>
              <w:noProof/>
            </w:rPr>
            <w:tab/>
          </w:r>
          <w:r>
            <w:rPr>
              <w:rFonts w:ascii="Times New Roman" w:cs="David" w:hAnsi="Times New Roman"/>
              <w:noProof/>
              <w:sz w:val="24"/>
              <w:szCs w:val="24"/>
              <w:rtl/>
            </w:rPr>
            <w:t>27</w:t>
          </w:r>
        </w:p>
        <w:p>
          <w:pPr>
            <w:bidi/>
            <w:tabs>
              <w:tab w:val="right" w:leader="dot" w:pos="9020"/>
            </w:tabs>
            <w:ind w:start="440"/>
            <w:spacing w:after="40" w:line="240"/>
          </w:pPr>
          <w:r>
            <w:rPr>
              <w:rFonts w:ascii="Times New Roman" w:cs="David" w:hAnsi="Times New Roman"/>
              <w:noProof/>
              <w:sz w:val="24"/>
              <w:szCs w:val="24"/>
              <w:rtl/>
              <w:lang w:val="en-US" w:bidi="he-IL"/>
            </w:rPr>
            <w:t xml:space="preserve">4.6 תרומת המחקר והשלכות יישומיות</w:t>
          </w:r>
          <w:r>
            <w:rPr>
              <w:noProof/>
            </w:rPr>
            <w:tab/>
          </w:r>
          <w:r>
            <w:rPr>
              <w:rFonts w:ascii="Times New Roman" w:cs="David" w:hAnsi="Times New Roman"/>
              <w:noProof/>
              <w:sz w:val="24"/>
              <w:szCs w:val="24"/>
              <w:rtl/>
            </w:rPr>
            <w:t>27</w:t>
          </w:r>
        </w:p>
        <w:p>
          <w:pPr>
            <w:bidi/>
            <w:tabs>
              <w:tab w:val="right" w:leader="dot" w:pos="9020"/>
            </w:tabs>
            <w:ind w:start="440"/>
            <w:spacing w:after="40" w:line="240"/>
          </w:pPr>
          <w:r>
            <w:rPr>
              <w:rFonts w:ascii="Times New Roman" w:cs="David" w:hAnsi="Times New Roman"/>
              <w:noProof/>
              <w:sz w:val="24"/>
              <w:szCs w:val="24"/>
              <w:rtl/>
              <w:lang w:val="en-US" w:bidi="he-IL"/>
            </w:rPr>
            <w:t xml:space="preserve">4.7 הערכה ביקורתית ומגבלות המחקר</w:t>
          </w:r>
          <w:r>
            <w:rPr>
              <w:noProof/>
            </w:rPr>
            <w:tab/>
          </w:r>
          <w:r>
            <w:rPr>
              <w:rFonts w:ascii="Times New Roman" w:cs="David" w:hAnsi="Times New Roman"/>
              <w:noProof/>
              <w:sz w:val="24"/>
              <w:szCs w:val="24"/>
              <w:rtl/>
            </w:rPr>
            <w:t>28</w:t>
          </w:r>
        </w:p>
        <w:p>
          <w:pPr>
            <w:bidi/>
            <w:tabs>
              <w:tab w:val="right" w:leader="dot" w:pos="9020"/>
            </w:tabs>
            <w:ind w:start="440"/>
            <w:spacing w:after="40" w:line="240"/>
          </w:pPr>
          <w:r>
            <w:rPr>
              <w:rFonts w:ascii="Times New Roman" w:cs="David" w:hAnsi="Times New Roman"/>
              <w:noProof/>
              <w:sz w:val="24"/>
              <w:szCs w:val="24"/>
              <w:rtl/>
              <w:lang w:val="en-US" w:bidi="he-IL"/>
            </w:rPr>
            <w:t xml:space="preserve">4.8 כיווני מחקר עתידיים</w:t>
          </w:r>
          <w:r>
            <w:rPr>
              <w:noProof/>
            </w:rPr>
            <w:tab/>
          </w:r>
          <w:r>
            <w:rPr>
              <w:rFonts w:ascii="Times New Roman" w:cs="David" w:hAnsi="Times New Roman"/>
              <w:noProof/>
              <w:sz w:val="24"/>
              <w:szCs w:val="24"/>
              <w:rtl/>
            </w:rPr>
            <w:t>28</w:t>
          </w:r>
        </w:p>
        <w:p>
          <w:pPr>
            <w:bidi/>
            <w:tabs>
              <w:tab w:val="right" w:leader="dot" w:pos="9020"/>
            </w:tabs>
            <w:ind w:start="440"/>
            <w:spacing w:after="40" w:line="240"/>
          </w:pPr>
          <w:r>
            <w:rPr>
              <w:rFonts w:ascii="Times New Roman" w:cs="David" w:hAnsi="Times New Roman"/>
              <w:noProof/>
              <w:sz w:val="24"/>
              <w:szCs w:val="24"/>
              <w:rtl/>
              <w:lang w:val="en-US" w:bidi="he-IL"/>
            </w:rPr>
            <w:t xml:space="preserve">4.9 סיכום</w:t>
          </w:r>
          <w:r>
            <w:rPr>
              <w:noProof/>
            </w:rPr>
            <w:tab/>
          </w:r>
          <w:r>
            <w:rPr>
              <w:rFonts w:ascii="Times New Roman" w:cs="David" w:hAnsi="Times New Roman"/>
              <w:noProof/>
              <w:sz w:val="24"/>
              <w:szCs w:val="24"/>
              <w:rtl/>
            </w:rPr>
            <w:t>28</w:t>
          </w:r>
        </w:p>
        <w:p>
          <w:pPr>
            <w:bidi/>
            <w:tabs>
              <w:tab w:val="right" w:leader="dot" w:pos="9020"/>
            </w:tabs>
            <w:spacing w:after="40" w:line="240"/>
          </w:pPr>
          <w:r>
            <w:rPr>
              <w:rFonts w:ascii="Times New Roman" w:cs="David" w:hAnsi="Times New Roman"/>
              <w:b/>
              <w:bCs/>
              <w:noProof/>
              <w:sz w:val="24"/>
              <w:szCs w:val="24"/>
              <w:rtl/>
              <w:lang w:val="en-US" w:bidi="he-IL"/>
            </w:rPr>
            <w:t xml:space="preserve">גילוי נאות</w:t>
          </w:r>
          <w:r>
            <w:rPr>
              <w:noProof/>
            </w:rPr>
            <w:tab/>
          </w:r>
          <w:r>
            <w:rPr>
              <w:rFonts w:ascii="Times New Roman" w:cs="David" w:hAnsi="Times New Roman"/>
              <w:b/>
              <w:bCs/>
              <w:noProof/>
              <w:sz w:val="24"/>
              <w:szCs w:val="24"/>
              <w:rtl/>
            </w:rPr>
            <w:t>30</w:t>
          </w:r>
        </w:p>
        <w:p>
          <w:pPr>
            <w:bidi/>
            <w:tabs>
              <w:tab w:val="right" w:leader="dot" w:pos="9020"/>
            </w:tabs>
            <w:spacing w:after="40" w:line="240"/>
          </w:pPr>
          <w:r>
            <w:rPr>
              <w:rFonts w:ascii="Times New Roman" w:cs="David" w:hAnsi="Times New Roman"/>
              <w:b/>
              <w:bCs/>
              <w:noProof/>
              <w:sz w:val="24"/>
              <w:szCs w:val="24"/>
              <w:rtl/>
              <w:lang w:val="en-US" w:bidi="he-IL"/>
            </w:rPr>
            <w:t xml:space="preserve">ביבליוגרפיה</w:t>
          </w:r>
          <w:r>
            <w:rPr>
              <w:noProof/>
            </w:rPr>
            <w:tab/>
          </w:r>
          <w:r>
            <w:rPr>
              <w:rFonts w:ascii="Times New Roman" w:cs="David" w:hAnsi="Times New Roman"/>
              <w:b/>
              <w:bCs/>
              <w:noProof/>
              <w:sz w:val="24"/>
              <w:szCs w:val="24"/>
              <w:rtl/>
            </w:rPr>
            <w:t>31</w:t>
          </w:r>
        </w:p>
        <w:p>
          <w:pPr>
            <w:bidi/>
            <w:tabs>
              <w:tab w:val="right" w:leader="dot" w:pos="9020"/>
            </w:tabs>
            <w:spacing w:after="40" w:line="240"/>
          </w:pPr>
          <w:r>
            <w:rPr>
              <w:rFonts w:ascii="Times New Roman" w:cs="David" w:hAnsi="Times New Roman"/>
              <w:b/>
              <w:bCs/>
              <w:noProof/>
              <w:sz w:val="24"/>
              <w:szCs w:val="24"/>
              <w:rtl/>
              <w:lang w:val="en-US" w:bidi="he-IL"/>
            </w:rPr>
            <w:t xml:space="preserve">נספחים</w:t>
          </w:r>
          <w:r>
            <w:rPr>
              <w:noProof/>
            </w:rPr>
            <w:tab/>
          </w:r>
          <w:r>
            <w:rPr>
              <w:rFonts w:ascii="Times New Roman" w:cs="David" w:hAnsi="Times New Roman"/>
              <w:b/>
              <w:bCs/>
              <w:noProof/>
              <w:sz w:val="24"/>
              <w:szCs w:val="24"/>
              <w:rtl/>
            </w:rPr>
            <w:t>34</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א': שאלון המחקר</w:t>
          </w:r>
          <w:r>
            <w:rPr>
              <w:noProof/>
            </w:rPr>
            <w:tab/>
          </w:r>
          <w:r>
            <w:rPr>
              <w:rFonts w:ascii="Times New Roman" w:cs="David" w:hAnsi="Times New Roman"/>
              <w:noProof/>
              <w:sz w:val="24"/>
              <w:szCs w:val="24"/>
              <w:rtl/>
            </w:rPr>
            <w:t>34</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ב': פלטי SPSS</w:t>
          </w:r>
          <w:r>
            <w:rPr>
              <w:noProof/>
            </w:rPr>
            <w:tab/>
          </w:r>
          <w:r>
            <w:rPr>
              <w:rFonts w:ascii="Times New Roman" w:cs="David" w:hAnsi="Times New Roman"/>
              <w:noProof/>
              <w:sz w:val="24"/>
              <w:szCs w:val="24"/>
              <w:rtl/>
            </w:rPr>
            <w:t>38</w:t>
          </w:r>
        </w:p>
        <w:p>
          <w:r>
            <w:rPr>
              <w:noProof/>
              <w:lang w:val="en-US" w:eastAsia="en-US" w:bidi="he-IL"/>
            </w:rPr>
            <w:fldChar w:fldCharType="end"/>
          </w:r>
        </w:p>
      </w:sdtContent>
    </w:sdt>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מבוא</w:t>
      </w:r>
    </w:p>
    <w:p>
      <w:pPr>
        <w:bidi/>
        <w:spacing w:after="120" w:line="360"/>
        <w:jc w:val="both"/>
      </w:pPr>
      <w:r>
        <w:rPr>
          <w:rFonts w:ascii="Times New Roman" w:cs="David" w:eastAsia="David" w:hAnsi="Times New Roman"/>
          <w:noProof/>
          <w:sz w:val="24"/>
          <w:szCs w:val="24"/>
          <w:rtl/>
          <w:lang w:val="en-US" w:eastAsia="en-US" w:bidi="he-I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jc w:val="both"/>
      </w:pPr>
      <w:r>
        <w:rPr>
          <w:rFonts w:ascii="Times New Roman" w:cs="David" w:eastAsia="David" w:hAnsi="Times New Roman"/>
          <w:noProof/>
          <w:sz w:val="24"/>
          <w:szCs w:val="24"/>
          <w:rtl/>
          <w:lang w:val="en-US" w:eastAsia="en-US" w:bidi="he-I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ח"ת).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jc w:val="both"/>
      </w:pPr>
      <w:r>
        <w:rPr>
          <w:rFonts w:ascii="Times New Roman" w:cs="David" w:eastAsia="David" w:hAnsi="Times New Roman"/>
          <w:noProof/>
          <w:sz w:val="24"/>
          <w:szCs w:val="24"/>
          <w:rtl/>
          <w:lang w:val="en-US" w:eastAsia="en-US" w:bidi="he-IL"/>
        </w:rPr>
        <w:t xml:space="preserve">בישראל השאלה דחופה במיוחד. רוב בני הנוער מדווחים על ארבע עד שמונה שעות מסך ביום (איגוד האינטרנט הישראלי, 2022), ומשרד הבריאות פרסם לאחרונה המלצות להורים להגבלת זמן המסך לפי גיל ולהרחקת מסכים מחדרי השינה,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jc w:val="both"/>
      </w:pPr>
      <w:r>
        <w:rPr>
          <w:rFonts w:ascii="Times New Roman" w:cs="David" w:eastAsia="David" w:hAnsi="Times New Roman"/>
          <w:noProof/>
          <w:sz w:val="24"/>
          <w:szCs w:val="24"/>
          <w:rtl/>
          <w:lang w:val="en-US" w:eastAsia="en-US" w:bidi="he-I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jc w:val="both"/>
      </w:pPr>
      <w:r>
        <w:rPr>
          <w:rFonts w:ascii="Times New Roman" w:cs="David" w:eastAsia="David" w:hAnsi="Times New Roman"/>
          <w:noProof/>
          <w:sz w:val="24"/>
          <w:szCs w:val="24"/>
          <w:rtl/>
          <w:lang w:val="en-US" w:eastAsia="en-US" w:bidi="he-I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והפרק הרביעי דן בהם לאור הספרות, מציע מסקנות והמלצות ומסכם.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1: סקירת הספרות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1.1 לקויות למידה: הגדרה, שכיחות ומאפיינים</w:t>
      </w:r>
    </w:p>
    <w:p>
      <w:pPr>
        <w:bidi/>
        <w:spacing w:after="120" w:line="360"/>
        <w:jc w:val="both"/>
      </w:pPr>
      <w:r>
        <w:rPr>
          <w:rFonts w:ascii="Times New Roman" w:cs="David" w:eastAsia="David" w:hAnsi="Times New Roman"/>
          <w:noProof/>
          <w:sz w:val="24"/>
          <w:szCs w:val="24"/>
          <w:rtl/>
          <w:lang w:val="en-US" w:eastAsia="en-US" w:bidi="he-I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השכיחות בקרב ילדים בגיל בית הספר נאמדת בחמישה עד חמישה עשר אחוזים (American Psychiatric Association, 2013, מצוטט אצל ארן-ארנרייך, 2013).</w:t>
      </w:r>
    </w:p>
    <w:p>
      <w:pPr>
        <w:bidi/>
        <w:spacing w:after="120" w:line="360"/>
        <w:jc w:val="both"/>
      </w:pPr>
      <w:r>
        <w:rPr>
          <w:rFonts w:ascii="Times New Roman" w:cs="David" w:eastAsia="David" w:hAnsi="Times New Roman"/>
          <w:noProof/>
          <w:sz w:val="24"/>
          <w:szCs w:val="24"/>
          <w:rtl/>
          <w:lang w:val="en-US" w:eastAsia="en-US" w:bidi="he-I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ח"ת).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jc w:val="both"/>
      </w:pPr>
      <w:r>
        <w:rPr>
          <w:rFonts w:ascii="Times New Roman" w:cs="David" w:eastAsia="David" w:hAnsi="Times New Roman"/>
          <w:noProof/>
          <w:sz w:val="24"/>
          <w:szCs w:val="24"/>
          <w:rtl/>
          <w:lang w:val="en-US" w:eastAsia="en-US" w:bidi="he-I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ועיכוב תגובה, הם היכולות שנדרשות כדי להפסיק משחק בטלפון וללכת לישון.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jc w:val="both"/>
      </w:pPr>
      <w:r>
        <w:rPr>
          <w:rFonts w:ascii="Times New Roman" w:cs="David" w:eastAsia="David" w:hAnsi="Times New Roman"/>
          <w:noProof/>
          <w:sz w:val="24"/>
          <w:szCs w:val="24"/>
          <w:rtl/>
          <w:lang w:val="en-US" w:eastAsia="en-US" w:bidi="he-I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1.2 חשיפה למסכים בקרב ילדים ובני נוער</w:t>
      </w:r>
    </w:p>
    <w:p>
      <w:pPr>
        <w:bidi/>
        <w:spacing w:after="120" w:line="360"/>
        <w:jc w:val="both"/>
      </w:pPr>
      <w:r>
        <w:rPr>
          <w:rFonts w:ascii="Times New Roman" w:cs="David" w:eastAsia="David" w:hAnsi="Times New Roman"/>
          <w:noProof/>
          <w:sz w:val="24"/>
          <w:szCs w:val="24"/>
          <w:rtl/>
          <w:lang w:val="en-US" w:eastAsia="en-US" w:bidi="he-I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jc w:val="both"/>
      </w:pPr>
      <w:r>
        <w:rPr>
          <w:rFonts w:ascii="Times New Roman" w:cs="David" w:eastAsia="David" w:hAnsi="Times New Roman"/>
          <w:noProof/>
          <w:sz w:val="24"/>
          <w:szCs w:val="24"/>
          <w:rtl/>
          <w:lang w:val="en-US" w:eastAsia="en-US" w:bidi="he-I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jc w:val="both"/>
      </w:pPr>
      <w:r>
        <w:rPr>
          <w:rFonts w:ascii="Times New Roman" w:cs="David" w:eastAsia="David" w:hAnsi="Times New Roman"/>
          <w:noProof/>
          <w:sz w:val="24"/>
          <w:szCs w:val="24"/>
          <w:rtl/>
          <w:lang w:val="en-US" w:eastAsia="en-US" w:bidi="he-IL"/>
        </w:rPr>
        <w:t xml:space="preserve">מחקר ישראלי שנערך בקרב 60 תלמידי כיתות ה' ו-ו' מיישובי עוטף עזה וממרכז הארץ מדד באותו שאלון את מספר שעות הפעילות הגופנית ואת מספר שעות הצפייה במסכים בשבוע, לצד עמדות כלפי פעילות גופנית וחרדה מצבית. התלמידים דיווחו בממוצע על כ-16 שעות מסך שבועיות לעומת כשמונה שעות של פעילות גופנית, ולא נמצא הבדל בין שתי הקבוצות ובין בנים לבנות. עם זאת, נמצא קשר שלילי בין התפיסה שפעילות גופנית תורמת לבריאות לבין זמן המסך וקשר חיובי בין תפיסה זו לבין זמן הפעילות, כלומר ככל שהילד מייחס לפעילות ערך בריאותי רב יותר, כך זמן המסך שלו קטן וזמן הפעילות שלו גדל (שחף ושלג, 2020). המחקר נערך בכיתות רגילות ולא בדק לקויות למידה, אך הוא מדגים שבקרב ילדים בישראל זמן המסך וזמן הפעילות הגופנית מתחרים זה בזה על שעות הפנאי, ושהם ניתנים למדידה יחד בדיווח עצמי פשוט, כפי שנעשה גם בעבודה הנוכחית.</w:t>
      </w:r>
    </w:p>
    <w:p>
      <w:pPr>
        <w:bidi/>
        <w:spacing w:after="120" w:line="360"/>
        <w:jc w:val="both"/>
      </w:pPr>
      <w:r>
        <w:rPr>
          <w:rFonts w:ascii="Times New Roman" w:cs="David" w:eastAsia="David" w:hAnsi="Times New Roman"/>
          <w:noProof/>
          <w:sz w:val="24"/>
          <w:szCs w:val="24"/>
          <w:rtl/>
          <w:lang w:val="en-US" w:eastAsia="en-US" w:bidi="he-I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1.3 שינה בגיל בית הספר ובקרב 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jc w:val="both"/>
      </w:pPr>
      <w:r>
        <w:rPr>
          <w:rFonts w:ascii="Times New Roman" w:cs="David" w:eastAsia="David" w:hAnsi="Times New Roman"/>
          <w:noProof/>
          <w:sz w:val="24"/>
          <w:szCs w:val="24"/>
          <w:rtl/>
          <w:lang w:val="en-US" w:eastAsia="en-US" w:bidi="he-I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jc w:val="both"/>
      </w:pPr>
      <w:r>
        <w:rPr>
          <w:rFonts w:ascii="Times New Roman" w:cs="David" w:eastAsia="David" w:hAnsi="Times New Roman"/>
          <w:noProof/>
          <w:sz w:val="24"/>
          <w:szCs w:val="24"/>
          <w:rtl/>
          <w:lang w:val="en-US" w:eastAsia="en-US" w:bidi="he-I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1.4 פעילות גופנית ותלמידים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jc w:val="both"/>
      </w:pPr>
      <w:r>
        <w:rPr>
          <w:rFonts w:ascii="Times New Roman" w:cs="David" w:eastAsia="David" w:hAnsi="Times New Roman"/>
          <w:noProof/>
          <w:sz w:val="24"/>
          <w:szCs w:val="24"/>
          <w:rtl/>
          <w:lang w:val="en-US" w:eastAsia="en-US" w:bidi="he-I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jc w:val="both"/>
      </w:pPr>
      <w:r>
        <w:rPr>
          <w:rFonts w:ascii="Times New Roman" w:cs="David" w:eastAsia="David" w:hAnsi="Times New Roman"/>
          <w:noProof/>
          <w:sz w:val="24"/>
          <w:szCs w:val="24"/>
          <w:rtl/>
          <w:lang w:val="en-US" w:eastAsia="en-US" w:bidi="he-I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1.5 המודל המשולב של 24 השעות והקשר לתפקוד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jc w:val="both"/>
      </w:pPr>
      <w:r>
        <w:rPr>
          <w:rFonts w:ascii="Times New Roman" w:cs="David" w:eastAsia="David" w:hAnsi="Times New Roman"/>
          <w:noProof/>
          <w:sz w:val="24"/>
          <w:szCs w:val="24"/>
          <w:rtl/>
          <w:lang w:val="en-US" w:eastAsia="en-US" w:bidi="he-I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jc w:val="both"/>
      </w:pPr>
      <w:r>
        <w:rPr>
          <w:rFonts w:ascii="Times New Roman" w:cs="David" w:eastAsia="David" w:hAnsi="Times New Roman"/>
          <w:noProof/>
          <w:sz w:val="24"/>
          <w:szCs w:val="24"/>
          <w:rtl/>
          <w:lang w:val="en-US" w:eastAsia="en-US" w:bidi="he-I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רציונל המחקר</w:t>
      </w:r>
    </w:p>
    <w:p>
      <w:pPr>
        <w:bidi/>
        <w:spacing w:after="120" w:line="360"/>
        <w:jc w:val="both"/>
      </w:pPr>
      <w:r>
        <w:rPr>
          <w:rFonts w:ascii="Times New Roman" w:cs="David" w:eastAsia="David" w:hAnsi="Times New Roman"/>
          <w:noProof/>
          <w:sz w:val="24"/>
          <w:szCs w:val="24"/>
          <w:rtl/>
          <w:lang w:val="en-US" w:eastAsia="en-US" w:bidi="he-I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מטרת המחקר</w:t>
      </w:r>
    </w:p>
    <w:p>
      <w:pPr>
        <w:bidi/>
        <w:spacing w:after="120" w:line="360"/>
        <w:jc w:val="both"/>
      </w:pPr>
      <w:r>
        <w:rPr>
          <w:rFonts w:ascii="Times New Roman" w:cs="David" w:eastAsia="David" w:hAnsi="Times New Roman"/>
          <w:noProof/>
          <w:sz w:val="24"/>
          <w:szCs w:val="24"/>
          <w:rtl/>
          <w:lang w:val="en-US" w:eastAsia="en-US" w:bidi="he-IL"/>
        </w:rPr>
        <w:t xml:space="preserve">למחקר שלוש מטרות: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שאלות המחקר</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השערות המחקר</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noProof/>
          <w:sz w:val="24"/>
          <w:szCs w:val="24"/>
          <w:rtl/>
          <w:lang w:val="en-US" w:eastAsia="en-US" w:bidi="he-I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2: שיטת המחקר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2.1 מערך המחקר</w:t>
      </w:r>
    </w:p>
    <w:p>
      <w:pPr>
        <w:bidi/>
        <w:spacing w:after="120" w:line="360"/>
        <w:jc w:val="both"/>
      </w:pPr>
      <w:r>
        <w:rPr>
          <w:rFonts w:ascii="Times New Roman" w:cs="David" w:eastAsia="David" w:hAnsi="Times New Roman"/>
          <w:noProof/>
          <w:sz w:val="24"/>
          <w:szCs w:val="24"/>
          <w:rtl/>
          <w:lang w:val="en-US" w:eastAsia="en-US" w:bidi="he-IL"/>
        </w:rPr>
        <w:t xml:space="preserve">המחקר כמותי, במערך רוחבי (חתך) מתאמי-השוואתי. הנתונים נאספו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noProof/>
          <w:sz w:val="24"/>
          <w:szCs w:val="24"/>
          <w:rtl/>
          <w:lang w:val="en-US" w:eastAsia="en-US" w:bidi="he-IL"/>
        </w:rPr>
        <w:t xml:space="preserve">משתני המחקר:</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2.2 אוכלוסיית המחקר והמדגם</w:t>
      </w:r>
    </w:p>
    <w:p>
      <w:pPr>
        <w:bidi/>
        <w:spacing w:after="120" w:line="360"/>
        <w:jc w:val="both"/>
      </w:pPr>
      <w:r>
        <w:rPr>
          <w:rFonts w:ascii="Times New Roman" w:cs="David" w:eastAsia="David" w:hAnsi="Times New Roman"/>
          <w:noProof/>
          <w:sz w:val="24"/>
          <w:szCs w:val="24"/>
          <w:rtl/>
          <w:lang w:val="en-US" w:eastAsia="en-US" w:bidi="he-I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היה 120 תלמידים: 60 בקבוצת המחקר ו-60 בקבוצת ההשוואה, בטווח הגילים 12 עד 18. חישוב מקדים באמצעות מחשבון עוצמה סטטיסטית הראה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jc w:val="both"/>
      </w:pPr>
      <w:r>
        <w:rPr>
          <w:rFonts w:ascii="Times New Roman" w:cs="David" w:eastAsia="David" w:hAnsi="Times New Roman"/>
          <w:noProof/>
          <w:sz w:val="24"/>
          <w:szCs w:val="24"/>
          <w:rtl/>
          <w:lang w:val="en-US" w:eastAsia="en-US" w:bidi="he-IL"/>
        </w:rPr>
        <w:t xml:space="preserve">הדגימה הייתה דגימת נוחות. התלמידים גויסו בשני בתי ספר על-יסודיים שבהם פועל מרכז תמיכה או רכז לקויות למידה, באמצעות פנייה למנהלים וליועצות. קבוצת ההשוואה גויסה מאותם בתי ספר ומאותן שכבות גיל, כדי לצמצם הבדלים סביבתיים בין הקבוצות. קריטריוני ההכללה לקבוצת המחקר היו אבחון לקות למידה שתועד בבית הספר, גיל 12 עד 18 ושליטה בשפת השאלון. קריטריוני אי-ההכללה לשתי הקבוצות היו מוגבלות שכלית, אבחנה של אוטיזם, לקות חושית שאינה מתוקנת או מחלה כרונית שמגבילה פעילות גופנית. תלמידים עם הפרעת קשב נלווית נכללו בקבוצת המחקר, ומשתנה זה נרשם ובוקר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2.3 כלי המחקר</w:t>
      </w:r>
    </w:p>
    <w:p>
      <w:pPr>
        <w:bidi/>
        <w:spacing w:after="120" w:line="360"/>
        <w:jc w:val="both"/>
      </w:pPr>
      <w:r>
        <w:rPr>
          <w:rFonts w:ascii="Times New Roman" w:cs="David" w:eastAsia="David" w:hAnsi="Times New Roman"/>
          <w:noProof/>
          <w:sz w:val="24"/>
          <w:szCs w:val="24"/>
          <w:rtl/>
          <w:lang w:val="en-US" w:eastAsia="en-US" w:bidi="he-IL"/>
        </w:rPr>
        <w:t xml:space="preserve">כלי המחקר הוא שאלון סגור לדיווח עצמי שמורכב מחמישה חלקים. השאלון המלא מובא בנספח א'. משך המילוי היה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א: שאלון פרטים אישיים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ב: שאלון חשיפה למסכים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ג: שאלון הרגלי שינה וישנוניות</w:t>
      </w:r>
    </w:p>
    <w:p>
      <w:pPr>
        <w:bidi/>
        <w:spacing w:after="120" w:line="360"/>
        <w:jc w:val="both"/>
      </w:pPr>
      <w:r>
        <w:rPr>
          <w:rFonts w:ascii="Times New Roman" w:cs="David" w:eastAsia="David" w:hAnsi="Times New Roman"/>
          <w:noProof/>
          <w:sz w:val="24"/>
          <w:szCs w:val="24"/>
          <w:rtl/>
          <w:lang w:val="en-US" w:eastAsia="en-US" w:bidi="he-I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נמדדים בסולם של חמש דרגות מ-0 (אף פעם) עד 4 (תמיד). ציון הסולם הוא סכום הפריטים, בטווח 0 עד 32, וציון גבוה מעיד על ישנוניות רבה יותר. מהימנות הסולם חושבה על נתוני המדגם הנוכחי ומדווחת בפרק הממצאים.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ד: שאלון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ה: שאלון תפקוד לימודי מדווח</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הדיווח העצמי על ציונים נבחר כדי לשמור על אנונימיות מלאה.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2.4 הליך המחקר</w:t>
      </w:r>
    </w:p>
    <w:p>
      <w:pPr>
        <w:bidi/>
        <w:spacing w:after="120" w:line="360"/>
        <w:jc w:val="both"/>
      </w:pPr>
      <w:r>
        <w:rPr>
          <w:rFonts w:ascii="Times New Roman" w:cs="David" w:eastAsia="David" w:hAnsi="Times New Roman"/>
          <w:noProof/>
          <w:sz w:val="24"/>
          <w:szCs w:val="24"/>
          <w:rtl/>
          <w:lang w:val="en-US" w:eastAsia="en-US" w:bidi="he-IL"/>
        </w:rPr>
        <w:t xml:space="preserve">בשלב הראשון התקבל אישור המרצה המנחה של הסמינריון לנושא המחקר ולשאלת המחקר. לאחר מכן נערכה פנייה למנהלי בתי הספר לקבלת הסכמתם ולזיהוי רכז לקויות הלמידה או היועצת שליוו את איסוף הנתונים. בשלב השני הועברו להורי התלמידים טופסי הסכמה מדעת, שבהם הוסברו נושא המחקר, אופי השאלון, האנונימיות והזכות לסרב או להפסיק בכל שלב. בשלב השלישי הועבר השאלון לתלמידים שהוריהם הסכימו, במסגרת שיעור או שעת חינוך, בנוכחות החוקרת ואיש צוות. השאלון הועבר על גבי טופס מקוון או בדפוס, לפי אפשרויות בית הספר. לתלמידים עם לקויות למידה הוצע להקריא את השאלות בקול או להאריך את זמן המילוי, כדי שהקושי בקריאה לא ישפיע על איכות הדיווח. לפני ההעברה הרחבה נערך מחקר חלוץ בקרב עשרה תלמידים לבדיקת בהירות הניסוח ומשך המילוי, ובעקבותיו תוקן נוסחם של שני פריטים. איסוף הנתונים נמשך כשישה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2.5 ניתוח הנתונים</w:t>
      </w:r>
    </w:p>
    <w:p>
      <w:pPr>
        <w:bidi/>
        <w:spacing w:after="120" w:line="360"/>
        <w:jc w:val="both"/>
      </w:pPr>
      <w:r>
        <w:rPr>
          <w:rFonts w:ascii="Times New Roman" w:cs="David" w:eastAsia="David" w:hAnsi="Times New Roman"/>
          <w:noProof/>
          <w:sz w:val="24"/>
          <w:szCs w:val="24"/>
          <w:rtl/>
          <w:lang w:val="en-US" w:eastAsia="en-US" w:bidi="he-IL"/>
        </w:rPr>
        <w:t xml:space="preserve">הנתונים נותחו בתוכנת SPSS. תחילה חושבה סטטיסטיקה תיאורית (ממוצעים, סטיות תקן, שכיחויות ואחוזים) לכל משתני המחקר ולשיעור העמידה בכל המלצה ובשלושתן יחד, בנפרד לכל קבוצה. מהימנות הסולמות נבדקה באמצעות אלפא של קרונבך. השערות המחקר הראשונה עד השלישית נבדקו באמצעות מתאמי פירסון בין המשתנים הרציפים, וכאשר ההתפלגות לא הייתה נורמלית באמצעות מתאם ספירמן. ההשערה הרביעית נבדקה באמצעות ניתוח שונות חד-כיווני להשוואת התפקוד הלימודי בין תלמידים העומדים באפס, באחת, בשתיים או בשלוש המלצות. ההשערה החמישית נבדקה באמצעות מבחני t למדגמים בלתי תלויים להשוואת ממוצעים ומבחני חי בריבוע להשוואת שיעורי העמידה בהמלצות בין הקבוצות. לבסוף נערכה רגרסיה לינארית מרובה שבה התפקוד הלימודי המדווח היה המשתנה התלוי, ושלוש ההתנהגויות, לצד משתני הרקע והקבוצה, היו המנבאים, כדי לבחון את התרומה הייחודית של כל התנהגות. רמת המובהקות שאומצה הייתה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2.6 שיקולים אתיים</w:t>
      </w:r>
    </w:p>
    <w:p>
      <w:pPr>
        <w:bidi/>
        <w:spacing w:after="120" w:line="360"/>
        <w:jc w:val="both"/>
      </w:pPr>
      <w:r>
        <w:rPr>
          <w:rFonts w:ascii="Times New Roman" w:cs="David" w:eastAsia="David" w:hAnsi="Times New Roman"/>
          <w:noProof/>
          <w:sz w:val="24"/>
          <w:szCs w:val="24"/>
          <w:rtl/>
          <w:lang w:val="en-US" w:eastAsia="en-US" w:bidi="he-IL"/>
        </w:rPr>
        <w:t xml:space="preserve">המחקר עסק בקטינים מאוכלוסייה רגישה ולכן נדרשה הקפדה יתרה. ההשתתפות הותנתה בהסכמה בכתב של ההורים ובהסכמה של התלמיד עצמו, והתלמיד היה רשאי להפסיק בכל שלב בלי הסבר ובלי שייפגע. השאלון היה אנונימי לחלוטין: לא היו בו שם, מספר זהות או פרט מזהה אחר, והשיוך לקבוצת המחקר נעשה על סמך דיווח עצמי ולא על סמך רשימות של בית הספר. השאלונים המודפסים נשמרים במקום נעול והקבצים המקוונים בקובץ מוגן בסיסמה, והם יושמדו בתום העבודה. במהלך ההעברה הוסברה לתלמידים מטרת המחקר בשפה מותאמת, והודגש שאין תשובות נכונות ולא נכונות. סוגיה ייחודית לאוכלוסייה זו היא הרגישות של תלמידים לסימון כ"מאובחנים" בפני חבריהם. לכן השאלון הועבר לכל תלמידי הכיתה יחד, ללא הפרדה בין הקבוצות, והשיוך נקבע רק בניתוח. המחקר נערך במסגרת עבודה סמינריונית, לאחר קבלת אישור המרצה המנחה לנושא המחקר ולשאלת המחקר ואישור מנהלי בתי הספר.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2.7 מגבלות המחקר</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שיש להביא בחשבון בפירוש הממצאים. המערך רוחבי, ולכן הוא יכול להצביע על קשרים אך לא על כיוון סיבתי. כל המשתנים נמדדו בדיווח עצמי, ודיווח על זמן מסך ועל ציונים חשוף להטיות של זיכרון ושל רצייה חברתית. הדגימה הייתה דגימת נוחות בשני בתי ספר, והמדגם שהתקבל קטן מהמתוכנן, ולכן ההכללה מוגבלת. קבוצת התלמידים עם לקויות למידה אינה אחידה, וסולם הישנוניות חובר לצורך המחקר ולא עבר תיקוף מלא. המגבלות נדונות בהרחבה בסעיף 4.7.</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3: ממצאים (תוצאות)</w:t>
      </w:r>
    </w:p>
    <w:p>
      <w:pPr>
        <w:bidi/>
        <w:spacing w:after="120" w:line="360"/>
        <w:jc w:val="both"/>
      </w:pPr>
      <w:r>
        <w:rPr>
          <w:rFonts w:ascii="Times New Roman" w:cs="David" w:eastAsia="David" w:hAnsi="Times New Roman"/>
          <w:b/>
          <w:bCs/>
          <w:noProof/>
          <w:color w:val="C00000"/>
          <w:sz w:val="24"/>
          <w:szCs w:val="24"/>
          <w:rtl/>
          <w:lang w:val="en-US" w:eastAsia="en-US" w:bidi="he-IL"/>
        </w:rPr>
        <w:t xml:space="preserve">[הערה לגרסה זו: פרקי הממצאים והדיון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jc w:val="both"/>
      </w:pPr>
      <w:r>
        <w:rPr>
          <w:rFonts w:ascii="Times New Roman" w:cs="David" w:eastAsia="David" w:hAnsi="Times New Roman"/>
          <w:noProof/>
          <w:sz w:val="24"/>
          <w:szCs w:val="24"/>
          <w:rtl/>
          <w:lang w:val="en-US" w:eastAsia="en-US" w:bidi="he-I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3.1 אוכלוסיית המחקר</w:t>
      </w:r>
    </w:p>
    <w:p>
      <w:pPr>
        <w:bidi/>
        <w:spacing w:after="120" w:line="360"/>
        <w:jc w:val="both"/>
      </w:pPr>
      <w:r>
        <w:rPr>
          <w:rFonts w:ascii="Times New Roman" w:cs="David" w:eastAsia="David" w:hAnsi="Times New Roman"/>
          <w:noProof/>
          <w:sz w:val="24"/>
          <w:szCs w:val="24"/>
          <w:rtl/>
          <w:lang w:val="en-US" w:eastAsia="en-US" w:bidi="he-I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שכיחות (אחוז מהקבוצה). מקור: פלט Frequencies, נספח ב'.</w:t>
      </w:r>
    </w:p>
    <w:p>
      <w:pPr>
        <w:bidi/>
        <w:spacing w:after="120" w:line="360"/>
        <w:jc w:val="both"/>
      </w:pPr>
      <w:r>
        <w:rPr>
          <w:rFonts w:ascii="Times New Roman" w:cs="David" w:eastAsia="David" w:hAnsi="Times New Roman"/>
          <w:noProof/>
          <w:sz w:val="24"/>
          <w:szCs w:val="24"/>
          <w:rtl/>
          <w:lang w:val="en-US" w:eastAsia="en-US" w:bidi="he-I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3.2 מהימנות הסולמות</w:t>
      </w:r>
    </w:p>
    <w:p>
      <w:pPr>
        <w:bidi/>
        <w:spacing w:after="120" w:line="360"/>
        <w:jc w:val="both"/>
      </w:pPr>
      <w:r>
        <w:rPr>
          <w:rFonts w:ascii="Times New Roman" w:cs="David" w:eastAsia="David" w:hAnsi="Times New Roman"/>
          <w:noProof/>
          <w:sz w:val="24"/>
          <w:szCs w:val="24"/>
          <w:rtl/>
          <w:lang w:val="en-US" w:eastAsia="en-US" w:bidi="he-IL"/>
        </w:rPr>
        <w:t xml:space="preserve">סולם הישנוניות היומית (8 פריטים, טווח 0 עד 32) נמצא מהימן (α = 0.85) ומתאים לשימוש כציון כולל. מהימנות סולם התפקוד היומי בלמידה (5 פריטים,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 (פלט Reliability, נספח ב').</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לוח 2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2: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2.98 (0.60)</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שעת השינה מוצגת כשעה ממוצעת וסטיית התקן בשעות. מקור: פלט Descriptives, נספח ב'.</w:t>
      </w:r>
    </w:p>
    <w:p>
      <w:pPr>
        <w:bidi/>
        <w:spacing w:after="120" w:line="360"/>
        <w:jc w:val="both"/>
      </w:pPr>
      <w:r>
        <w:rPr>
          <w:rFonts w:ascii="Times New Roman" w:cs="David" w:eastAsia="David" w:hAnsi="Times New Roman"/>
          <w:noProof/>
          <w:sz w:val="24"/>
          <w:szCs w:val="24"/>
          <w:rtl/>
          <w:lang w:val="en-US" w:eastAsia="en-US" w:bidi="he-IL"/>
        </w:rPr>
        <w:t xml:space="preserve">מלוח 2 עולה כי תלמידים עם לקויות למידה דיווחו על ממוצע של 4.09 שעות מסך פנאי ביום, 3.60 ביום חול ו-5.31 בסוף השבוע, פי שניים מההמלצה של שעתיים.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noProof/>
          <w:sz w:val="24"/>
          <w:szCs w:val="24"/>
          <w:rtl/>
          <w:lang w:val="en-US" w:eastAsia="en-US" w:bidi="he-IL"/>
        </w:rPr>
        <w:t xml:space="preserve">תרשים 1 מציג את שיעורי העמידה בשלוש ההמלצות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1: אחוז העומדים בכל אחת מההמלצות לפי קבוצה</w:t>
      </w:r>
    </w:p>
    <w:p>
      <w:pPr>
        <w:keepNext/>
        <w:spacing w:after="60" w:before="120"/>
        <w:jc w:val="center"/>
      </w:pPr>
      <w:r>
        <w:rPr>
          <w:noProof/>
          <w:lang w:val="en-US" w:eastAsia="en-US" w:bidi="he-IL"/>
        </w:rPr>
        <w:drawing>
          <wp:inline distT="0" distB="0" distL="0" distR="0">
            <wp:extent cx="39624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2447925"/>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12 אחוזים בהמלצת המסכים, 56 אחוזים בהמלצת השינה ו-4 אחוזים בהמלצת הפעילות הגופנית, ותלמיד אחד עמד בשלוש ההמלצות יחד (פלט Frequencies בפיצול לפי קבוצה, נספח ב'). הפער הבולט בין הקבוצות הוא בהמלצת השינה.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3.4 שאלת מחקר 2 והשערה 1: חשיפה למסכים ושינה</w:t>
      </w:r>
    </w:p>
    <w:p>
      <w:pPr>
        <w:bidi/>
        <w:spacing w:after="120" w:line="360"/>
        <w:jc w:val="both"/>
      </w:pPr>
      <w:r>
        <w:rPr>
          <w:rFonts w:ascii="Times New Roman" w:cs="David" w:eastAsia="David" w:hAnsi="Times New Roman"/>
          <w:noProof/>
          <w:sz w:val="24"/>
          <w:szCs w:val="24"/>
          <w:rtl/>
          <w:lang w:val="en-US" w:eastAsia="en-US" w:bidi="he-IL"/>
        </w:rPr>
        <w:t xml:space="preserve">ההשערה הראשונה שיערה קשר שלילי בין היקף החשיפה למסכים לבין משך השינה, וקשר חיובי בינו לבין שעת שינה מאוחרת וישנוניות בשעות היום. לוח 3 מציג את מתאמי פירסון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3: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3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3.5 שאלת מחקר 3 והשערה 2: חשיפה למסכים ופעילות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שיערה קשר שלילי בין היקף החשיפה למסכים לבין היקף הפעילות הגופנית. ההשערה לא אוששה. בקבוצת המחקר לא נמצא קשר בין זמן מסך הפנאי לבין מספר הימים עם 60 דקות פעילות, מספר שעות הפעילות הנמרצת בשבוע או תדירותה, וכל המתאמים היו קרובים לאפס (r בין -0.09 ל-0.05, פלט Correlations, נספח ב').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3.6 שאלת מחקר 4 והשערה 3: שלוש ההתנהגויות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השלישית שיערה קשר שלילי בין החשיפה למסכים לבין התפקוד הלימודי המדווח, וקשר חיובי בין שינה ופעילות גופנית לבין התפקוד הלימודי. לוח 4 מציג את המתאמים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4: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4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noProof/>
          <w:sz w:val="24"/>
          <w:szCs w:val="24"/>
          <w:rtl/>
          <w:lang w:val="en-US" w:eastAsia="en-US" w:bidi="he-IL"/>
        </w:rPr>
        <w:t xml:space="preserve">כדי לבחון את התרומה הייחודית של כל התנהגות נערכה רגרסיה לינארית מרובה שבה ממוצע הציונים היה המשתנה התלוי. לוח 5 מציג את תוצאותיה.</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5: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0.328</w:t>
            </w:r>
          </w:p>
        </w:tc>
      </w:tr>
    </w:tbl>
    <w:p>
      <w:pPr>
        <w:bidi/>
        <w:spacing w:after="120" w:line="276"/>
        <w:jc w:val="both"/>
      </w:pPr>
      <w:r>
        <w:rPr>
          <w:rFonts w:ascii="Times New Roman" w:cs="David" w:eastAsia="David" w:hAnsi="Times New Roman"/>
          <w:noProof/>
          <w:sz w:val="20"/>
          <w:szCs w:val="20"/>
          <w:rtl/>
          <w:lang w:val="en-US" w:eastAsia="en-US" w:bidi="he-IL"/>
        </w:rPr>
        <w:t xml:space="preserve">הערה. R² = 0.37, R² מתוקן = 0.28, F(5, 34) = 3.96, p = 0.006. מקור: פלט Regression, נספח ב'.</w:t>
      </w:r>
    </w:p>
    <w:p>
      <w:pPr>
        <w:bidi/>
        <w:spacing w:after="120" w:line="360"/>
        <w:jc w:val="both"/>
      </w:pPr>
      <w:r>
        <w:rPr>
          <w:rFonts w:ascii="Times New Roman" w:cs="David" w:eastAsia="David" w:hAnsi="Times New Roman"/>
          <w:noProof/>
          <w:sz w:val="24"/>
          <w:szCs w:val="24"/>
          <w:rtl/>
          <w:lang w:val="en-US" w:eastAsia="en-US" w:bidi="he-IL"/>
        </w:rPr>
        <w:t xml:space="preserve">מלוח 5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3.7 השערה 4: מספר ההמלצות שמתקיימות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6 מציג את התוצאות.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6: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3.57, p = 0.034, η² = 0.10</w:t>
            </w:r>
          </w:p>
        </w:tc>
      </w:tr>
    </w:tbl>
    <w:p>
      <w:pPr>
        <w:bidi/>
        <w:spacing w:after="120" w:line="276"/>
        <w:jc w:val="both"/>
      </w:pPr>
      <w:r>
        <w:rPr>
          <w:rFonts w:ascii="Times New Roman" w:cs="David" w:eastAsia="David" w:hAnsi="Times New Roman"/>
          <w:noProof/>
          <w:sz w:val="20"/>
          <w:szCs w:val="20"/>
          <w:rtl/>
          <w:lang w:val="en-US" w:eastAsia="en-US" w:bidi="he-I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bidi/>
        <w:spacing w:after="120" w:line="360"/>
        <w:jc w:val="both"/>
      </w:pPr>
      <w:r>
        <w:rPr>
          <w:rFonts w:ascii="Times New Roman" w:cs="David" w:eastAsia="David" w:hAnsi="Times New Roman"/>
          <w:noProof/>
          <w:sz w:val="24"/>
          <w:szCs w:val="24"/>
          <w:rtl/>
          <w:lang w:val="en-US" w:eastAsia="en-US" w:bidi="he-IL"/>
        </w:rPr>
        <w:t xml:space="preserve">מלוח 6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7 מציג את תוצאות מבחני t למדגמים בלתי תלויים, ואחריו מדווחים מבחני חי בריבוע לעמידה בהמלצות.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7: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d מדווח בערך מוחלט. מבחן Levene לא היה מובהק באף אחד מהמשתנים. מקור: פלט T-Test, נספח ב'.</w:t>
      </w:r>
    </w:p>
    <w:p>
      <w:pPr>
        <w:bidi/>
        <w:spacing w:after="120" w:line="360"/>
        <w:jc w:val="both"/>
      </w:pPr>
      <w:r>
        <w:rPr>
          <w:rFonts w:ascii="Times New Roman" w:cs="David" w:eastAsia="David" w:hAnsi="Times New Roman"/>
          <w:noProof/>
          <w:sz w:val="24"/>
          <w:szCs w:val="24"/>
          <w:rtl/>
          <w:lang w:val="en-US" w:eastAsia="en-US" w:bidi="he-IL"/>
        </w:rPr>
        <w:t xml:space="preserve">מלוח 7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(הקרוב ביותר: ישנוניות, p = 0.092). לעומת זאת, ההבדל בעמידה בהמלצת השינה היה מובהק במבחן חי בריבוע: 30 אחוזים מתלמידי קבוצת המחקר עמדו בהמלצה לעומת 56 אחוזים בקבוצת ההשוואה (χ²(1) = 4.33, p = 0.037; מבחן פישר המדויק p = 0.067). בזמן המסך לא נמצא כל הבדל בין הקבוצות (d = 0.06), וגם לא בשיעור העומדים בהמלצת המסכים (15 לעומת 12 אחוזים) או בהמלצת הפעילות הגופנית (2.5 לעומת 4 אחוזים; פלט Crosstabs, נספח ב').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3.9 סיכום הממצאים</w:t>
      </w:r>
    </w:p>
    <w:p>
      <w:pPr>
        <w:bidi/>
        <w:spacing w:after="120" w:line="360"/>
        <w:jc w:val="both"/>
      </w:pPr>
      <w:r>
        <w:rPr>
          <w:rFonts w:ascii="Times New Roman" w:cs="David" w:eastAsia="David" w:hAnsi="Times New Roman"/>
          <w:noProof/>
          <w:sz w:val="24"/>
          <w:szCs w:val="24"/>
          <w:rtl/>
          <w:lang w:val="en-US" w:eastAsia="en-US" w:bidi="he-IL"/>
        </w:rPr>
        <w:t xml:space="preserve">מבין חמש ההשערות,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4: דיון</w:t>
      </w:r>
    </w:p>
    <w:p>
      <w:pPr>
        <w:bidi/>
        <w:spacing w:after="120" w:line="360"/>
        <w:jc w:val="both"/>
      </w:pPr>
      <w:r>
        <w:rPr>
          <w:rFonts w:ascii="Times New Roman" w:cs="David" w:eastAsia="David" w:hAnsi="Times New Roman"/>
          <w:noProof/>
          <w:sz w:val="24"/>
          <w:szCs w:val="24"/>
          <w:rtl/>
          <w:lang w:val="en-US" w:eastAsia="en-US" w:bidi="he-I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ומעמת את הממצאים עם הספרות שנסקרה בפרק הראשון.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4.1 המסכים כגורם המרכזי</w:t>
      </w:r>
    </w:p>
    <w:p>
      <w:pPr>
        <w:bidi/>
        <w:spacing w:after="120" w:line="360"/>
        <w:jc w:val="both"/>
      </w:pPr>
      <w:r>
        <w:rPr>
          <w:rFonts w:ascii="Times New Roman" w:cs="David" w:eastAsia="David" w:hAnsi="Times New Roman"/>
          <w:noProof/>
          <w:sz w:val="24"/>
          <w:szCs w:val="24"/>
          <w:rtl/>
          <w:lang w:val="en-US" w:eastAsia="en-US" w:bidi="he-I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jc w:val="both"/>
      </w:pPr>
      <w:r>
        <w:rPr>
          <w:rFonts w:ascii="Times New Roman" w:cs="David" w:eastAsia="David" w:hAnsi="Times New Roman"/>
          <w:noProof/>
          <w:sz w:val="24"/>
          <w:szCs w:val="24"/>
          <w:rtl/>
          <w:lang w:val="en-US" w:eastAsia="en-US" w:bidi="he-I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הוא שמשך השינה מדווח בקירוב,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4.2 הפעילות הגופנית: היעדר קשר ומשמעותו</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jc w:val="both"/>
      </w:pPr>
      <w:r>
        <w:rPr>
          <w:rFonts w:ascii="Times New Roman" w:cs="David" w:eastAsia="David" w:hAnsi="Times New Roman"/>
          <w:noProof/>
          <w:sz w:val="24"/>
          <w:szCs w:val="24"/>
          <w:rtl/>
          <w:lang w:val="en-US" w:eastAsia="en-US" w:bidi="he-I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4.3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4.4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ייתכן שהסיבה היא הטיפול התרופתי שכמחצית מהם נוטלים, וכן גודל המדגם. שלישית, הפער בתפקוד הלימודי בין הקבוצות היה גדול, אך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4.5 מסקנות</w:t>
      </w:r>
    </w:p>
    <w:p>
      <w:pPr>
        <w:bidi/>
        <w:spacing w:after="120" w:line="360"/>
        <w:jc w:val="both"/>
      </w:pPr>
      <w:r>
        <w:rPr>
          <w:rFonts w:ascii="Times New Roman" w:cs="David" w:eastAsia="David" w:hAnsi="Times New Roman"/>
          <w:noProof/>
          <w:sz w:val="24"/>
          <w:szCs w:val="24"/>
          <w:rtl/>
          <w:lang w:val="en-US" w:eastAsia="en-US" w:bidi="he-I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4.6 תרומת המחקר והשלכות יישומיות</w:t>
      </w:r>
    </w:p>
    <w:p>
      <w:pPr>
        <w:bidi/>
        <w:spacing w:after="120" w:line="360"/>
        <w:jc w:val="both"/>
      </w:pPr>
      <w:r>
        <w:rPr>
          <w:rFonts w:ascii="Times New Roman" w:cs="David" w:eastAsia="David" w:hAnsi="Times New Roman"/>
          <w:noProof/>
          <w:sz w:val="24"/>
          <w:szCs w:val="24"/>
          <w:rtl/>
          <w:lang w:val="en-US" w:eastAsia="en-US" w:bidi="he-I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שכן אצלם המחיר של אותה כמות מסך גבוה יותר. דוגמה למודל התערבות אפשרי היא תוכנית חברו"ת, תוכנית חונכות מקוונת שבה סטודנטים לחינוך גופני ליוו בני נוער בסיכון בפעילות גופנית ובקשר אישי במשך כחצי שנה בתקופת הקורונה. בקרב המשתתפים נמצאה לאחריה עלייה בחוסן ובתמיכה החברתית וירידה במצוקה הפסיכולוגית, ואילו בקבוצת הביקורת לא נמצא שינוי (גלסר ואחרים, 2022). מודל דומה, שמשלב פעילות גופנית עם ליווי אישי, עשוי להתאים גם לתלמידים עם לקויות למידה, שאצלם ההימנעות מפעילות קשורה לא פעם לחוויית כישלון ולא לחוסר עניין.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4.7 הערכה ביקורתית ומגבלות המחקר</w:t>
      </w:r>
    </w:p>
    <w:p>
      <w:pPr>
        <w:bidi/>
        <w:spacing w:after="120" w:line="360"/>
        <w:jc w:val="both"/>
      </w:pPr>
      <w:r>
        <w:rPr>
          <w:rFonts w:ascii="Times New Roman" w:cs="David" w:eastAsia="David" w:hAnsi="Times New Roman"/>
          <w:noProof/>
          <w:sz w:val="24"/>
          <w:szCs w:val="24"/>
          <w:rtl/>
          <w:lang w:val="en-US" w:eastAsia="en-US" w:bidi="he-IL"/>
        </w:rPr>
        <w:t xml:space="preserve">הערכה ביקורתית של המחקר מעלה שתי נקודות שכותב העבודה רואה כחשובות במיוחד. הראשונה נוגעת למדידה: זמן המסך נמדד כסכום שעות, ואילו הממצא של קוקבש ואחרים (Kocabas et al., 2025) מרמז שאצל תלמידים עם לקויות למידה השאלה החשובה היא מה עושים מול המסך ולא רק כמה. ייתכן שחלק מהקשר שנמצא עם הציונים משקף שימוש פסיבי ומאוחר בלילה, ולא כל שימוש, ומדד כולל מטשטש זאת. השנייה נוגעת לכיוון ההשפעה: הפרשנות שהמסכים פוגעים בשינה ובלמידה טבעית ומתיישבת עם הספרות, אך תלמיד שנכשל בלמידה ומתקשה להירדם עשוי לברוח אל המסך, ואז המסך הוא סימפטום ולא סיבה. המחקר הנוכחי אינו יכול להכריע בין שני ההסברים, והתובנה המעשית שלו תקפה בשניהם: הרגלי המסך והשינה הם נקודת כניסה נגישה להתערבות, גם אם אינם המקור היחיד לקושי.</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4.8 כיווני מחקר עתידיים</w:t>
      </w:r>
    </w:p>
    <w:p>
      <w:pPr>
        <w:bidi/>
        <w:spacing w:after="120" w:line="360"/>
        <w:jc w:val="both"/>
      </w:pPr>
      <w:r>
        <w:rPr>
          <w:rFonts w:ascii="Times New Roman" w:cs="David" w:eastAsia="David" w:hAnsi="Times New Roman"/>
          <w:noProof/>
          <w:sz w:val="24"/>
          <w:szCs w:val="24"/>
          <w:rtl/>
          <w:lang w:val="en-US" w:eastAsia="en-US" w:bidi="he-I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4.9 סיכום</w:t>
      </w:r>
    </w:p>
    <w:p>
      <w:pPr>
        <w:bidi/>
        <w:spacing w:after="120" w:line="360"/>
        <w:jc w:val="both"/>
      </w:pPr>
      <w:r>
        <w:rPr>
          <w:rFonts w:ascii="Times New Roman" w:cs="David" w:eastAsia="David" w:hAnsi="Times New Roman"/>
          <w:noProof/>
          <w:sz w:val="24"/>
          <w:szCs w:val="24"/>
          <w:rtl/>
          <w:lang w:val="en-US" w:eastAsia="en-US" w:bidi="he-I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אך לא נמצא מחקר שבדק את שלושתן יחד בקרב תלמידים עם לקויות למידה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גילוי נאות</w:t>
      </w:r>
    </w:p>
    <w:p>
      <w:pPr>
        <w:bidi/>
        <w:spacing w:after="120" w:line="360"/>
        <w:jc w:val="both"/>
      </w:pPr>
      <w:r>
        <w:rPr>
          <w:rFonts w:ascii="Times New Roman" w:cs="David" w:eastAsia="David" w:hAnsi="Times New Roman"/>
          <w:noProof/>
          <w:sz w:val="24"/>
          <w:szCs w:val="24"/>
          <w:rtl/>
          <w:lang w:val="en-US" w:eastAsia="en-US" w:bidi="he-I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ביבליוגרפיה</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אבגר, ע' (2018). </w:t>
      </w:r>
      <w:r>
        <w:rPr>
          <w:rFonts w:ascii="Times New Roman" w:cs="David" w:eastAsia="David" w:hAnsi="Times New Roman"/>
          <w:b/>
          <w:bCs/>
          <w:noProof/>
          <w:sz w:val="24"/>
          <w:szCs w:val="24"/>
          <w:rtl/>
          <w:lang w:val="en-US" w:eastAsia="en-US" w:bidi="he-IL"/>
        </w:rPr>
        <w:t xml:space="preserve">לקויות למידה במערכת החינוך בישראל</w:t>
      </w:r>
      <w:r>
        <w:rPr>
          <w:rFonts w:ascii="Times New Roman" w:cs="David" w:eastAsia="David" w:hAnsi="Times New Roman"/>
          <w:noProof/>
          <w:sz w:val="24"/>
          <w:szCs w:val="24"/>
          <w:rtl/>
          <w:lang w:val="en-US" w:eastAsia="en-US" w:bidi="he-IL"/>
        </w:rPr>
        <w:t xml:space="preserve">.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איגוד האינטרנט הישראלי. (2022). </w:t>
      </w:r>
      <w:r>
        <w:rPr>
          <w:rFonts w:ascii="Times New Roman" w:cs="David" w:eastAsia="David" w:hAnsi="Times New Roman"/>
          <w:b/>
          <w:bCs/>
          <w:noProof/>
          <w:sz w:val="24"/>
          <w:szCs w:val="24"/>
          <w:rtl/>
          <w:lang w:val="en-US" w:eastAsia="en-US" w:bidi="he-IL"/>
        </w:rPr>
        <w:t xml:space="preserve">בני נוער, הורים ומסכים בישראל: סקר שימושים ופערים (קיץ 2022)</w:t>
      </w:r>
      <w:r>
        <w:rPr>
          <w:rFonts w:ascii="Times New Roman" w:cs="David" w:eastAsia="David" w:hAnsi="Times New Roman"/>
          <w:noProof/>
          <w:sz w:val="24"/>
          <w:szCs w:val="24"/>
          <w:rtl/>
          <w:lang w:val="en-US" w:eastAsia="en-US" w:bidi="he-IL"/>
        </w:rPr>
        <w:t xml:space="preserve">. https://www.isoc.org.il/sts-data/screentime_2022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ארן-ארנרייך, י' (2013, 7 בנובמבר). </w:t>
      </w:r>
      <w:r>
        <w:rPr>
          <w:rFonts w:ascii="Times New Roman" w:cs="David" w:eastAsia="David" w:hAnsi="Times New Roman"/>
          <w:b/>
          <w:bCs/>
          <w:noProof/>
          <w:sz w:val="24"/>
          <w:szCs w:val="24"/>
          <w:rtl/>
          <w:lang w:val="en-US" w:eastAsia="en-US" w:bidi="he-IL"/>
        </w:rPr>
        <w:t xml:space="preserve">לקות למידה או הפרעת למידה? אבחון קשיי למידה על פי ה-DSM-5</w:t>
      </w:r>
      <w:r>
        <w:rPr>
          <w:rFonts w:ascii="Times New Roman" w:cs="David" w:eastAsia="David" w:hAnsi="Times New Roman"/>
          <w:noProof/>
          <w:sz w:val="24"/>
          <w:szCs w:val="24"/>
          <w:rtl/>
          <w:lang w:val="en-US" w:eastAsia="en-US" w:bidi="he-IL"/>
        </w:rPr>
        <w:t xml:space="preserve">. פסיכולוגיה עברית. https://www.hebpsy.net/articles.asp?id=3043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בן-אשר, ס' וברגר, ר' (2013). שיפור כישורי למידה של תלמידות עם ליקויי למידה באמצעות אימון בתנועה משולב בהתערבות קוגניטיבית-התנהגותית: מחקר גישוש. </w:t>
      </w:r>
      <w:r>
        <w:rPr>
          <w:rFonts w:ascii="Times New Roman" w:cs="David" w:eastAsia="David" w:hAnsi="Times New Roman"/>
          <w:b/>
          <w:bCs/>
          <w:noProof/>
          <w:sz w:val="24"/>
          <w:szCs w:val="24"/>
          <w:rtl/>
          <w:lang w:val="en-US" w:eastAsia="en-US" w:bidi="he-IL"/>
        </w:rPr>
        <w:t xml:space="preserve">בתנועה: כתב-עת למדעי החינוך הגופני והספורט, י</w:t>
      </w:r>
      <w:r>
        <w:rPr>
          <w:rFonts w:ascii="Times New Roman" w:cs="David" w:eastAsia="David" w:hAnsi="Times New Roman"/>
          <w:noProof/>
          <w:sz w:val="24"/>
          <w:szCs w:val="24"/>
          <w:rtl/>
          <w:lang w:val="en-US" w:eastAsia="en-US" w:bidi="he-IL"/>
        </w:rPr>
        <w:t xml:space="preserve">(3), 287-307.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w:t>
      </w:r>
      <w:r>
        <w:rPr>
          <w:rFonts w:ascii="Times New Roman" w:cs="David" w:eastAsia="David" w:hAnsi="Times New Roman"/>
          <w:b/>
          <w:bCs/>
          <w:noProof/>
          <w:sz w:val="24"/>
          <w:szCs w:val="24"/>
          <w:rtl/>
          <w:lang w:val="en-US" w:eastAsia="en-US" w:bidi="he-IL"/>
        </w:rPr>
        <w:t xml:space="preserve">בתנועה: כתב-עת למדעי החינוך הגופני והספורט, יא</w:t>
      </w:r>
      <w:r>
        <w:rPr>
          <w:rFonts w:ascii="Times New Roman" w:cs="David" w:eastAsia="David" w:hAnsi="Times New Roman"/>
          <w:noProof/>
          <w:sz w:val="24"/>
          <w:szCs w:val="24"/>
          <w:rtl/>
          <w:lang w:val="en-US" w:eastAsia="en-US" w:bidi="he-IL"/>
        </w:rPr>
        <w:t xml:space="preserve">(4), 510-533.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בשארה, ס' ווייס, י' (2025). קשר בין תפקודים ניהוליים וידע עולם להבנת הנקרא בקרב תלמידים עם לקויות למידה ותלמידים בלי לקויות למידה. </w:t>
      </w:r>
      <w:r>
        <w:rPr>
          <w:rFonts w:ascii="Times New Roman" w:cs="David" w:eastAsia="David" w:hAnsi="Times New Roman"/>
          <w:b/>
          <w:bCs/>
          <w:noProof/>
          <w:sz w:val="24"/>
          <w:szCs w:val="24"/>
          <w:rtl/>
          <w:lang w:val="en-US" w:eastAsia="en-US" w:bidi="he-IL"/>
        </w:rPr>
        <w:t xml:space="preserve">הייעוץ החינוכי</w:t>
      </w:r>
      <w:r>
        <w:rPr>
          <w:rFonts w:ascii="Times New Roman" w:cs="David" w:eastAsia="David" w:hAnsi="Times New Roman"/>
          <w:noProof/>
          <w:sz w:val="24"/>
          <w:szCs w:val="24"/>
          <w:rtl/>
          <w:lang w:val="en-US" w:eastAsia="en-US" w:bidi="he-IL"/>
        </w:rPr>
        <w:t xml:space="preserve">. https://www.shaanan.ac.il/wp-content/uploads/2025/02/Bishara-Weiss.pdf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גלסר, מ', גרין, ג', ברק, ש', יוסף, ג', רגב, ע', זיגדון, א', עופרי, ל' וטסלר, ר' (2022). תוכנית התערבות מקוונת חברו"ת (חוסן, בריאות ותקווה) לעידוד הרגלי פעילות גופנית ושיפור מדדים רגשיים וחברתיים בקרב בני נוער בסיכון במהלך משבר מגפת הקורונה 2020. </w:t>
      </w:r>
      <w:r>
        <w:rPr>
          <w:rFonts w:ascii="Times New Roman" w:cs="David" w:eastAsia="David" w:hAnsi="Times New Roman"/>
          <w:b/>
          <w:bCs/>
          <w:noProof/>
          <w:sz w:val="24"/>
          <w:szCs w:val="24"/>
          <w:rtl/>
          <w:lang w:val="en-US" w:eastAsia="en-US" w:bidi="he-IL"/>
        </w:rPr>
        <w:t xml:space="preserve">בתנועה: כתב-עת למדעי החינוך הגופני והספורט, יג</w:t>
      </w:r>
      <w:r>
        <w:rPr>
          <w:rFonts w:ascii="Times New Roman" w:cs="David" w:eastAsia="David" w:hAnsi="Times New Roman"/>
          <w:noProof/>
          <w:sz w:val="24"/>
          <w:szCs w:val="24"/>
          <w:rtl/>
          <w:lang w:val="en-US" w:eastAsia="en-US" w:bidi="he-IL"/>
        </w:rPr>
        <w:t xml:space="preserve">(4), 401-421.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גספר, ל"ס, סנטוס, ב', בארוס-ויאגס, א"ת, קרדוזו, ז', אמרל, ס"ו, קרוואליאש-אלמיידה, ק', סנטוס-קרוואליו, א', קבדאש, ק' ואלוורו, א"ר (2020). כוחות-העל של השינה שלנו. </w:t>
      </w:r>
      <w:r>
        <w:rPr>
          <w:rFonts w:ascii="Times New Roman" w:cs="David" w:eastAsia="David" w:hAnsi="Times New Roman"/>
          <w:b/>
          <w:bCs/>
          <w:noProof/>
          <w:sz w:val="24"/>
          <w:szCs w:val="24"/>
          <w:rtl/>
          <w:lang w:val="en-US" w:eastAsia="en-US" w:bidi="he-IL"/>
        </w:rPr>
        <w:t xml:space="preserve">Frontiers for Young Minds, 8</w:t>
      </w:r>
      <w:r>
        <w:rPr>
          <w:rFonts w:ascii="Times New Roman" w:cs="David" w:eastAsia="David" w:hAnsi="Times New Roman"/>
          <w:noProof/>
          <w:sz w:val="24"/>
          <w:szCs w:val="24"/>
          <w:rtl/>
          <w:lang w:val="en-US" w:eastAsia="en-US" w:bidi="he-IL"/>
        </w:rPr>
        <w:t xml:space="preserve">. https://kids.frontiersin.org/he/articles/10.3389/frym.2020.540052-he</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דובנוב-רז, ג', בר-יוסף, ר', גולן, ר', נבות-מינצר, ד', נמט, ד', צוקר-טולדנו, מ', קונסטנטיני, נ', אריאלי, ר', דותן, ר' ופלק, ב' (2019). </w:t>
      </w:r>
      <w:r>
        <w:rPr>
          <w:rFonts w:ascii="Times New Roman" w:cs="David" w:eastAsia="David" w:hAnsi="Times New Roman"/>
          <w:b/>
          <w:bCs/>
          <w:noProof/>
          <w:sz w:val="24"/>
          <w:szCs w:val="24"/>
          <w:rtl/>
          <w:lang w:val="en-US" w:eastAsia="en-US" w:bidi="he-IL"/>
        </w:rPr>
        <w:t xml:space="preserve">פעילות גופנית וספורט בילדים ובבני נוער: נייר עמדה</w:t>
      </w:r>
      <w:r>
        <w:rPr>
          <w:rFonts w:ascii="Times New Roman" w:cs="David" w:eastAsia="David" w:hAnsi="Times New Roman"/>
          <w:noProof/>
          <w:sz w:val="24"/>
          <w:szCs w:val="24"/>
          <w:rtl/>
          <w:lang w:val="en-US" w:eastAsia="en-US" w:bidi="he-IL"/>
        </w:rPr>
        <w:t xml:space="preserve">.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העמותה הישראלית לריפוי בעיסוק. (2017). נייר עמדה: התערבות בריפוי בעיסוק לקידום השתתפות ואיכות החיים של ילדים, מתבגרים ומבוגרים עם הפרעת קשב. </w:t>
      </w:r>
      <w:r>
        <w:rPr>
          <w:rFonts w:ascii="Times New Roman" w:cs="David" w:eastAsia="David" w:hAnsi="Times New Roman"/>
          <w:b/>
          <w:bCs/>
          <w:noProof/>
          <w:sz w:val="24"/>
          <w:szCs w:val="24"/>
          <w:rtl/>
          <w:lang w:val="en-US" w:eastAsia="en-US" w:bidi="he-IL"/>
        </w:rPr>
        <w:t xml:space="preserve">כתב עת ישראלי לריפוי בעיסוק, 26</w:t>
      </w:r>
      <w:r>
        <w:rPr>
          <w:rFonts w:ascii="Times New Roman" w:cs="David" w:eastAsia="David" w:hAnsi="Times New Roman"/>
          <w:noProof/>
          <w:sz w:val="24"/>
          <w:szCs w:val="24"/>
          <w:rtl/>
          <w:lang w:val="en-US" w:eastAsia="en-US" w:bidi="he-IL"/>
        </w:rPr>
        <w:t xml:space="preserve">(3), 184-194.</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w:t>
      </w:r>
      <w:r>
        <w:rPr>
          <w:rFonts w:ascii="Times New Roman" w:cs="David" w:eastAsia="David" w:hAnsi="Times New Roman"/>
          <w:b/>
          <w:bCs/>
          <w:noProof/>
          <w:sz w:val="24"/>
          <w:szCs w:val="24"/>
          <w:rtl/>
          <w:lang w:val="en-US" w:eastAsia="en-US" w:bidi="he-IL"/>
        </w:rPr>
        <w:t xml:space="preserve">בתנועה: כתב-עת למדעי החינוך הגופני והספורט, יד</w:t>
      </w:r>
      <w:r>
        <w:rPr>
          <w:rFonts w:ascii="Times New Roman" w:cs="David" w:eastAsia="David" w:hAnsi="Times New Roman"/>
          <w:noProof/>
          <w:sz w:val="24"/>
          <w:szCs w:val="24"/>
          <w:rtl/>
          <w:lang w:val="en-US" w:eastAsia="en-US" w:bidi="he-IL"/>
        </w:rPr>
        <w:t xml:space="preserve">(2), 241-280.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הבריאות. (2026, 3 בספטמבר). </w:t>
      </w:r>
      <w:r>
        <w:rPr>
          <w:rFonts w:ascii="Times New Roman" w:cs="David" w:eastAsia="David" w:hAnsi="Times New Roman"/>
          <w:b/>
          <w:bCs/>
          <w:noProof/>
          <w:sz w:val="24"/>
          <w:szCs w:val="24"/>
          <w:rtl/>
          <w:lang w:val="en-US" w:eastAsia="en-US" w:bidi="he-IL"/>
        </w:rPr>
        <w:t xml:space="preserve">על ילדים ובני נוער ומסכים: המלצות להורים</w:t>
      </w:r>
      <w:r>
        <w:rPr>
          <w:rFonts w:ascii="Times New Roman" w:cs="David" w:eastAsia="David" w:hAnsi="Times New Roman"/>
          <w:noProof/>
          <w:sz w:val="24"/>
          <w:szCs w:val="24"/>
          <w:rtl/>
          <w:lang w:val="en-US" w:eastAsia="en-US" w:bidi="he-IL"/>
        </w:rPr>
        <w:t xml:space="preserve">. אפשריבריא. https://efsharibari.health.gov.il/well-being/rational-use-of-screens/children-and-screens/</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החינוך, השירות הפסיכולוגי-ייעוצי. (ח"ת). </w:t>
      </w:r>
      <w:r>
        <w:rPr>
          <w:rFonts w:ascii="Times New Roman" w:cs="David" w:eastAsia="David" w:hAnsi="Times New Roman"/>
          <w:b/>
          <w:bCs/>
          <w:noProof/>
          <w:sz w:val="24"/>
          <w:szCs w:val="24"/>
          <w:rtl/>
          <w:lang w:val="en-US" w:eastAsia="en-US" w:bidi="he-IL"/>
        </w:rPr>
        <w:t xml:space="preserve">לקויות למידה: הגדרות ותיאוריה</w:t>
      </w:r>
      <w:r>
        <w:rPr>
          <w:rFonts w:ascii="Times New Roman" w:cs="David" w:eastAsia="David" w:hAnsi="Times New Roman"/>
          <w:noProof/>
          <w:sz w:val="24"/>
          <w:szCs w:val="24"/>
          <w:rtl/>
          <w:lang w:val="en-US" w:eastAsia="en-US" w:bidi="he-IL"/>
        </w:rPr>
        <w:t xml:space="preserve">. שפ"ינט. https://shefi.education.gov.il/learning-disabilities/definitions-and-theory/</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w:t>
      </w:r>
      <w:r>
        <w:rPr>
          <w:rFonts w:ascii="Times New Roman" w:cs="David" w:eastAsia="David" w:hAnsi="Times New Roman"/>
          <w:b/>
          <w:bCs/>
          <w:noProof/>
          <w:sz w:val="24"/>
          <w:szCs w:val="24"/>
          <w:rtl/>
          <w:lang w:val="en-US" w:eastAsia="en-US" w:bidi="he-IL"/>
        </w:rPr>
        <w:t xml:space="preserve">בתנועה: כתב-עת למדעי החינוך הגופני והספורט, יג</w:t>
      </w:r>
      <w:r>
        <w:rPr>
          <w:rFonts w:ascii="Times New Roman" w:cs="David" w:eastAsia="David" w:hAnsi="Times New Roman"/>
          <w:noProof/>
          <w:sz w:val="24"/>
          <w:szCs w:val="24"/>
          <w:rtl/>
          <w:lang w:val="en-US" w:eastAsia="en-US" w:bidi="he-IL"/>
        </w:rPr>
        <w:t xml:space="preserve">(1), 57-70.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סלפטי, י', זמיר, י' ושרף-בוסל, ד' (2019). למידה מבוססת תנועה. </w:t>
      </w:r>
      <w:r>
        <w:rPr>
          <w:rFonts w:ascii="Times New Roman" w:cs="David" w:eastAsia="David" w:hAnsi="Times New Roman"/>
          <w:b/>
          <w:bCs/>
          <w:noProof/>
          <w:sz w:val="24"/>
          <w:szCs w:val="24"/>
          <w:rtl/>
          <w:lang w:val="en-US" w:eastAsia="en-US" w:bidi="he-IL"/>
        </w:rPr>
        <w:t xml:space="preserve">לקסי-קיי, 12</w:t>
      </w:r>
      <w:r>
        <w:rPr>
          <w:rFonts w:ascii="Times New Roman" w:cs="David" w:eastAsia="David" w:hAnsi="Times New Roman"/>
          <w:noProof/>
          <w:sz w:val="24"/>
          <w:szCs w:val="24"/>
          <w:rtl/>
          <w:lang w:val="en-US" w:eastAsia="en-US" w:bidi="he-IL"/>
        </w:rPr>
        <w:t xml:space="preserve">, 19-21.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w:t>
      </w:r>
      <w:r>
        <w:rPr>
          <w:rFonts w:ascii="Times New Roman" w:cs="David" w:eastAsia="David" w:hAnsi="Times New Roman"/>
          <w:b/>
          <w:bCs/>
          <w:noProof/>
          <w:sz w:val="24"/>
          <w:szCs w:val="24"/>
          <w:rtl/>
          <w:lang w:val="en-US" w:eastAsia="en-US" w:bidi="he-IL"/>
        </w:rPr>
        <w:t xml:space="preserve">בתנועה: כתב-עת למדעי החינוך הגופני והספורט, יד</w:t>
      </w:r>
      <w:r>
        <w:rPr>
          <w:rFonts w:ascii="Times New Roman" w:cs="David" w:eastAsia="David" w:hAnsi="Times New Roman"/>
          <w:noProof/>
          <w:sz w:val="24"/>
          <w:szCs w:val="24"/>
          <w:rtl/>
          <w:lang w:val="en-US" w:eastAsia="en-US" w:bidi="he-IL"/>
        </w:rPr>
        <w:t xml:space="preserve">(2).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w:t>
      </w:r>
      <w:r>
        <w:rPr>
          <w:rFonts w:ascii="Times New Roman" w:cs="David" w:eastAsia="David" w:hAnsi="Times New Roman"/>
          <w:b/>
          <w:bCs/>
          <w:noProof/>
          <w:sz w:val="24"/>
          <w:szCs w:val="24"/>
          <w:rtl/>
          <w:lang w:val="en-US" w:eastAsia="en-US" w:bidi="he-IL"/>
        </w:rPr>
        <w:t xml:space="preserve">רוח הספורט, 10</w:t>
      </w:r>
      <w:r>
        <w:rPr>
          <w:rFonts w:ascii="Times New Roman" w:cs="David" w:eastAsia="David" w:hAnsi="Times New Roman"/>
          <w:noProof/>
          <w:sz w:val="24"/>
          <w:szCs w:val="24"/>
          <w:rtl/>
          <w:lang w:val="en-US" w:eastAsia="en-US" w:bidi="he-IL"/>
        </w:rPr>
        <w:t xml:space="preserve">, 55-70. https://www.telhai.ac.il/sites/default/files/2024-01/4.pdf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כץ, י' ושובל, א' (2014). ספורט, הישגים לימודיים ומגדר: האומנם שילוש מנצח? </w:t>
      </w:r>
      <w:r>
        <w:rPr>
          <w:rFonts w:ascii="Times New Roman" w:cs="David" w:eastAsia="David" w:hAnsi="Times New Roman"/>
          <w:b/>
          <w:bCs/>
          <w:noProof/>
          <w:sz w:val="24"/>
          <w:szCs w:val="24"/>
          <w:rtl/>
          <w:lang w:val="en-US" w:eastAsia="en-US" w:bidi="he-IL"/>
        </w:rPr>
        <w:t xml:space="preserve">רוח הספורט, 1</w:t>
      </w:r>
      <w:r>
        <w:rPr>
          <w:rFonts w:ascii="Times New Roman" w:cs="David" w:eastAsia="David" w:hAnsi="Times New Roman"/>
          <w:noProof/>
          <w:sz w:val="24"/>
          <w:szCs w:val="24"/>
          <w:rtl/>
          <w:lang w:val="en-US" w:eastAsia="en-US" w:bidi="he-IL"/>
        </w:rPr>
        <w:t xml:space="preserve">, 89-98.</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ושלג, מ' (2020). פעילות גופנית בשעות הפנאי וחרדה מצבית בקרב ילדים המתגוררים ביישובי קו העימות בישראל לעומת ילדים המתגוררים במרכז הארץ. </w:t>
      </w:r>
      <w:r>
        <w:rPr>
          <w:rFonts w:ascii="Times New Roman" w:cs="David" w:eastAsia="David" w:hAnsi="Times New Roman"/>
          <w:b/>
          <w:bCs/>
          <w:noProof/>
          <w:sz w:val="24"/>
          <w:szCs w:val="24"/>
          <w:rtl/>
          <w:lang w:val="en-US" w:eastAsia="en-US" w:bidi="he-IL"/>
        </w:rPr>
        <w:t xml:space="preserve">בתנועה: כתב-עת למדעי החינוך הגופני והספורט, יב</w:t>
      </w:r>
      <w:r>
        <w:rPr>
          <w:rFonts w:ascii="Times New Roman" w:cs="David" w:eastAsia="David" w:hAnsi="Times New Roman"/>
          <w:noProof/>
          <w:sz w:val="24"/>
          <w:szCs w:val="24"/>
          <w:rtl/>
          <w:lang w:val="en-US" w:eastAsia="en-US" w:bidi="he-IL"/>
        </w:rPr>
        <w:t xml:space="preserve">(3), 342-364.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Blanchet, M., &amp; Assaiante, C. (2022). Specific learning disorder in children and adolescents, a scoping review on motor impairments and their potential impacts. </w:t>
      </w:r>
      <w:r>
        <w:rPr>
          <w:rFonts w:ascii="Times New Roman" w:cs="Times New Roman" w:hAnsi="Times New Roman"/>
          <w:i/>
          <w:iCs/>
          <w:noProof/>
          <w:sz w:val="24"/>
          <w:szCs w:val="24"/>
          <w:lang w:val="en-US" w:eastAsia="en-US" w:bidi="he-IL"/>
        </w:rPr>
        <w:t xml:space="preserve">Children, 9</w:t>
      </w:r>
      <w:r>
        <w:rPr>
          <w:rFonts w:ascii="Times New Roman" w:cs="Times New Roman" w:hAnsi="Times New Roman"/>
          <w:i w:val="false"/>
          <w:iCs w:val="false"/>
          <w:noProof/>
          <w:sz w:val="24"/>
          <w:szCs w:val="24"/>
          <w:lang w:val="en-US" w:eastAsia="en-US" w:bidi="he-IL"/>
        </w:rPr>
        <w:t xml:space="preserve">(6), 892. https://doi.org/10.3390/children9060892</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noProof/>
          <w:sz w:val="24"/>
          <w:szCs w:val="24"/>
          <w:lang w:val="en-US" w:eastAsia="en-US" w:bidi="he-IL"/>
        </w:rPr>
        <w:t xml:space="preserve">European Journal of Sport Science, 24</w:t>
      </w:r>
      <w:r>
        <w:rPr>
          <w:rFonts w:ascii="Times New Roman" w:cs="Times New Roman" w:hAnsi="Times New Roman"/>
          <w:i w:val="false"/>
          <w:iCs w:val="false"/>
          <w:noProof/>
          <w:sz w:val="24"/>
          <w:szCs w:val="24"/>
          <w:lang w:val="en-US" w:eastAsia="en-US" w:bidi="he-IL"/>
        </w:rPr>
        <w:t xml:space="preserve">(4), 487-498. https://doi.org/10.1002/ejsc.12034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noProof/>
          <w:sz w:val="24"/>
          <w:szCs w:val="24"/>
          <w:lang w:val="en-US" w:eastAsia="en-US" w:bidi="he-IL"/>
        </w:rPr>
        <w:t xml:space="preserve">BMC Public Health, 20</w:t>
      </w:r>
      <w:r>
        <w:rPr>
          <w:rFonts w:ascii="Times New Roman" w:cs="Times New Roman" w:hAnsi="Times New Roman"/>
          <w:i w:val="false"/>
          <w:iCs w:val="false"/>
          <w:noProof/>
          <w:sz w:val="24"/>
          <w:szCs w:val="24"/>
          <w:lang w:val="en-US" w:eastAsia="en-US" w:bidi="he-IL"/>
        </w:rPr>
        <w:t xml:space="preserve">, 520. https://doi.org/10.1186/s12889-020-08620-w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Jeffcock, K., &amp; Dimitriou, D. (2025). A community study on sleep characteristics and anxiety symptoms in children with dyslexia. </w:t>
      </w:r>
      <w:r>
        <w:rPr>
          <w:rFonts w:ascii="Times New Roman" w:cs="Times New Roman" w:hAnsi="Times New Roman"/>
          <w:i/>
          <w:iCs/>
          <w:noProof/>
          <w:sz w:val="24"/>
          <w:szCs w:val="24"/>
          <w:lang w:val="en-US" w:eastAsia="en-US" w:bidi="he-IL"/>
        </w:rPr>
        <w:t xml:space="preserve">Brain Sciences, 15</w:t>
      </w:r>
      <w:r>
        <w:rPr>
          <w:rFonts w:ascii="Times New Roman" w:cs="Times New Roman" w:hAnsi="Times New Roman"/>
          <w:i w:val="false"/>
          <w:iCs w:val="false"/>
          <w:noProof/>
          <w:sz w:val="24"/>
          <w:szCs w:val="24"/>
          <w:lang w:val="en-US" w:eastAsia="en-US" w:bidi="he-IL"/>
        </w:rPr>
        <w:t xml:space="preserve">(7), 711. https://doi.org/10.3390/brainsci15070711</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Kocabas, S., Adak, I., Karakus, O. B., &amp; Toksoy, Z. E. (2025). Learning disability as a determinant of digital behavior in adolescents with ADHD: A cross-sectional study. </w:t>
      </w:r>
      <w:r>
        <w:rPr>
          <w:rFonts w:ascii="Times New Roman" w:cs="Times New Roman" w:hAnsi="Times New Roman"/>
          <w:i/>
          <w:iCs/>
          <w:noProof/>
          <w:sz w:val="24"/>
          <w:szCs w:val="24"/>
          <w:lang w:val="en-US" w:eastAsia="en-US" w:bidi="he-IL"/>
        </w:rPr>
        <w:t xml:space="preserve">European Child &amp; Adolescent Psychiatry, 34</w:t>
      </w:r>
      <w:r>
        <w:rPr>
          <w:rFonts w:ascii="Times New Roman" w:cs="Times New Roman" w:hAnsi="Times New Roman"/>
          <w:i w:val="false"/>
          <w:iCs w:val="false"/>
          <w:noProof/>
          <w:sz w:val="24"/>
          <w:szCs w:val="24"/>
          <w:lang w:val="en-US" w:eastAsia="en-US" w:bidi="he-IL"/>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Lund, L., Sølvhøj, I. N., Danielsen, D., &amp; Andersen, S. (2021). Electronic media use and sleep in children and adolescents in western countries: A systematic review. </w:t>
      </w:r>
      <w:r>
        <w:rPr>
          <w:rFonts w:ascii="Times New Roman" w:cs="Times New Roman" w:hAnsi="Times New Roman"/>
          <w:i/>
          <w:iCs/>
          <w:noProof/>
          <w:sz w:val="24"/>
          <w:szCs w:val="24"/>
          <w:lang w:val="en-US" w:eastAsia="en-US" w:bidi="he-IL"/>
        </w:rPr>
        <w:t xml:space="preserve">BMC Public Health, 21</w:t>
      </w:r>
      <w:r>
        <w:rPr>
          <w:rFonts w:ascii="Times New Roman" w:cs="Times New Roman" w:hAnsi="Times New Roman"/>
          <w:i w:val="false"/>
          <w:iCs w:val="false"/>
          <w:noProof/>
          <w:sz w:val="24"/>
          <w:szCs w:val="24"/>
          <w:lang w:val="en-US" w:eastAsia="en-US" w:bidi="he-IL"/>
        </w:rPr>
        <w:t xml:space="preserve">, 1598. https://doi.org/10.1186/s12889-021-11640-9</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noProof/>
          <w:sz w:val="24"/>
          <w:szCs w:val="24"/>
          <w:lang w:val="en-US" w:eastAsia="en-US" w:bidi="he-IL"/>
        </w:rPr>
        <w:t xml:space="preserve">International Journal of Environmental Research and Public Health, 19</w:t>
      </w:r>
      <w:r>
        <w:rPr>
          <w:rFonts w:ascii="Times New Roman" w:cs="Times New Roman" w:hAnsi="Times New Roman"/>
          <w:i w:val="false"/>
          <w:iCs w:val="false"/>
          <w:noProof/>
          <w:sz w:val="24"/>
          <w:szCs w:val="24"/>
          <w:lang w:val="en-US" w:eastAsia="en-US" w:bidi="he-IL"/>
        </w:rPr>
        <w:t xml:space="preserve">(11), 6411. https://doi.org/10.3390/ijerph19116411</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נספחים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א': שאלון המחקר</w:t>
      </w:r>
    </w:p>
    <w:p>
      <w:pPr>
        <w:bidi/>
        <w:spacing w:after="120" w:line="360"/>
        <w:jc w:val="both"/>
      </w:pPr>
      <w:r>
        <w:rPr>
          <w:rFonts w:ascii="Times New Roman" w:cs="David" w:eastAsia="David" w:hAnsi="Times New Roman"/>
          <w:noProof/>
          <w:sz w:val="24"/>
          <w:szCs w:val="24"/>
          <w:rtl/>
          <w:lang w:val="en-US" w:eastAsia="en-US" w:bidi="he-I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א: פרטים אישיים</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מין: בן / בת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גיל: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כיתה: ז' / ח' / ט' / י' / י"א / י"ב</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ב: שימוש במסכים</w:t>
      </w:r>
    </w:p>
    <w:p>
      <w:pPr>
        <w:bidi/>
        <w:spacing w:after="120" w:line="360"/>
        <w:jc w:val="both"/>
      </w:pPr>
      <w:r>
        <w:rPr>
          <w:rFonts w:ascii="Times New Roman" w:cs="David" w:eastAsia="David" w:hAnsi="Times New Roman"/>
          <w:noProof/>
          <w:sz w:val="24"/>
          <w:szCs w:val="24"/>
          <w:rtl/>
          <w:lang w:val="en-US" w:eastAsia="en-US" w:bidi="he-I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סוג הפעילות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יום חול (שעות)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סוף שבוע (שעות)</w:t>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bl>
    <w:p>
      <w:r>
        <w:rPr>
          <w:rFonts w:ascii="Times New Roman" w:cs="David" w:eastAsia="David" w:hAnsi="Times New Roman"/>
          <w:noProof/>
          <w:sz w:val="24"/>
          <w:szCs w:val="24"/>
          <w:rtl/>
          <w:lang w:val="en-US" w:eastAsia="en-US" w:bidi="he-IL"/>
        </w:rPr>
        <w:t xml:space="preserve"/>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ג: שינה</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noProof/>
          <w:sz w:val="24"/>
          <w:szCs w:val="24"/>
          <w:rtl/>
          <w:lang w:val="en-US" w:eastAsia="en-US" w:bidi="he-I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ד: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ה: תפקוד לימודי</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באנגלית? ____</w:t>
      </w:r>
    </w:p>
    <w:p>
      <w:pPr>
        <w:bidi/>
        <w:spacing w:after="120" w:line="360"/>
        <w:jc w:val="both"/>
      </w:pPr>
      <w:r>
        <w:rPr>
          <w:rFonts w:ascii="Times New Roman" w:cs="David" w:eastAsia="David" w:hAnsi="Times New Roman"/>
          <w:noProof/>
          <w:sz w:val="24"/>
          <w:szCs w:val="24"/>
          <w:rtl/>
          <w:lang w:val="en-US" w:eastAsia="en-US" w:bidi="he-I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מאמין/ה ביכולת שלי להצליח בלימודים.</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noProof/>
          <w:sz w:val="24"/>
          <w:szCs w:val="24"/>
          <w:rtl/>
          <w:lang w:val="en-US" w:eastAsia="en-US" w:bidi="he-IL"/>
        </w:rPr>
        <w:t xml:space="preserve">תודה רבה על מילוי השאלון.</w:t>
      </w:r>
    </w:p>
    <w:p>
      <w:pPr>
        <w:pStyle w:val="Heading2"/>
        <w:pageBreakBefore/>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ב': פלטי SPSS</w:t>
      </w:r>
    </w:p>
    <w:p>
      <w:pPr>
        <w:bidi/>
        <w:spacing w:after="120" w:line="360"/>
        <w:jc w:val="both"/>
      </w:pPr>
      <w:r>
        <w:rPr>
          <w:rFonts w:ascii="Times New Roman" w:cs="David" w:eastAsia="David" w:hAnsi="Times New Roman"/>
          <w:noProof/>
          <w:sz w:val="24"/>
          <w:szCs w:val="24"/>
          <w:rtl/>
          <w:lang w:val="en-US" w:eastAsia="en-US" w:bidi="he-I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רקע: תיאור המדגם ומהימנות הכלים</w:t>
      </w:r>
    </w:p>
    <w:p>
      <w:pPr>
        <w:bidi/>
        <w:spacing w:after="80" w:line="276"/>
        <w:jc w:val="right"/>
      </w:pPr>
      <w:r>
        <w:rPr>
          <w:rFonts w:ascii="Times New Roman" w:cs="David" w:eastAsia="David" w:hAnsi="Times New Roman"/>
          <w:i/>
          <w:iCs/>
          <w:noProof/>
          <w:sz w:val="20"/>
          <w:szCs w:val="20"/>
          <w:rtl/>
          <w:lang w:val="en-US" w:eastAsia="en-US" w:bidi="he-IL"/>
        </w:rPr>
        <w:t xml:space="preserve">Frequencies (Group_LD, Gender, Grade) ו-Reliability לשני הסולמות</w:t>
      </w:r>
    </w:p>
    <w:p>
      <w:pPr>
        <w:keepNext/>
        <w:bidi w:val="false"/>
        <w:spacing w:after="40" w:before="160"/>
        <w:jc w:val="left"/>
      </w:pPr>
      <w:r>
        <w:rPr>
          <w:rFonts w:ascii="Arial" w:cs="Arial" w:hAnsi="Arial"/>
          <w:b/>
          <w:bCs/>
          <w:noProof/>
          <w:sz w:val="20"/>
          <w:szCs w:val="20"/>
          <w:lang w:val="en-US" w:eastAsia="en-US" w:bidi="he-IL"/>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noProof/>
          <w:sz w:val="20"/>
          <w:szCs w:val="20"/>
          <w:rtl/>
          <w:lang w:val="en-US" w:eastAsia="en-US" w:bidi="he-I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noProof/>
          <w:sz w:val="20"/>
          <w:szCs w:val="20"/>
          <w:lang w:val="en-US" w:eastAsia="en-US" w:bidi="he-IL"/>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2 / השערה 1: חשיפה למסכים ושינה</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3 / השערה 2: חשיפה למסכים ופעילות גופנית</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val="false"/>
        <w:spacing w:after="40" w:before="160"/>
        <w:jc w:val="left"/>
      </w:pPr>
      <w:r>
        <w:rPr>
          <w:rFonts w:ascii="Arial" w:cs="Arial" w:hAnsi="Arial"/>
          <w:b/>
          <w:bCs/>
          <w:noProof/>
          <w:sz w:val="20"/>
          <w:szCs w:val="20"/>
          <w:lang w:val="en-US" w:eastAsia="en-US" w:bidi="he-IL"/>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6.0063</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noProof/>
          <w:sz w:val="20"/>
          <w:szCs w:val="20"/>
          <w:lang w:val="en-US" w:eastAsia="en-US" w:bidi="he-IL"/>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השערה 4: מספר ההמלצות שמתקיימות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noProof/>
          <w:sz w:val="20"/>
          <w:szCs w:val="20"/>
          <w:lang w:val="en-US" w:eastAsia="en-US" w:bidi="he-IL"/>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.074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noProof/>
          <w:sz w:val="20"/>
          <w:szCs w:val="20"/>
          <w:rtl/>
          <w:lang w:val="en-US" w:eastAsia="en-US" w:bidi="he-I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noProof/>
          <w:sz w:val="20"/>
          <w:szCs w:val="20"/>
          <w:lang w:val="en-US" w:eastAsia="en-US" w:bidi="he-IL"/>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bl>
    <w:p>
      <w:pPr>
        <w:spacing w:after="60"/>
      </w:pPr>
    </w:p>
    <w:p>
      <w:pPr>
        <w:bidi w:val="false"/>
        <w:spacing w:after="120"/>
        <w:jc w:val="left"/>
      </w:pPr>
      <w:r>
        <w:rPr>
          <w:rFonts w:ascii="Arial" w:cs="Arial" w:hAnsi="Arial"/>
          <w:noProof/>
          <w:sz w:val="16"/>
          <w:szCs w:val="16"/>
          <w:lang w:val="en-US" w:eastAsia="en-US" w:bidi="he-IL"/>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noProof/>
          <w:sz w:val="20"/>
          <w:szCs w:val="20"/>
          <w:lang w:val="en-US" w:eastAsia="en-US" w:bidi="he-IL"/>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הערה</w:t>
      </w:r>
    </w:p>
    <w:p>
      <w:pPr>
        <w:bidi/>
        <w:spacing w:after="80" w:line="276"/>
        <w:jc w:val="right"/>
      </w:pPr>
      <w:r>
        <w:rPr>
          <w:rFonts w:ascii="Times New Roman" w:cs="David" w:eastAsia="David" w:hAnsi="Times New Roman"/>
          <w:i/>
          <w:iCs/>
          <w:noProof/>
          <w:sz w:val="20"/>
          <w:szCs w:val="20"/>
          <w:rtl/>
          <w:lang w:val="en-US" w:eastAsia="en-US" w:bidi="he-I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noProof/>
          <w:lang w:val="en-US" w:eastAsia="en-US" w:bidi="he-IL"/>
        </w:rPr>
        <w:endnoteRef/>
      </w:r>
      <w:r>
        <w:rPr>
          <w:noProof/>
          <w:lang w:val="en-US" w:eastAsia="en-US" w:bidi="he-IL"/>
        </w:rPr>
        <w:separator/>
      </w:r>
    </w:p>
  </w:endnote>
  <w:endnote w:type="continuationSeparator" w:id="0">
    <w:p>
      <w:pPr>
        <w:spacing w:after="0" w:line="240" w:lineRule="auto"/>
      </w:pPr>
      <w:r>
        <w:rPr>
          <w:rStyle w:val="EndnoteReference"/>
          <w:noProof/>
          <w:lang w:val="en-US" w:eastAsia="en-US" w:bidi="he-IL"/>
        </w:rPr>
        <w:endnoteRef/>
      </w:r>
      <w:r>
        <w:rPr>
          <w:noProof/>
          <w:lang w:val="en-US" w:eastAsia="en-US" w:bidi="he-IL"/>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0"/>
        <w:szCs w:val="20"/>
        <w:lang w:val="en-US" w:eastAsia="en-US" w:bidi="he-I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noProof/>
          <w:lang w:val="en-US" w:eastAsia="en-US" w:bidi="he-IL"/>
        </w:rPr>
        <w:footnoteRef/>
      </w:r>
      <w:r>
        <w:rPr>
          <w:noProof/>
          <w:lang w:val="en-US" w:eastAsia="en-US" w:bidi="he-IL"/>
        </w:rPr>
        <w:separator/>
      </w:r>
    </w:p>
  </w:footnote>
  <w:footnote w:type="continuationSeparator" w:id="0">
    <w:p>
      <w:pPr>
        <w:spacing w:after="0" w:line="240" w:lineRule="auto"/>
      </w:pPr>
      <w:r>
        <w:rPr>
          <w:rStyle w:val="FootnoteReference"/>
          <w:noProof/>
          <w:lang w:val="en-US" w:eastAsia="en-US" w:bidi="he-IL"/>
        </w:rPr>
        <w:footnoteRef/>
      </w:r>
      <w:r>
        <w:rPr>
          <w:noProof/>
          <w:lang w:val="en-US" w:eastAsia="en-US" w:bidi="he-IL"/>
        </w:rP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noProof/>
        <w:sz w:val="24"/>
        <w:szCs w:val="24"/>
        <w:lang w:val="en-US" w:eastAsia="en-US" w:bidi="he-IL"/>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eastAsia="en-US" w:bidi="he-IL"/>
      </w:rPr>
    </w:rPrDefault>
    <w:pPrDefault/>
  </w:docDefaults>
  <w:style w:type="paragraph" w:styleId="Title">
    <w:name w:val="Title"/>
    <w:basedOn w:val="Normal"/>
    <w:next w:val="Normal"/>
    <w:qFormat/>
    <w:rPr>
      <w:noProof/>
      <w:sz w:val="56"/>
      <w:szCs w:val="56"/>
      <w:lang w:val="en-US" w:eastAsia="en-US" w:bidi="he-IL"/>
    </w:rPr>
  </w:style>
  <w:style w:type="paragraph" w:styleId="Heading1">
    <w:name w:val="Heading 1"/>
    <w:basedOn w:val="Normal"/>
    <w:next w:val="Normal"/>
    <w:qFormat/>
    <w:rPr>
      <w:noProof/>
      <w:color w:val="2E74B5"/>
      <w:sz w:val="32"/>
      <w:szCs w:val="32"/>
      <w:lang w:val="en-US" w:eastAsia="en-US" w:bidi="he-IL"/>
    </w:rPr>
  </w:style>
  <w:style w:type="paragraph" w:styleId="Heading2">
    <w:name w:val="Heading 2"/>
    <w:basedOn w:val="Normal"/>
    <w:next w:val="Normal"/>
    <w:qFormat/>
    <w:rPr>
      <w:noProof/>
      <w:color w:val="2E74B5"/>
      <w:sz w:val="26"/>
      <w:szCs w:val="26"/>
      <w:lang w:val="en-US" w:eastAsia="en-US" w:bidi="he-IL"/>
    </w:rPr>
  </w:style>
  <w:style w:type="paragraph" w:styleId="Heading3">
    <w:name w:val="Heading 3"/>
    <w:basedOn w:val="Normal"/>
    <w:next w:val="Normal"/>
    <w:qFormat/>
    <w:rPr>
      <w:noProof/>
      <w:color w:val="1F4D78"/>
      <w:sz w:val="24"/>
      <w:szCs w:val="24"/>
      <w:lang w:val="en-US" w:eastAsia="en-US" w:bidi="he-IL"/>
    </w:rPr>
  </w:style>
  <w:style w:type="paragraph" w:styleId="Heading4">
    <w:name w:val="Heading 4"/>
    <w:basedOn w:val="Normal"/>
    <w:next w:val="Normal"/>
    <w:qFormat/>
    <w:rPr>
      <w:i/>
      <w:iCs/>
      <w:noProof/>
      <w:color w:val="2E74B5"/>
      <w:lang w:val="en-US" w:eastAsia="en-US" w:bidi="he-IL"/>
    </w:rPr>
  </w:style>
  <w:style w:type="paragraph" w:styleId="Heading5">
    <w:name w:val="Heading 5"/>
    <w:basedOn w:val="Normal"/>
    <w:next w:val="Normal"/>
    <w:qFormat/>
    <w:rPr>
      <w:noProof/>
      <w:color w:val="2E74B5"/>
      <w:lang w:val="en-US" w:eastAsia="en-US" w:bidi="he-IL"/>
    </w:rPr>
  </w:style>
  <w:style w:type="paragraph" w:styleId="Heading6">
    <w:name w:val="Heading 6"/>
    <w:basedOn w:val="Normal"/>
    <w:next w:val="Normal"/>
    <w:qFormat/>
    <w:rPr>
      <w:noProof/>
      <w:color w:val="1F4D78"/>
      <w:lang w:val="en-US" w:eastAsia="en-US" w:bidi="he-IL"/>
    </w:rPr>
  </w:style>
  <w:style w:type="paragraph" w:styleId="Strong">
    <w:name w:val="Strong"/>
    <w:basedOn w:val="Normal"/>
    <w:next w:val="Normal"/>
    <w:qFormat/>
    <w:rPr>
      <w:b/>
      <w:bCs/>
      <w:noProof/>
      <w:lang w:val="en-US" w:eastAsia="en-US" w:bidi="he-IL"/>
    </w:rPr>
  </w:style>
  <w:style w:type="paragraph" w:styleId="ListParagraph">
    <w:name w:val="List Paragraph"/>
    <w:basedOn w:val="Normal"/>
    <w:qFormat/>
  </w:style>
  <w:style w:type="character" w:styleId="Hyperlink">
    <w:name w:val="Hyperlink"/>
    <w:basedOn w:val="DefaultParagraphFont"/>
    <w:uiPriority w:val="99"/>
    <w:unhideWhenUsed/>
    <w:rPr>
      <w:noProof/>
      <w:color w:val="0563C1"/>
      <w:u w:val="single"/>
      <w:lang w:val="en-US" w:eastAsia="en-US" w:bidi="he-IL"/>
    </w:rPr>
  </w:style>
  <w:style w:type="character" w:styleId="FootnoteReference">
    <w:name w:val="footnote reference"/>
    <w:basedOn w:val="DefaultParagraphFont"/>
    <w:uiPriority w:val="99"/>
    <w:semiHidden/>
    <w:unhideWhenUsed/>
    <w:rPr>
      <w:noProof/>
      <w:vertAlign w:val="superscript"/>
      <w:lang w:val="en-US" w:eastAsia="en-US" w:bidi="he-IL"/>
    </w:rPr>
  </w:style>
  <w:style w:type="paragraph" w:styleId="FootnoteText">
    <w:name w:val="footnote text"/>
    <w:basedOn w:val="Normal"/>
    <w:link w:val="FootnoteTextChar"/>
    <w:uiPriority w:val="99"/>
    <w:semiHidden/>
    <w:unhideWhenUsed/>
    <w:pPr>
      <w:spacing w:after="0" w:line="240" w:lineRule="auto"/>
    </w:pPr>
    <w:rPr>
      <w:noProof/>
      <w:sz w:val="20"/>
      <w:szCs w:val="20"/>
      <w:lang w:val="en-US" w:eastAsia="en-US" w:bidi="he-IL"/>
    </w:rPr>
  </w:style>
  <w:style w:type="character" w:styleId="FootnoteTextChar">
    <w:name w:val="Footnote Text Char"/>
    <w:basedOn w:val="DefaultParagraphFont"/>
    <w:link w:val="FootnoteText"/>
    <w:uiPriority w:val="99"/>
    <w:semiHidden/>
    <w:unhideWhenUsed/>
    <w:rPr>
      <w:noProof/>
      <w:sz w:val="20"/>
      <w:szCs w:val="20"/>
      <w:lang w:val="en-US" w:eastAsia="en-US" w:bidi="he-IL"/>
    </w:rPr>
  </w:style>
  <w:style w:type="character" w:styleId="EndnoteReference">
    <w:name w:val="endnote reference"/>
    <w:basedOn w:val="DefaultParagraphFont"/>
    <w:uiPriority w:val="99"/>
    <w:semiHidden/>
    <w:unhideWhenUsed/>
    <w:rPr>
      <w:noProof/>
      <w:vertAlign w:val="superscript"/>
      <w:lang w:val="en-US" w:eastAsia="en-US" w:bidi="he-IL"/>
    </w:rPr>
  </w:style>
  <w:style w:type="paragraph" w:styleId="EndnoteText">
    <w:name w:val="endnote text"/>
    <w:basedOn w:val="Normal"/>
    <w:link w:val="EndnoteTextChar"/>
    <w:uiPriority w:val="99"/>
    <w:semiHidden/>
    <w:unhideWhenUsed/>
    <w:pPr>
      <w:spacing w:after="0" w:line="240" w:lineRule="auto"/>
    </w:pPr>
    <w:rPr>
      <w:noProof/>
      <w:sz w:val="20"/>
      <w:szCs w:val="20"/>
      <w:lang w:val="en-US" w:eastAsia="en-US" w:bidi="he-IL"/>
    </w:rPr>
  </w:style>
  <w:style w:type="character" w:styleId="EndnoteTextChar">
    <w:name w:val="Endnote Text Char"/>
    <w:basedOn w:val="DefaultParagraphFont"/>
    <w:link w:val="EndnoteText"/>
    <w:uiPriority w:val="99"/>
    <w:semiHidden/>
    <w:unhideWhenUsed/>
    <w:rPr>
      <w:noProof/>
      <w:sz w:val="20"/>
      <w:szCs w:val="20"/>
      <w:lang w:val="en-US" w:eastAsia="en-US" w:bidi="he-IL"/>
    </w:rPr>
  </w:style>
  <w:style w:type="paragraph" w:styleId="Heading1">
    <w:name w:val="Heading 1"/>
    <w:basedOn w:val="Normal"/>
    <w:next w:val="Normal"/>
    <w:qFormat/>
    <w:pPr>
      <w:spacing w:after="240" w:before="240"/>
      <w:outlineLvl w:val="0"/>
    </w:pPr>
    <w:rPr>
      <w:rFonts w:ascii="Times New Roman" w:cs="David" w:eastAsia="David" w:hAnsi="Times New Roman"/>
      <w:b/>
      <w:bCs/>
      <w:noProof/>
      <w:color w:val="000000"/>
      <w:sz w:val="32"/>
      <w:szCs w:val="32"/>
      <w:lang w:val="en-US" w:eastAsia="en-US" w:bidi="he-IL"/>
    </w:rPr>
  </w:style>
  <w:style w:type="paragraph" w:styleId="Heading2">
    <w:name w:val="Heading 2"/>
    <w:basedOn w:val="Normal"/>
    <w:next w:val="Normal"/>
    <w:qFormat/>
    <w:pPr>
      <w:spacing w:after="120" w:before="240"/>
      <w:outlineLvl w:val="1"/>
    </w:pPr>
    <w:rPr>
      <w:rFonts w:ascii="Times New Roman" w:cs="David" w:eastAsia="David" w:hAnsi="Times New Roman"/>
      <w:b/>
      <w:bCs/>
      <w:noProof/>
      <w:color w:val="000000"/>
      <w:sz w:val="28"/>
      <w:szCs w:val="28"/>
      <w:lang w:val="en-US" w:eastAsia="en-US" w:bidi="he-IL"/>
    </w:rPr>
  </w:style>
  <w:style w:type="paragraph" w:styleId="Heading3">
    <w:name w:val="Heading 3"/>
    <w:basedOn w:val="Normal"/>
    <w:next w:val="Normal"/>
    <w:qFormat/>
    <w:pPr>
      <w:spacing w:after="100" w:before="200"/>
      <w:outlineLvl w:val="2"/>
    </w:pPr>
    <w:rPr>
      <w:rFonts w:ascii="Times New Roman" w:cs="David" w:eastAsia="David" w:hAnsi="Times New Roman"/>
      <w:b/>
      <w:bCs/>
      <w:noProof/>
      <w:color w:val="000000"/>
      <w:sz w:val="24"/>
      <w:szCs w:val="24"/>
      <w:lang w:val="en-US" w:eastAsia="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93fb88d9ecdbd47c7638bd90a71dbdc4e3dfb25.png"/><Relationship Id="rId10" Type="http://schemas.openxmlformats.org/officeDocument/2006/relationships/image" Target="media/9c702ab0adc7275457db7c7bef8b4df2f23aa99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2026-09-11T10:31:45.704Z</dcterms:created>
  <dcterms:modified xsi:type="dcterms:W3CDTF">2026-09-11T10:31:45.704Z</dcterms:modified>
</cp:coreProperties>
</file>

<file path=docProps/custom.xml><?xml version="1.0" encoding="utf-8"?>
<Properties xmlns="http://schemas.openxmlformats.org/officeDocument/2006/custom-properties" xmlns:vt="http://schemas.openxmlformats.org/officeDocument/2006/docPropsVTypes"/>
</file>