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9</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קנת ויי הראה שאתונו של בלעם ואריהו של איש האלוהים מיהודה (מלכים א יג) הם שני המקרים המובהקים במקרא של בעלי חיים הפועלים כשליחי האל, ושבשניהם החיה מבינה את דבר ה' טוב מן הנביא.</w:t>
      </w:r>
      <w:r>
        <w:rPr>
          <w:rStyle w:val="FootnoteReference"/>
        </w:rPr>
        <w:footnoteReference w:id="4"/>
      </w:r>
      <w:r>
        <w:rPr>
          <w:rFonts w:ascii="Times New Roman" w:cs="David" w:eastAsia="David" w:hAnsi="Times New Roman"/>
          <w:i w:val="false"/>
          <w:iCs w:val="false"/>
          <w:noProof/>
          <w:sz w:val="24"/>
          <w:szCs w:val="24"/>
          <w:rtl/>
          <w:lang w:val="en-US" w:bidi="he-IL"/>
        </w:rPr>
        <w:t xml:space="preserve"> שני הסיפורים האלה ישובו בניתוח משל סה.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פסוק שבו מצטופפים שלושת המונחים העבריים לחמור הביתי, חמור, עיר ואתון, וויי הראה שלכל אחד מהם טווח משמעות משלו.</w:t>
      </w:r>
      <w:r>
        <w:rPr>
          <w:rStyle w:val="FootnoteReference"/>
        </w:rPr>
        <w:footnoteReference w:id="5"/>
      </w:r>
      <w:r>
        <w:rPr>
          <w:rFonts w:ascii="Times New Roman" w:cs="David" w:eastAsia="David" w:hAnsi="Times New Roman"/>
          <w:i w:val="false"/>
          <w:iCs w:val="false"/>
          <w:noProof/>
          <w:sz w:val="24"/>
          <w:szCs w:val="24"/>
          <w:rtl/>
          <w:lang w:val="en-US" w:bidi="he-IL"/>
        </w:rPr>
        <w:t xml:space="preserve">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6"/>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7"/>
      </w:r>
      <w:r>
        <w:rPr>
          <w:rFonts w:ascii="Times New Roman" w:cs="David" w:eastAsia="David" w:hAnsi="Times New Roman"/>
          <w:i w:val="false"/>
          <w:iCs w:val="false"/>
          <w:noProof/>
          <w:sz w:val="24"/>
          <w:szCs w:val="24"/>
          <w:rtl/>
          <w:lang w:val="en-US" w:bidi="he-IL"/>
        </w:rPr>
        <w:t xml:space="preserve"> שטרן פיתח את הטענה במאמרו האנגלי, שבו הגדיר את המשל כצורה רטורית שמשמעותה נבנית בשיתוף הקהל, ולא כאלגוריה סגורה.</w:t>
      </w:r>
      <w:r>
        <w:rPr>
          <w:rStyle w:val="FootnoteReference"/>
        </w:rPr>
        <w:footnoteReference w:id="8"/>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 יש להוסיף שהמדרש, ובעקבותיו רש"י, מייחסים לבעלי חיים אחריות מוסרית של ממש, כפי שהראה אריק לאווי בדיונו ב"חטאי החי" בדור המבול; זה הרקע התרבותי שמאפשר למשל העברי לשפוט חמור על גאוותו.</w:t>
      </w:r>
      <w:r>
        <w:rPr>
          <w:rStyle w:val="FootnoteReference"/>
        </w:rPr>
        <w:footnoteReference w:id="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11"/>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13"/>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4"/>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5"/>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6"/>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 [לוודא במהדורת לוב, 2004]. מקבילה ישירה למשל יד יש אצל מארי דה פראנס, בת דורו של ברכיה, במשל "על החמור שרצה לשחק עם אדוניו".</w:t>
      </w:r>
      <w:r>
        <w:rPr>
          <w:rStyle w:val="FootnoteReference"/>
        </w:rPr>
        <w:footnoteReference w:id="17"/>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9"/>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0"/>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3"/>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4"/>
      </w:r>
      <w:r>
        <w:rPr>
          <w:rFonts w:ascii="Times New Roman" w:cs="David" w:eastAsia="David" w:hAnsi="Times New Roman"/>
          <w:i w:val="false"/>
          <w:iCs w:val="false"/>
          <w:noProof/>
          <w:sz w:val="24"/>
          <w:szCs w:val="24"/>
          <w:rtl/>
          <w:lang w:val="en-US" w:bidi="he-IL"/>
        </w:rPr>
        <w:t xml:space="preserve"> יסיף הגדיר את האנתולוגיה הסיפורית העברית של ימי הביניים כסוגה בפני עצמה, שבה למלקט יש קול משלו הנשמע בהקדמה, בסדר הסיפורים ובנמשלים, וברכיה הוא דוגמה מובהקת: קובץ שמקורותיו זרים ועורכו נוכח בכל משל.</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6"/>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7"/>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8"/>
      </w:r>
      <w:r>
        <w:rPr>
          <w:rFonts w:ascii="Times New Roman" w:cs="David" w:eastAsia="David" w:hAnsi="Times New Roman"/>
          <w:i w:val="false"/>
          <w:iCs w:val="false"/>
          <w:noProof/>
          <w:sz w:val="24"/>
          <w:szCs w:val="24"/>
          <w:rtl/>
          <w:lang w:val="en-US" w:bidi="he-IL"/>
        </w:rPr>
        <w:t xml:space="preserve"> בוויכוח בין שטרן לבויארין על מעמד הנמשל טען בויארין שהנמשל אינו תוספת פרשנית למשל אלא חלק ממנגנון המשמעות שלו, ושלעיתים דווקא בו נמצא העושר.</w:t>
      </w:r>
      <w:r>
        <w:rPr>
          <w:rStyle w:val="FootnoteReference"/>
        </w:rPr>
        <w:footnoteReference w:id="29"/>
      </w:r>
      <w:r>
        <w:rPr>
          <w:rFonts w:ascii="Times New Roman" w:cs="David" w:eastAsia="David" w:hAnsi="Times New Roman"/>
          <w:i w:val="false"/>
          <w:iCs w:val="false"/>
          <w:noProof/>
          <w:sz w:val="24"/>
          <w:szCs w:val="24"/>
          <w:rtl/>
          <w:lang w:val="en-US" w:bidi="he-IL"/>
        </w:rPr>
        <w:t xml:space="preserve"> משליו של ברכיה שייכים בבירור לסוג השני שהגדירה שפירא, והוויכוח על הנמשל נוגע להם ישירות.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30"/>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31"/>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32"/>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וויי רואה בסיפור זה, יחד עם אתונו של בלעם, את הדוגמה המובהקת לבעלי חיים כשליחי האל בנבואה הקדומה.</w:t>
      </w:r>
      <w:r>
        <w:rPr>
          <w:rStyle w:val="FootnoteReference"/>
        </w:rPr>
        <w:footnoteReference w:id="34"/>
      </w:r>
      <w:r>
        <w:rPr>
          <w:rFonts w:ascii="Times New Roman" w:cs="David" w:eastAsia="David" w:hAnsi="Times New Roman"/>
          <w:i w:val="false"/>
          <w:iCs w:val="false"/>
          <w:noProof/>
          <w:sz w:val="24"/>
          <w:szCs w:val="24"/>
          <w:rtl/>
          <w:lang w:val="en-US" w:bidi="he-IL"/>
        </w:rPr>
        <w:t xml:space="preserve">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5"/>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 הממצא על השיבוצים תומך דווקא בעמדת בויארין: אצל ברכיה המשמעות אינה מחכה לנמשל, היא נבנית כבר בתוך המשל, בפסוקים.</w:t>
      </w:r>
      <w:r>
        <w:rPr>
          <w:rStyle w:val="FootnoteReference"/>
        </w:rPr>
        <w:footnoteReference w:id="36"/>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Boyarin, Daniel, "An Exchange on the Mashal: Rhetoric and Interpretation: The Case of the Nimshal,"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5, no. 3 (1985): 269-276.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Lawee, Eric, "The Sins of the Fauna in Midrash, Rashi, and Their Medieval Interlocutors," </w:t>
      </w:r>
      <w:r>
        <w:rPr>
          <w:rFonts w:ascii="Times New Roman" w:cs="David" w:eastAsia="David" w:hAnsi="Times New Roman"/>
          <w:i/>
          <w:iCs/>
          <w:noProof/>
          <w:sz w:val="24"/>
          <w:szCs w:val="24"/>
          <w:rtl w:val="false"/>
          <w:lang w:val="en-US" w:bidi="he-IL"/>
        </w:rPr>
        <w:t xml:space="preserve">Jewish Studies Quarterly</w:t>
      </w:r>
      <w:r>
        <w:rPr>
          <w:rFonts w:ascii="Times New Roman" w:cs="David" w:eastAsia="David" w:hAnsi="Times New Roman"/>
          <w:i w:val="false"/>
          <w:iCs w:val="false"/>
          <w:noProof/>
          <w:sz w:val="24"/>
          <w:szCs w:val="24"/>
          <w:rtl w:val="false"/>
          <w:lang w:val="en-US" w:bidi="he-IL"/>
        </w:rPr>
        <w:t xml:space="preserve"> 17, no. 1 (2010): 56-98.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Stern, David, "Rhetoric and Midrash: The Case of the Mashal,"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 no. 3 (1981): 261-291.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"Animals in the Prophetic World: Literary Reflections on Numbers 22 and 1 Kings 13," </w:t>
      </w:r>
      <w:r>
        <w:rPr>
          <w:rFonts w:ascii="Times New Roman" w:cs="David" w:eastAsia="David" w:hAnsi="Times New Roman"/>
          <w:i/>
          <w:iCs/>
          <w:noProof/>
          <w:sz w:val="24"/>
          <w:szCs w:val="24"/>
          <w:rtl w:val="false"/>
          <w:lang w:val="en-US" w:bidi="he-IL"/>
        </w:rPr>
        <w:t xml:space="preserve">Journal for the Study of the Old Testament</w:t>
      </w:r>
      <w:r>
        <w:rPr>
          <w:rFonts w:ascii="Times New Roman" w:cs="David" w:eastAsia="David" w:hAnsi="Times New Roman"/>
          <w:i w:val="false"/>
          <w:iCs w:val="false"/>
          <w:noProof/>
          <w:sz w:val="24"/>
          <w:szCs w:val="24"/>
          <w:rtl w:val="false"/>
          <w:lang w:val="en-US" w:bidi="he-IL"/>
        </w:rPr>
        <w:t xml:space="preserve"> 34, no. 1 (2009): 47-62.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"Donkey Domain: Zechariah 9:9 and Lexical Semantics," </w:t>
      </w:r>
      <w:r>
        <w:rPr>
          <w:rFonts w:ascii="Times New Roman" w:cs="David" w:eastAsia="David" w:hAnsi="Times New Roman"/>
          <w:i/>
          <w:iCs/>
          <w:noProof/>
          <w:sz w:val="24"/>
          <w:szCs w:val="24"/>
          <w:rtl w:val="false"/>
          <w:lang w:val="en-US" w:bidi="he-IL"/>
        </w:rPr>
        <w:t xml:space="preserve">Journal of Biblical Literature</w:t>
      </w:r>
      <w:r>
        <w:rPr>
          <w:rFonts w:ascii="Times New Roman" w:cs="David" w:eastAsia="David" w:hAnsi="Times New Roman"/>
          <w:i w:val="false"/>
          <w:iCs w:val="false"/>
          <w:noProof/>
          <w:sz w:val="24"/>
          <w:szCs w:val="24"/>
          <w:rtl w:val="false"/>
          <w:lang w:val="en-US" w:bidi="he-IL"/>
        </w:rPr>
        <w:t xml:space="preserve"> 129, no. 1 (2010): 105-114.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Yassif, Eli, "The Hebrew Narrative Anthology in the Middle Ages,"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17, no. 2 (1997): 153-175.</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w:t>
      </w:r>
      <w:r>
        <w:rPr>
          <w:rFonts w:ascii="Times New Roman" w:cs="David" w:eastAsia="David" w:hAnsi="Times New Roman"/>
          <w:i w:val="false"/>
          <w:iCs w:val="false"/>
          <w:noProof/>
          <w:sz w:val="20"/>
          <w:szCs w:val="20"/>
          <w:rtl/>
          <w:lang w:val="en-US" w:bidi="he-IL"/>
        </w:rPr>
        <w:t xml:space="preserve">בפרק על ביות החמור ועל הממצא הארכיאולוגי [לוודא עמודים].</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w:t>
      </w:r>
      <w:r>
        <w:rPr>
          <w:rFonts w:ascii="Times New Roman" w:cs="David" w:eastAsia="David" w:hAnsi="Times New Roman"/>
          <w:i/>
          <w:iCs/>
          <w:noProof/>
          <w:sz w:val="20"/>
          <w:szCs w:val="20"/>
          <w:rtl w:val="false"/>
          <w:lang w:val="en-US" w:bidi="he-IL"/>
        </w:rPr>
        <w:t xml:space="preserve">Donkeys in the Biblical World</w:t>
      </w:r>
      <w:r>
        <w:rPr>
          <w:rFonts w:ascii="Times New Roman" w:cs="David" w:eastAsia="David" w:hAnsi="Times New Roman"/>
          <w:i w:val="false"/>
          <w:iCs w:val="false"/>
          <w:noProof/>
          <w:sz w:val="20"/>
          <w:szCs w:val="20"/>
          <w:rtl w:val="false"/>
          <w:lang w:val="en-US" w:bidi="he-IL"/>
        </w:rPr>
        <w:t xml:space="preserve">,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"Animals in the Prophetic World: Literary Reflections on Numbers 22 and 1 Kings 13," </w:t>
      </w:r>
      <w:r>
        <w:rPr>
          <w:rFonts w:ascii="Times New Roman" w:cs="David" w:eastAsia="David" w:hAnsi="Times New Roman"/>
          <w:i/>
          <w:iCs/>
          <w:noProof/>
          <w:sz w:val="20"/>
          <w:szCs w:val="20"/>
          <w:rtl w:val="false"/>
          <w:lang w:val="en-US" w:bidi="he-IL"/>
        </w:rPr>
        <w:t xml:space="preserve">Journal for the Study of the Old Testament</w:t>
      </w:r>
      <w:r>
        <w:rPr>
          <w:rFonts w:ascii="Times New Roman" w:cs="David" w:eastAsia="David" w:hAnsi="Times New Roman"/>
          <w:i w:val="false"/>
          <w:iCs w:val="false"/>
          <w:noProof/>
          <w:sz w:val="20"/>
          <w:szCs w:val="20"/>
          <w:rtl w:val="false"/>
          <w:lang w:val="en-US" w:bidi="he-IL"/>
        </w:rPr>
        <w:t xml:space="preserve"> 34, no. 1 (2009): 47-62.</w:t>
      </w:r>
    </w:p>
  </w:footnote>
  <w:footnote w:id="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"Donkey Domain: Zechariah 9:9 and Lexical Semantics," </w:t>
      </w:r>
      <w:r>
        <w:rPr>
          <w:rFonts w:ascii="Times New Roman" w:cs="David" w:eastAsia="David" w:hAnsi="Times New Roman"/>
          <w:i/>
          <w:iCs/>
          <w:noProof/>
          <w:sz w:val="20"/>
          <w:szCs w:val="20"/>
          <w:rtl w:val="false"/>
          <w:lang w:val="en-US" w:bidi="he-IL"/>
        </w:rPr>
        <w:t xml:space="preserve">Journal of Biblical Literature</w:t>
      </w:r>
      <w:r>
        <w:rPr>
          <w:rFonts w:ascii="Times New Roman" w:cs="David" w:eastAsia="David" w:hAnsi="Times New Roman"/>
          <w:i w:val="false"/>
          <w:iCs w:val="false"/>
          <w:noProof/>
          <w:sz w:val="20"/>
          <w:szCs w:val="20"/>
          <w:rtl w:val="false"/>
          <w:lang w:val="en-US" w:bidi="he-IL"/>
        </w:rPr>
        <w:t xml:space="preserve"> 129, no. 1 (2010): 105-114.</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David Stern, "Rhetoric and Midrash: The Case of the Mashal,"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 no. 3 (1981): 261-291.</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Eric Lawee, "The Sins of the Fauna in Midrash, Rashi, and Their Medieval Interlocutors," </w:t>
      </w:r>
      <w:r>
        <w:rPr>
          <w:rFonts w:ascii="Times New Roman" w:cs="David" w:eastAsia="David" w:hAnsi="Times New Roman"/>
          <w:i/>
          <w:iCs/>
          <w:noProof/>
          <w:sz w:val="20"/>
          <w:szCs w:val="20"/>
          <w:rtl w:val="false"/>
          <w:lang w:val="en-US" w:bidi="he-IL"/>
        </w:rPr>
        <w:t xml:space="preserve">Jewish Studies Quarterly</w:t>
      </w:r>
      <w:r>
        <w:rPr>
          <w:rFonts w:ascii="Times New Roman" w:cs="David" w:eastAsia="David" w:hAnsi="Times New Roman"/>
          <w:i w:val="false"/>
          <w:iCs w:val="false"/>
          <w:noProof/>
          <w:sz w:val="20"/>
          <w:szCs w:val="20"/>
          <w:rtl w:val="false"/>
          <w:lang w:val="en-US" w:bidi="he-IL"/>
        </w:rPr>
        <w:t xml:space="preserve"> 17, no. 1 (2010): 56-98.</w:t>
      </w:r>
    </w:p>
  </w:footnote>
  <w:footnote w:id="1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מספרי פרי, המפתח המקובל למשלי איזופוס, מובאים כפי שהם רשומים אצל </w:t>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כל משל.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בערכים של משלים יד ו-מז (הספר ערוך לפי מספרי המשלים);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1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35, שם מובא הסיפור לפי הנוסח העברי של רבי יעקב בן אלעזר ומהדורת דרנבורג.</w:t>
      </w:r>
    </w:p>
  </w:footnote>
  <w:footnote w:id="16">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המקבילה אצל מארי דה פראנס מובאת אצל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יד [לוודא שם את מספר המשל אצל מארי, 15 לפי הספירה המקובלת].</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9">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Eli Yassif, "The Hebrew Narrative Anthology in the Middle Ages,"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17, no. 2 (1997): 153-175.</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2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Daniel Boyarin, "An Exchange on the Mashal: Rhetoric and Interpretation: The Case of the Nimshal,"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5, no. 3 (1985): 269-276.</w:t>
      </w:r>
    </w:p>
  </w:footnote>
  <w:footnote w:id="3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3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פדרוס א, יא (פרי 151), לפי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סה.</w:t>
      </w:r>
    </w:p>
  </w:footnote>
  <w:footnote w:id="3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"Animals in the Prophetic World," </w:t>
      </w:r>
      <w:r>
        <w:rPr>
          <w:rFonts w:ascii="Times New Roman" w:cs="David" w:eastAsia="David" w:hAnsi="Times New Roman"/>
          <w:i w:val="false"/>
          <w:iCs w:val="false"/>
          <w:noProof/>
          <w:sz w:val="20"/>
          <w:szCs w:val="20"/>
          <w:rtl/>
          <w:lang w:val="en-US" w:bidi="he-IL"/>
        </w:rPr>
        <w:t xml:space="preserve">בדיון במלכים א יג.</w:t>
      </w:r>
    </w:p>
  </w:footnote>
  <w:footnote w:id="3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 </w:t>
      </w:r>
      <w:r>
        <w:rPr>
          <w:rFonts w:ascii="Times New Roman" w:cs="David" w:eastAsia="David" w:hAnsi="Times New Roman"/>
          <w:i w:val="false"/>
          <w:iCs w:val="false"/>
          <w:noProof/>
          <w:sz w:val="20"/>
          <w:szCs w:val="20"/>
          <w:rtl w:val="false"/>
          <w:lang w:val="en-US" w:bidi="he-IL"/>
        </w:rPr>
        <w:t xml:space="preserve">Boyarin, "An Exchange on the Mashal," pp. 269-272.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2026-09-23T17:17:43.991Z</dcterms:created>
  <dcterms:modified xsi:type="dcterms:W3CDTF">2026-09-23T17:17:43.991Z</dcterms:modified>
</cp:coreProperties>
</file>

<file path=docProps/custom.xml><?xml version="1.0" encoding="utf-8"?>
<Properties xmlns="http://schemas.openxmlformats.org/officeDocument/2006/custom-properties" xmlns:vt="http://schemas.openxmlformats.org/officeDocument/2006/docPropsVTypes"/>
</file>